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F2" w:rsidRPr="005315A2" w:rsidRDefault="00F26FF2" w:rsidP="00D70272">
      <w:pPr>
        <w:widowControl w:val="0"/>
        <w:tabs>
          <w:tab w:val="left" w:pos="426"/>
        </w:tabs>
        <w:spacing w:line="360" w:lineRule="auto"/>
        <w:jc w:val="both"/>
        <w:rPr>
          <w:rFonts w:ascii="Trebuchet MS" w:hAnsi="Trebuchet MS"/>
          <w:bCs/>
          <w:color w:val="000000"/>
          <w:sz w:val="24"/>
          <w:szCs w:val="24"/>
        </w:rPr>
      </w:pPr>
      <w:r w:rsidRPr="005315A2">
        <w:rPr>
          <w:rFonts w:ascii="Trebuchet MS" w:hAnsi="Trebuchet MS"/>
          <w:b/>
          <w:bCs/>
          <w:color w:val="000000"/>
          <w:sz w:val="24"/>
          <w:szCs w:val="24"/>
        </w:rPr>
        <w:t>Artykuł Marcina Witkowskiego</w:t>
      </w:r>
      <w:r w:rsidRPr="005315A2">
        <w:rPr>
          <w:rFonts w:ascii="Trebuchet MS" w:hAnsi="Trebuchet MS"/>
          <w:bCs/>
          <w:color w:val="000000"/>
          <w:sz w:val="24"/>
          <w:szCs w:val="24"/>
        </w:rPr>
        <w:t>, referendarza w wydziale Pomocy Sektorowej i Restrukturyzacyjnej w Departamencie Monitorowania Pomocy Publicznej w UOKiK</w:t>
      </w:r>
    </w:p>
    <w:p w:rsidR="00F26FF2" w:rsidRPr="00D70272" w:rsidRDefault="00F26FF2" w:rsidP="00D70272">
      <w:pPr>
        <w:widowControl w:val="0"/>
        <w:tabs>
          <w:tab w:val="left" w:pos="426"/>
        </w:tabs>
        <w:spacing w:line="360" w:lineRule="auto"/>
        <w:jc w:val="both"/>
        <w:rPr>
          <w:rFonts w:ascii="Trebuchet MS" w:hAnsi="Trebuchet MS"/>
          <w:bCs/>
          <w:caps/>
          <w:color w:val="000000"/>
          <w:sz w:val="32"/>
          <w:szCs w:val="32"/>
        </w:rPr>
      </w:pPr>
      <w:r w:rsidRPr="00D70272">
        <w:rPr>
          <w:rFonts w:ascii="Trebuchet MS" w:hAnsi="Trebuchet MS"/>
          <w:bCs/>
          <w:caps/>
          <w:color w:val="000000"/>
          <w:sz w:val="32"/>
          <w:szCs w:val="32"/>
        </w:rPr>
        <w:t>Nowe zasady dotyczące pomocy państwa na ratowanie i restrukturyzację przedsiębiorstw</w:t>
      </w:r>
    </w:p>
    <w:p w:rsidR="00F26FF2" w:rsidRPr="00F2011E" w:rsidRDefault="00F26FF2" w:rsidP="00D70272">
      <w:pPr>
        <w:tabs>
          <w:tab w:val="left" w:pos="1740"/>
        </w:tabs>
        <w:spacing w:line="360" w:lineRule="auto"/>
        <w:jc w:val="both"/>
        <w:rPr>
          <w:rFonts w:ascii="Trebuchet MS" w:hAnsi="Trebuchet MS"/>
        </w:rPr>
      </w:pPr>
      <w:r w:rsidRPr="005315A2">
        <w:rPr>
          <w:rFonts w:ascii="Trebuchet MS" w:hAnsi="Trebuchet MS"/>
          <w:b/>
        </w:rPr>
        <w:t>Pobudzenie wzrostu gospodarczego, wzmacnianie współpracy z państwami członkowskimi w zakresie egzekwowania reguł pomocy państwa, skrócenie czasu podejmowania decyzji – to najważniejsze cele zmian określonych w wytycznych KE dotyczących pomocy państwa dla przedsiębiorstw w trudnej sytuacji ekonomicznej</w:t>
      </w:r>
      <w:r>
        <w:rPr>
          <w:rFonts w:ascii="Trebuchet MS" w:hAnsi="Trebuchet MS"/>
        </w:rPr>
        <w:t>.</w:t>
      </w:r>
    </w:p>
    <w:p w:rsidR="00F26FF2" w:rsidRPr="00F2011E" w:rsidRDefault="00F26FF2" w:rsidP="00D70272">
      <w:pPr>
        <w:widowControl w:val="0"/>
        <w:tabs>
          <w:tab w:val="left" w:pos="426"/>
        </w:tabs>
        <w:spacing w:line="360" w:lineRule="auto"/>
        <w:jc w:val="both"/>
        <w:rPr>
          <w:rFonts w:ascii="Trebuchet MS" w:hAnsi="Trebuchet MS"/>
          <w:bCs/>
          <w:color w:val="000000"/>
        </w:rPr>
      </w:pPr>
      <w:r w:rsidRPr="00F2011E">
        <w:rPr>
          <w:rFonts w:ascii="Trebuchet MS" w:hAnsi="Trebuchet MS"/>
          <w:bCs/>
          <w:color w:val="000000"/>
        </w:rPr>
        <w:t>1 sierpnia br.</w:t>
      </w:r>
      <w:r>
        <w:rPr>
          <w:rFonts w:ascii="Trebuchet MS" w:hAnsi="Trebuchet MS"/>
          <w:bCs/>
          <w:color w:val="000000"/>
        </w:rPr>
        <w:t xml:space="preserve"> weszły </w:t>
      </w:r>
      <w:r w:rsidRPr="00F2011E">
        <w:rPr>
          <w:rFonts w:ascii="Trebuchet MS" w:hAnsi="Trebuchet MS"/>
          <w:bCs/>
          <w:color w:val="000000"/>
        </w:rPr>
        <w:t xml:space="preserve">w życie </w:t>
      </w:r>
      <w:r>
        <w:rPr>
          <w:rFonts w:ascii="Trebuchet MS" w:hAnsi="Trebuchet MS"/>
          <w:bCs/>
          <w:color w:val="000000"/>
        </w:rPr>
        <w:t>nowe</w:t>
      </w:r>
      <w:r w:rsidRPr="00F2011E">
        <w:rPr>
          <w:rFonts w:ascii="Trebuchet MS" w:hAnsi="Trebuchet MS"/>
          <w:bCs/>
          <w:color w:val="000000"/>
        </w:rPr>
        <w:t xml:space="preserve"> </w:t>
      </w:r>
      <w:r>
        <w:rPr>
          <w:rFonts w:ascii="Trebuchet MS" w:hAnsi="Trebuchet MS"/>
          <w:bCs/>
          <w:color w:val="000000"/>
        </w:rPr>
        <w:t>wytyczne</w:t>
      </w:r>
      <w:r w:rsidRPr="00F2011E">
        <w:rPr>
          <w:rFonts w:ascii="Trebuchet MS" w:hAnsi="Trebuchet MS"/>
          <w:bCs/>
          <w:color w:val="000000"/>
        </w:rPr>
        <w:t xml:space="preserve"> Komisji Europejskiej (</w:t>
      </w:r>
      <w:r w:rsidRPr="00F2011E">
        <w:rPr>
          <w:rFonts w:ascii="Trebuchet MS" w:hAnsi="Trebuchet MS"/>
        </w:rPr>
        <w:t>Dz. Urz. UE C 249 z 31.07.2014 r.)</w:t>
      </w:r>
      <w:r w:rsidRPr="00F2011E">
        <w:rPr>
          <w:rFonts w:ascii="Trebuchet MS" w:hAnsi="Trebuchet MS"/>
          <w:bCs/>
          <w:color w:val="000000"/>
        </w:rPr>
        <w:t xml:space="preserve"> </w:t>
      </w:r>
      <w:r>
        <w:rPr>
          <w:rFonts w:ascii="Trebuchet MS" w:hAnsi="Trebuchet MS"/>
          <w:bCs/>
          <w:color w:val="000000"/>
        </w:rPr>
        <w:t xml:space="preserve">określające warunki, na jakich </w:t>
      </w:r>
      <w:r w:rsidRPr="00F2011E">
        <w:rPr>
          <w:rFonts w:ascii="Trebuchet MS" w:hAnsi="Trebuchet MS"/>
          <w:bCs/>
          <w:color w:val="000000"/>
        </w:rPr>
        <w:t>pomoc państwa na ratowanie i restrukturyzację przedsiębiorstw niefinansowych znajdując</w:t>
      </w:r>
      <w:r>
        <w:rPr>
          <w:rFonts w:ascii="Trebuchet MS" w:hAnsi="Trebuchet MS"/>
          <w:bCs/>
          <w:color w:val="000000"/>
        </w:rPr>
        <w:t>ych się w trudnej sytuacji może</w:t>
      </w:r>
      <w:r w:rsidRPr="00F2011E">
        <w:rPr>
          <w:rFonts w:ascii="Trebuchet MS" w:hAnsi="Trebuchet MS"/>
          <w:bCs/>
          <w:color w:val="000000"/>
        </w:rPr>
        <w:t xml:space="preserve"> zostać uznana za zgodną prawem unijnym. Nowe zasady obowiązywać będą do 30 grudnia 2020 r.</w:t>
      </w:r>
    </w:p>
    <w:p w:rsidR="00F26FF2" w:rsidRPr="00F2011E" w:rsidRDefault="00F26FF2" w:rsidP="00D70272">
      <w:pPr>
        <w:widowControl w:val="0"/>
        <w:tabs>
          <w:tab w:val="left" w:pos="426"/>
        </w:tabs>
        <w:spacing w:line="360" w:lineRule="auto"/>
        <w:jc w:val="both"/>
        <w:rPr>
          <w:rFonts w:ascii="Trebuchet MS" w:hAnsi="Trebuchet MS"/>
          <w:b/>
          <w:bCs/>
          <w:color w:val="000000"/>
        </w:rPr>
      </w:pPr>
      <w:r w:rsidRPr="00F2011E">
        <w:rPr>
          <w:rFonts w:ascii="Trebuchet MS" w:hAnsi="Trebuchet MS"/>
          <w:b/>
          <w:bCs/>
          <w:color w:val="000000"/>
        </w:rPr>
        <w:t>Kiedy przedsiębiorstwo znajduje się w trudnej sytuacji ekonomicznej?</w:t>
      </w:r>
    </w:p>
    <w:p w:rsidR="00F26FF2" w:rsidRDefault="00F26FF2" w:rsidP="00D70272">
      <w:pPr>
        <w:widowControl w:val="0"/>
        <w:tabs>
          <w:tab w:val="left" w:pos="426"/>
        </w:tabs>
        <w:spacing w:line="360" w:lineRule="auto"/>
        <w:jc w:val="both"/>
        <w:rPr>
          <w:rFonts w:ascii="Trebuchet MS" w:hAnsi="Trebuchet MS"/>
          <w:bCs/>
          <w:color w:val="000000"/>
        </w:rPr>
      </w:pPr>
      <w:r w:rsidRPr="00F2011E">
        <w:rPr>
          <w:rFonts w:ascii="Trebuchet MS" w:hAnsi="Trebuchet MS"/>
          <w:bCs/>
          <w:color w:val="000000"/>
        </w:rPr>
        <w:t>Zgodnie z wytycznymi</w:t>
      </w:r>
      <w:r>
        <w:rPr>
          <w:rFonts w:ascii="Trebuchet MS" w:hAnsi="Trebuchet MS"/>
          <w:bCs/>
          <w:color w:val="000000"/>
        </w:rPr>
        <w:t xml:space="preserve">, </w:t>
      </w:r>
      <w:r w:rsidRPr="00F2011E">
        <w:rPr>
          <w:rFonts w:ascii="Trebuchet MS" w:hAnsi="Trebuchet MS"/>
          <w:bCs/>
          <w:color w:val="000000"/>
        </w:rPr>
        <w:t>dzieje się to wtedy, gdy jest niemal pewne, że bez pomocy państwa przedsiębiorstwo w niedalekiej przyszłości zniknie z rynku. Żeby ocenić, czy rzeczywiście tak się stanie, trzeba przeanalizować, czy mamy do czynienia z jedną z następujących okoliczności:</w:t>
      </w:r>
      <w:r w:rsidRPr="00F2011E">
        <w:rPr>
          <w:rStyle w:val="FootnoteReference"/>
          <w:rFonts w:ascii="Trebuchet MS" w:hAnsi="Trebuchet MS"/>
          <w:bCs/>
          <w:color w:val="000000"/>
        </w:rPr>
        <w:footnoteReference w:id="1"/>
      </w:r>
      <w:r w:rsidRPr="00F2011E">
        <w:rPr>
          <w:rFonts w:ascii="Trebuchet MS" w:hAnsi="Trebuchet MS"/>
          <w:bCs/>
          <w:color w:val="000000"/>
        </w:rPr>
        <w:t>:</w:t>
      </w:r>
    </w:p>
    <w:p w:rsidR="00F26FF2" w:rsidRPr="00F2011E" w:rsidRDefault="00F26FF2" w:rsidP="00E56E86">
      <w:pPr>
        <w:widowControl w:val="0"/>
        <w:numPr>
          <w:ilvl w:val="0"/>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 xml:space="preserve">utrata ponad 50% subskrybowanego kapitału podstawowego w spółce charakteryzującej się ograniczoną odpowiedzialnością wspólników; </w:t>
      </w:r>
    </w:p>
    <w:p w:rsidR="00F26FF2" w:rsidRPr="00F2011E" w:rsidRDefault="00F26FF2" w:rsidP="00E56E86">
      <w:pPr>
        <w:widowControl w:val="0"/>
        <w:numPr>
          <w:ilvl w:val="0"/>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utrata ponad 50% kapitału w spółce, w której przynajmniej niektórzy wspólnicy ponoszą nieograniczoną odpowiedzialność za długi;</w:t>
      </w:r>
    </w:p>
    <w:p w:rsidR="00F26FF2" w:rsidRPr="00F2011E" w:rsidRDefault="00F26FF2" w:rsidP="00E56E86">
      <w:pPr>
        <w:widowControl w:val="0"/>
        <w:numPr>
          <w:ilvl w:val="0"/>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 xml:space="preserve">przedsiębiorstwo jest przedmiotem </w:t>
      </w:r>
      <w:r w:rsidRPr="00F2011E">
        <w:rPr>
          <w:rFonts w:ascii="Trebuchet MS" w:hAnsi="Trebuchet MS"/>
        </w:rPr>
        <w:t>zbiorowego postępowania upadłościowego lub spełnia kryteria objęcia takim postępowaniem na wniosek wierzycieli;</w:t>
      </w:r>
    </w:p>
    <w:p w:rsidR="00F26FF2" w:rsidRPr="00F2011E" w:rsidRDefault="00F26FF2" w:rsidP="00E56E86">
      <w:pPr>
        <w:widowControl w:val="0"/>
        <w:numPr>
          <w:ilvl w:val="0"/>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przedsiębiorstwo, nie będące MŚP, w którym w ciągu ostatnich dwóch lat:</w:t>
      </w:r>
    </w:p>
    <w:p w:rsidR="00F26FF2" w:rsidRPr="00F2011E" w:rsidRDefault="00F26FF2" w:rsidP="00E56E86">
      <w:pPr>
        <w:widowControl w:val="0"/>
        <w:numPr>
          <w:ilvl w:val="1"/>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stosunek księgowej wartości kapitału obcego do księgowej wartości kapitału przedsiębiorstwa  był większy niż 7,5 oraz</w:t>
      </w:r>
    </w:p>
    <w:p w:rsidR="00F26FF2" w:rsidRPr="00F2011E" w:rsidRDefault="00F26FF2" w:rsidP="00E56E86">
      <w:pPr>
        <w:widowControl w:val="0"/>
        <w:numPr>
          <w:ilvl w:val="1"/>
          <w:numId w:val="5"/>
        </w:numPr>
        <w:tabs>
          <w:tab w:val="left" w:pos="426"/>
        </w:tabs>
        <w:spacing w:after="120" w:line="360" w:lineRule="auto"/>
        <w:ind w:hanging="357"/>
        <w:jc w:val="both"/>
        <w:rPr>
          <w:rFonts w:ascii="Trebuchet MS" w:hAnsi="Trebuchet MS"/>
          <w:bCs/>
          <w:color w:val="000000"/>
        </w:rPr>
      </w:pPr>
      <w:r w:rsidRPr="00F2011E">
        <w:rPr>
          <w:rFonts w:ascii="Trebuchet MS" w:hAnsi="Trebuchet MS"/>
          <w:bCs/>
          <w:color w:val="000000"/>
        </w:rPr>
        <w:t xml:space="preserve">wskaźnik pokrycia odsetek zyskiem przedsiębiorstwa przed potrąceniem odsetek od kredytów, podatków i amortyzacji (EBITDA) wynosił poniżej 1,0. </w:t>
      </w:r>
    </w:p>
    <w:p w:rsidR="00F26FF2" w:rsidRPr="00F2011E" w:rsidRDefault="00F26FF2" w:rsidP="00D70272">
      <w:pPr>
        <w:widowControl w:val="0"/>
        <w:tabs>
          <w:tab w:val="left" w:pos="426"/>
        </w:tabs>
        <w:spacing w:after="240" w:line="360" w:lineRule="auto"/>
        <w:jc w:val="both"/>
        <w:rPr>
          <w:rFonts w:ascii="Trebuchet MS" w:hAnsi="Trebuchet MS"/>
          <w:b/>
        </w:rPr>
      </w:pPr>
      <w:r w:rsidRPr="00F2011E">
        <w:rPr>
          <w:rFonts w:ascii="Trebuchet MS" w:hAnsi="Trebuchet MS"/>
          <w:b/>
        </w:rPr>
        <w:t>Najistotniejsze zmiany</w:t>
      </w:r>
    </w:p>
    <w:p w:rsidR="00F26FF2" w:rsidRPr="00F2011E" w:rsidRDefault="00F26FF2" w:rsidP="00D70272">
      <w:pPr>
        <w:numPr>
          <w:ilvl w:val="0"/>
          <w:numId w:val="6"/>
        </w:numPr>
        <w:tabs>
          <w:tab w:val="left" w:pos="1740"/>
        </w:tabs>
        <w:spacing w:after="120" w:line="360" w:lineRule="auto"/>
        <w:ind w:left="714" w:hanging="357"/>
        <w:jc w:val="both"/>
        <w:rPr>
          <w:rFonts w:ascii="Trebuchet MS" w:hAnsi="Trebuchet MS"/>
        </w:rPr>
      </w:pPr>
      <w:r w:rsidRPr="00F2011E">
        <w:rPr>
          <w:rFonts w:ascii="Trebuchet MS" w:hAnsi="Trebuchet MS"/>
        </w:rPr>
        <w:t>W definicji przedsiębiorstwa znajdującego się w trudnej sytuacji zr</w:t>
      </w:r>
      <w:r w:rsidRPr="00F2011E">
        <w:rPr>
          <w:rFonts w:ascii="Trebuchet MS" w:hAnsi="Trebuchet MS"/>
          <w:color w:val="000000"/>
        </w:rPr>
        <w:t>ezygnowano z zastosowania tzw. kryteriów miękkich, które pozwalały uznać, że takim przedsiębiorstwem jest to, w którym występują m.in. rosnące straty, malejący obrót, zwiększenie zapasów lub inne czynniki świadczące o pogarszającej się kondycji.</w:t>
      </w:r>
    </w:p>
    <w:p w:rsidR="00F26FF2" w:rsidRPr="00F2011E" w:rsidRDefault="00F26FF2" w:rsidP="00D70272">
      <w:pPr>
        <w:numPr>
          <w:ilvl w:val="2"/>
          <w:numId w:val="6"/>
        </w:numPr>
        <w:tabs>
          <w:tab w:val="clear" w:pos="2160"/>
          <w:tab w:val="num" w:pos="720"/>
          <w:tab w:val="left" w:pos="1740"/>
        </w:tabs>
        <w:spacing w:after="120" w:line="360" w:lineRule="auto"/>
        <w:ind w:left="714" w:hanging="357"/>
        <w:jc w:val="both"/>
        <w:rPr>
          <w:rFonts w:ascii="Trebuchet MS" w:hAnsi="Trebuchet MS"/>
        </w:rPr>
      </w:pPr>
      <w:r w:rsidRPr="00F2011E">
        <w:rPr>
          <w:rFonts w:ascii="Trebuchet MS" w:hAnsi="Trebuchet MS"/>
        </w:rPr>
        <w:t xml:space="preserve">Wprowadzono zasadę, zgodnie z którą konieczne jest wykazanie, że pomoc w utrzymaniu przedsiębiorstwa na rynku leży we wspólnym interesie członków UE. </w:t>
      </w:r>
    </w:p>
    <w:p w:rsidR="00F26FF2" w:rsidRPr="00F2011E" w:rsidRDefault="00F26FF2" w:rsidP="00D70272">
      <w:pPr>
        <w:numPr>
          <w:ilvl w:val="2"/>
          <w:numId w:val="6"/>
        </w:numPr>
        <w:tabs>
          <w:tab w:val="clear" w:pos="2160"/>
          <w:tab w:val="num" w:pos="720"/>
          <w:tab w:val="left" w:pos="1740"/>
        </w:tabs>
        <w:spacing w:after="120" w:line="360" w:lineRule="auto"/>
        <w:ind w:left="714" w:hanging="357"/>
        <w:jc w:val="both"/>
        <w:rPr>
          <w:rFonts w:ascii="Trebuchet MS" w:hAnsi="Trebuchet MS"/>
        </w:rPr>
      </w:pPr>
      <w:r w:rsidRPr="00F2011E">
        <w:rPr>
          <w:rFonts w:ascii="Trebuchet MS" w:hAnsi="Trebuchet MS"/>
          <w:color w:val="000000"/>
        </w:rPr>
        <w:t>Dodano nowy rodzaj pomocy: tymczasowe wsparcie restrukturyzacyjne. Ten rodzaj pomocy dostępny jest jedynie dla MŚP lub mniejszych przedsiębiorstw państwowych na okres nie przekraczający 18 miesięcy</w:t>
      </w:r>
      <w:r>
        <w:rPr>
          <w:rFonts w:ascii="Trebuchet MS" w:hAnsi="Trebuchet MS"/>
          <w:color w:val="000000"/>
        </w:rPr>
        <w:t>.</w:t>
      </w:r>
    </w:p>
    <w:p w:rsidR="00F26FF2" w:rsidRPr="00F2011E" w:rsidRDefault="00F26FF2" w:rsidP="00D70272">
      <w:pPr>
        <w:numPr>
          <w:ilvl w:val="2"/>
          <w:numId w:val="6"/>
        </w:numPr>
        <w:tabs>
          <w:tab w:val="clear" w:pos="2160"/>
          <w:tab w:val="num" w:pos="720"/>
          <w:tab w:val="left" w:pos="1740"/>
        </w:tabs>
        <w:spacing w:after="120" w:line="360" w:lineRule="auto"/>
        <w:ind w:left="714" w:hanging="357"/>
        <w:jc w:val="both"/>
        <w:rPr>
          <w:rFonts w:ascii="Trebuchet MS" w:hAnsi="Trebuchet MS"/>
        </w:rPr>
      </w:pPr>
      <w:r w:rsidRPr="00F2011E">
        <w:rPr>
          <w:rFonts w:ascii="Trebuchet MS" w:hAnsi="Trebuchet MS"/>
          <w:color w:val="000000"/>
        </w:rPr>
        <w:t>Ustalono wymóg partycypacji prywatnych udziałowców w kosztach restrukturyzacji;</w:t>
      </w:r>
    </w:p>
    <w:p w:rsidR="00F26FF2" w:rsidRPr="00F2011E" w:rsidRDefault="00F26FF2" w:rsidP="00D70272">
      <w:pPr>
        <w:numPr>
          <w:ilvl w:val="2"/>
          <w:numId w:val="6"/>
        </w:numPr>
        <w:tabs>
          <w:tab w:val="clear" w:pos="2160"/>
          <w:tab w:val="num" w:pos="720"/>
          <w:tab w:val="left" w:pos="1740"/>
        </w:tabs>
        <w:spacing w:after="120" w:line="360" w:lineRule="auto"/>
        <w:ind w:left="714" w:hanging="357"/>
        <w:jc w:val="both"/>
        <w:rPr>
          <w:rFonts w:ascii="Trebuchet MS" w:hAnsi="Trebuchet MS"/>
        </w:rPr>
      </w:pPr>
      <w:r w:rsidRPr="00F2011E">
        <w:rPr>
          <w:rFonts w:ascii="Trebuchet MS" w:hAnsi="Trebuchet MS"/>
          <w:color w:val="000000"/>
        </w:rPr>
        <w:t>Wprowadzono wymóg, by zastosowane środki wyrównawcze sprzyjały m.in. wchodzeniu na rynek nowych konkurentów</w:t>
      </w:r>
      <w:r>
        <w:rPr>
          <w:rFonts w:ascii="Trebuchet MS" w:hAnsi="Trebuchet MS"/>
          <w:color w:val="000000"/>
        </w:rPr>
        <w:t>.</w:t>
      </w:r>
    </w:p>
    <w:p w:rsidR="00F26FF2" w:rsidRPr="00F2011E" w:rsidRDefault="00F26FF2" w:rsidP="00D70272">
      <w:pPr>
        <w:numPr>
          <w:ilvl w:val="2"/>
          <w:numId w:val="6"/>
        </w:numPr>
        <w:tabs>
          <w:tab w:val="clear" w:pos="2160"/>
          <w:tab w:val="num" w:pos="720"/>
          <w:tab w:val="left" w:pos="1740"/>
        </w:tabs>
        <w:spacing w:after="120" w:line="360" w:lineRule="auto"/>
        <w:ind w:left="714" w:hanging="357"/>
        <w:jc w:val="both"/>
        <w:rPr>
          <w:rFonts w:ascii="Trebuchet MS" w:hAnsi="Trebuchet MS"/>
        </w:rPr>
      </w:pPr>
      <w:r w:rsidRPr="00F2011E">
        <w:rPr>
          <w:rFonts w:ascii="Trebuchet MS" w:hAnsi="Trebuchet MS"/>
          <w:color w:val="000000"/>
        </w:rPr>
        <w:t>Wprowadzono obowiązek wykazania, że spełniony jest „efekt zachęty”</w:t>
      </w:r>
      <w:r>
        <w:rPr>
          <w:rFonts w:ascii="Trebuchet MS" w:hAnsi="Trebuchet MS"/>
          <w:color w:val="000000"/>
        </w:rPr>
        <w:t>.</w:t>
      </w:r>
    </w:p>
    <w:p w:rsidR="00F26FF2" w:rsidRPr="00F2011E" w:rsidRDefault="00F26FF2" w:rsidP="00D70272">
      <w:pPr>
        <w:numPr>
          <w:ilvl w:val="2"/>
          <w:numId w:val="6"/>
        </w:numPr>
        <w:tabs>
          <w:tab w:val="clear" w:pos="2160"/>
          <w:tab w:val="num" w:pos="720"/>
          <w:tab w:val="left" w:pos="1740"/>
        </w:tabs>
        <w:spacing w:after="240" w:line="360" w:lineRule="auto"/>
        <w:ind w:left="714" w:hanging="357"/>
        <w:jc w:val="both"/>
        <w:rPr>
          <w:rFonts w:ascii="Trebuchet MS" w:hAnsi="Trebuchet MS"/>
        </w:rPr>
      </w:pPr>
      <w:r w:rsidRPr="00F2011E">
        <w:rPr>
          <w:rFonts w:ascii="Trebuchet MS" w:hAnsi="Trebuchet MS"/>
        </w:rPr>
        <w:t>Określono zasadę, że pomoc dla MŚP powinna być przyznawana na podstawie programów pomocowych – wówczas stosowane będą mniej restrykcyjne warunki uzyskania pomocy, np. uproszczony plan restrukturyzacyjny, brak analizy rynku, niższy wkład własny, ale jej maksymalna wysokość musi być ograniczona do 10 mln EUR dla jednego przedsiębiorstwa. Gdy pomoc miałaby być udzielona poza programem pomocowym lub w wyższej kwocie, MŚP będą musiały spełnić takie same warunki jak duże przedsiębiorstwa</w:t>
      </w:r>
      <w:r>
        <w:rPr>
          <w:rFonts w:ascii="Trebuchet MS" w:hAnsi="Trebuchet MS"/>
        </w:rPr>
        <w:t>.</w:t>
      </w:r>
    </w:p>
    <w:p w:rsidR="00F26FF2" w:rsidRPr="00F2011E" w:rsidRDefault="00F26FF2" w:rsidP="00D70272">
      <w:pPr>
        <w:tabs>
          <w:tab w:val="left" w:pos="1740"/>
        </w:tabs>
        <w:spacing w:after="240" w:line="360" w:lineRule="auto"/>
        <w:jc w:val="both"/>
        <w:rPr>
          <w:rFonts w:ascii="Trebuchet MS" w:hAnsi="Trebuchet MS"/>
        </w:rPr>
      </w:pPr>
      <w:r w:rsidRPr="00F2011E">
        <w:rPr>
          <w:rFonts w:ascii="Trebuchet MS" w:hAnsi="Trebuchet MS"/>
        </w:rPr>
        <w:t>Ponadto, Komisja Europejska znacząco uszczegółowiła oraz doprecyzowała większość dotychcza</w:t>
      </w:r>
      <w:r>
        <w:rPr>
          <w:rFonts w:ascii="Trebuchet MS" w:hAnsi="Trebuchet MS"/>
        </w:rPr>
        <w:t>s obowiązujących zasad, regulujących udzielanie pomocy na ratowanie oraz restrukturyzację</w:t>
      </w:r>
      <w:r w:rsidRPr="00F2011E">
        <w:rPr>
          <w:rFonts w:ascii="Trebuchet MS" w:hAnsi="Trebuchet MS"/>
        </w:rPr>
        <w:t xml:space="preserve">. Celem wprowadzonych zmian jest pobudzenie wzrostu gospodarczego na terenie UE, umożliwienie Komisji skupienie się na kontrolach w sprawach mających największy wpływ na rynek unijny oraz wzmacnianie współpracy z państwami członkowskimi w zakresie egzekwowania reguł pomocy państwa. Efekty tych zmian to </w:t>
      </w:r>
      <w:r>
        <w:rPr>
          <w:rFonts w:ascii="Trebuchet MS" w:hAnsi="Trebuchet MS"/>
        </w:rPr>
        <w:t>optymalizacja</w:t>
      </w:r>
      <w:r w:rsidRPr="00F2011E">
        <w:rPr>
          <w:rFonts w:ascii="Trebuchet MS" w:hAnsi="Trebuchet MS"/>
        </w:rPr>
        <w:t xml:space="preserve"> zasad i skrócenie czasu podejmowania decyzji.</w:t>
      </w:r>
    </w:p>
    <w:p w:rsidR="00F26FF2" w:rsidRPr="001A6A34" w:rsidRDefault="00F26FF2" w:rsidP="00D70272">
      <w:pPr>
        <w:tabs>
          <w:tab w:val="left" w:pos="1740"/>
        </w:tabs>
        <w:spacing w:line="360" w:lineRule="auto"/>
        <w:jc w:val="both"/>
        <w:rPr>
          <w:rFonts w:ascii="Trebuchet MS" w:hAnsi="Trebuchet MS"/>
          <w:b/>
        </w:rPr>
      </w:pPr>
      <w:r w:rsidRPr="001A6A34">
        <w:rPr>
          <w:rFonts w:ascii="Trebuchet MS" w:hAnsi="Trebuchet MS"/>
          <w:b/>
        </w:rPr>
        <w:t>SŁOWNICZEK</w:t>
      </w:r>
    </w:p>
    <w:p w:rsidR="00F26FF2" w:rsidRPr="00F2011E" w:rsidRDefault="00F26FF2" w:rsidP="00D70272">
      <w:pPr>
        <w:tabs>
          <w:tab w:val="left" w:pos="1740"/>
        </w:tabs>
        <w:spacing w:line="360" w:lineRule="auto"/>
        <w:jc w:val="both"/>
        <w:rPr>
          <w:rFonts w:ascii="Trebuchet MS" w:hAnsi="Trebuchet MS"/>
        </w:rPr>
      </w:pPr>
      <w:r w:rsidRPr="001A6A34">
        <w:rPr>
          <w:rFonts w:ascii="Trebuchet MS" w:hAnsi="Trebuchet MS"/>
          <w:b/>
        </w:rPr>
        <w:t>Efekt zachęty</w:t>
      </w:r>
      <w:r w:rsidRPr="00F2011E">
        <w:rPr>
          <w:rFonts w:ascii="Trebuchet MS" w:hAnsi="Trebuchet MS"/>
        </w:rPr>
        <w:t xml:space="preserve"> – udowodnienie, że bez pomocy państwa przedsiębiorstwo zostałoby sprzedane, zlikwidowane lub zrestrukturyzowane. w sposób, który uniemożliwia osiągnięcie celu leżącego we wspólnym interesie członków UE. </w:t>
      </w:r>
    </w:p>
    <w:p w:rsidR="00F26FF2" w:rsidRPr="00F2011E" w:rsidRDefault="00F26FF2" w:rsidP="00D70272">
      <w:pPr>
        <w:tabs>
          <w:tab w:val="left" w:pos="1740"/>
        </w:tabs>
        <w:spacing w:line="360" w:lineRule="auto"/>
        <w:jc w:val="both"/>
        <w:rPr>
          <w:rFonts w:ascii="Trebuchet MS" w:hAnsi="Trebuchet MS"/>
          <w:bCs/>
          <w:color w:val="000000"/>
        </w:rPr>
      </w:pPr>
      <w:r w:rsidRPr="001A6A34">
        <w:rPr>
          <w:rFonts w:ascii="Trebuchet MS" w:hAnsi="Trebuchet MS"/>
          <w:b/>
          <w:bCs/>
          <w:color w:val="000000"/>
          <w:lang w:val="en-US"/>
        </w:rPr>
        <w:t>EBITDA</w:t>
      </w:r>
      <w:r w:rsidRPr="00F2011E">
        <w:rPr>
          <w:rFonts w:ascii="Trebuchet MS" w:hAnsi="Trebuchet MS"/>
          <w:bCs/>
          <w:color w:val="000000"/>
          <w:lang w:val="en-US"/>
        </w:rPr>
        <w:t xml:space="preserve"> - </w:t>
      </w:r>
      <w:r w:rsidRPr="00F2011E">
        <w:rPr>
          <w:rFonts w:ascii="Trebuchet MS" w:hAnsi="Trebuchet MS"/>
          <w:lang w:val="en-US"/>
        </w:rPr>
        <w:t xml:space="preserve">ang. </w:t>
      </w:r>
      <w:r w:rsidRPr="00895755">
        <w:rPr>
          <w:rFonts w:ascii="Trebuchet MS" w:hAnsi="Trebuchet MS"/>
          <w:i/>
          <w:lang w:val="en-US"/>
        </w:rPr>
        <w:t>Earnings before Interest, Taxes, Depreciation and Amortization</w:t>
      </w:r>
      <w:r w:rsidRPr="00895755">
        <w:rPr>
          <w:rFonts w:ascii="Trebuchet MS" w:hAnsi="Trebuchet MS"/>
          <w:lang w:val="en-US"/>
        </w:rPr>
        <w:t xml:space="preserve">. </w:t>
      </w:r>
      <w:r w:rsidRPr="00F2011E">
        <w:rPr>
          <w:rFonts w:ascii="Trebuchet MS" w:hAnsi="Trebuchet MS"/>
        </w:rPr>
        <w:t>Z</w:t>
      </w:r>
      <w:r w:rsidRPr="00F2011E">
        <w:rPr>
          <w:rFonts w:ascii="Trebuchet MS" w:hAnsi="Trebuchet MS"/>
          <w:bCs/>
          <w:color w:val="000000"/>
        </w:rPr>
        <w:t>ysk przed potrąceniem odsetek od kredytów, podatków i amortyzacji.</w:t>
      </w:r>
    </w:p>
    <w:p w:rsidR="00F26FF2" w:rsidRDefault="00F26FF2" w:rsidP="00D70272">
      <w:pPr>
        <w:pStyle w:val="CommentText"/>
        <w:spacing w:line="360" w:lineRule="auto"/>
        <w:jc w:val="both"/>
        <w:rPr>
          <w:rFonts w:ascii="Trebuchet MS" w:hAnsi="Trebuchet MS"/>
          <w:sz w:val="22"/>
          <w:szCs w:val="22"/>
        </w:rPr>
      </w:pPr>
      <w:r w:rsidRPr="001A6A34">
        <w:rPr>
          <w:rFonts w:ascii="Trebuchet MS" w:hAnsi="Trebuchet MS"/>
          <w:b/>
          <w:bCs/>
          <w:color w:val="000000"/>
          <w:sz w:val="22"/>
          <w:szCs w:val="22"/>
        </w:rPr>
        <w:t>MŚP</w:t>
      </w:r>
      <w:r w:rsidRPr="00F2011E">
        <w:rPr>
          <w:rFonts w:ascii="Trebuchet MS" w:hAnsi="Trebuchet MS"/>
          <w:bCs/>
          <w:color w:val="000000"/>
          <w:sz w:val="22"/>
          <w:szCs w:val="22"/>
        </w:rPr>
        <w:t xml:space="preserve"> – Małe i Średnie Przedsiębiorstwa – czyli takie, które z</w:t>
      </w:r>
      <w:r w:rsidRPr="00F2011E">
        <w:rPr>
          <w:rFonts w:ascii="Trebuchet MS" w:hAnsi="Trebuchet MS"/>
          <w:sz w:val="22"/>
          <w:szCs w:val="22"/>
        </w:rPr>
        <w:t>atrudniają mniej niż 250 pracowników i których roczny obrót nie przekracza 50</w:t>
      </w:r>
      <w:r>
        <w:rPr>
          <w:rFonts w:ascii="Trebuchet MS" w:hAnsi="Trebuchet MS"/>
          <w:sz w:val="22"/>
          <w:szCs w:val="22"/>
        </w:rPr>
        <w:t xml:space="preserve"> </w:t>
      </w:r>
      <w:r w:rsidRPr="00F2011E">
        <w:rPr>
          <w:rFonts w:ascii="Trebuchet MS" w:hAnsi="Trebuchet MS"/>
          <w:sz w:val="22"/>
          <w:szCs w:val="22"/>
        </w:rPr>
        <w:t>mln euro lub roczna suma bilansowa nie przekracza 43 mln eur</w:t>
      </w:r>
      <w:r>
        <w:rPr>
          <w:rFonts w:ascii="Trebuchet MS" w:hAnsi="Trebuchet MS"/>
          <w:sz w:val="22"/>
          <w:szCs w:val="22"/>
        </w:rPr>
        <w:t>o</w:t>
      </w:r>
      <w:r w:rsidRPr="00F2011E">
        <w:rPr>
          <w:rFonts w:ascii="Trebuchet MS" w:hAnsi="Trebuchet MS"/>
          <w:sz w:val="22"/>
          <w:szCs w:val="22"/>
        </w:rPr>
        <w:t>.</w:t>
      </w:r>
    </w:p>
    <w:p w:rsidR="00F26FF2" w:rsidRPr="00F2011E" w:rsidRDefault="00F26FF2" w:rsidP="00895755">
      <w:pPr>
        <w:pStyle w:val="CommentText"/>
        <w:jc w:val="both"/>
        <w:rPr>
          <w:rFonts w:ascii="Trebuchet MS" w:hAnsi="Trebuchet MS"/>
          <w:bCs/>
          <w:color w:val="000000"/>
          <w:sz w:val="22"/>
          <w:szCs w:val="22"/>
        </w:rPr>
      </w:pPr>
    </w:p>
    <w:p w:rsidR="00F26FF2" w:rsidRPr="00B011BF" w:rsidRDefault="00F26FF2" w:rsidP="00BE3F0D">
      <w:pPr>
        <w:spacing w:line="360" w:lineRule="auto"/>
        <w:jc w:val="both"/>
        <w:rPr>
          <w:rFonts w:ascii="Trebuchet MS" w:hAnsi="Trebuchet MS"/>
        </w:rPr>
      </w:pPr>
      <w:r>
        <w:rPr>
          <w:rFonts w:ascii="Trebuchet MS" w:hAnsi="Trebuchet MS"/>
        </w:rPr>
        <w:t>Artykuł ukazał się 23 września 2014 roku w Dzienniku Gazecie Prawnej.</w:t>
      </w:r>
    </w:p>
    <w:sectPr w:rsidR="00F26FF2" w:rsidRPr="00B011BF" w:rsidSect="009D35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F2" w:rsidRDefault="00F26FF2" w:rsidP="007D0C4F">
      <w:pPr>
        <w:spacing w:after="0" w:line="240" w:lineRule="auto"/>
      </w:pPr>
      <w:r>
        <w:separator/>
      </w:r>
    </w:p>
  </w:endnote>
  <w:endnote w:type="continuationSeparator" w:id="0">
    <w:p w:rsidR="00F26FF2" w:rsidRDefault="00F26FF2" w:rsidP="007D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F2" w:rsidRDefault="00F26FF2">
    <w:pPr>
      <w:pStyle w:val="Footer"/>
    </w:pPr>
    <w:r>
      <w:rPr>
        <w:noProof/>
        <w:lang w:eastAsia="pl-PL"/>
      </w:rPr>
      <w:pict>
        <v:line id="Łącznik prostoliniowy 8" o:spid="_x0000_s2049" style="position:absolute;flip:y;z-index:-251656704;visibility:visible" from="232.85pt,756pt" to="250.8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"/>
      </w:pict>
    </w:r>
    <w:r>
      <w:rPr>
        <w:noProof/>
        <w:lang w:eastAsia="pl-PL"/>
      </w:rPr>
      <w:pict>
        <v:line id="Łącznik prostoliniowy 7" o:spid="_x0000_s2050" style="position:absolute;z-index:-251657728;visibility:visible" from="214.85pt,756pt" to="232.8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"/>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1" type="#_x0000_t75" alt="logo uokik PL- jpg" style="position:absolute;margin-left:84.85pt;margin-top:765pt;width:117pt;height:42.1pt;z-index:-251658752;visibility:visible">
          <v:imagedata r:id="rId1" o:title=""/>
        </v:shape>
      </w:pict>
    </w:r>
    <w:r>
      <w:rPr>
        <w:noProof/>
        <w:lang w:eastAsia="pl-PL"/>
      </w:rPr>
      <w:pict>
        <v:shape id="Obraz 4" o:spid="_x0000_s2052" type="#_x0000_t75" alt="logo uokik PL- jpg" style="position:absolute;margin-left:257.35pt;margin-top:768.45pt;width:117pt;height:42.1pt;z-index:-251659776;visibility:visible">
          <v:imagedata r:id="rId1" o:title=""/>
        </v:shape>
      </w:pict>
    </w:r>
    <w:r>
      <w:rPr>
        <w:noProof/>
        <w:lang w:eastAsia="pl-PL"/>
      </w:rPr>
      <w:pict>
        <v:shape id="Obraz 3" o:spid="_x0000_s2053" type="#_x0000_t75" alt="logo uokik PL- jpg" style="position:absolute;margin-left:257.35pt;margin-top:768.45pt;width:117pt;height:42.1pt;z-index:-251660800;visibility:visible">
          <v:imagedata r:id="rId1" o:title=""/>
        </v:shape>
      </w:pict>
    </w:r>
    <w:r>
      <w:rPr>
        <w:noProof/>
        <w:lang w:eastAsia="pl-PL"/>
      </w:rPr>
      <w:pict>
        <v:shape id="Obraz 2" o:spid="_x0000_s2054" type="#_x0000_t75" alt="logo uokik PL- jpg" style="position:absolute;margin-left:84.85pt;margin-top:765.2pt;width:117pt;height:42.1pt;z-index:-251661824;visibility:visible">
          <v:imagedata r:id="rId1" o:title=""/>
        </v:shape>
      </w:pict>
    </w:r>
    <w:r w:rsidRPr="00A0450F">
      <w:rPr>
        <w:noProof/>
        <w:lang w:eastAsia="pl-PL"/>
      </w:rPr>
      <w:pict>
        <v:shape id="Obraz 12" o:spid="_x0000_i1028" type="#_x0000_t75" style="width:452.25pt;height:55.5pt;visibility:visible">
          <v:imagedata r:id="rId2" o:title=""/>
        </v:shape>
      </w:pict>
    </w:r>
    <w:r>
      <w:rPr>
        <w:noProof/>
        <w:lang w:eastAsia="pl-PL"/>
      </w:rPr>
      <w:pict>
        <v:line id="Łącznik prostoliniowy 11" o:spid="_x0000_s2055" style="position:absolute;z-index:-251655680;visibility:visible;mso-position-horizontal-relative:text;mso-position-vertical-relative:text" from="163pt,420.65pt" to="433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F2" w:rsidRDefault="00F26FF2" w:rsidP="007D0C4F">
      <w:pPr>
        <w:spacing w:after="0" w:line="240" w:lineRule="auto"/>
      </w:pPr>
      <w:r>
        <w:separator/>
      </w:r>
    </w:p>
  </w:footnote>
  <w:footnote w:type="continuationSeparator" w:id="0">
    <w:p w:rsidR="00F26FF2" w:rsidRDefault="00F26FF2" w:rsidP="007D0C4F">
      <w:pPr>
        <w:spacing w:after="0" w:line="240" w:lineRule="auto"/>
      </w:pPr>
      <w:r>
        <w:continuationSeparator/>
      </w:r>
    </w:p>
  </w:footnote>
  <w:footnote w:id="1">
    <w:p w:rsidR="00F26FF2" w:rsidRDefault="00F26FF2" w:rsidP="00895755">
      <w:pPr>
        <w:pStyle w:val="FootnoteText"/>
        <w:jc w:val="both"/>
      </w:pPr>
      <w:r w:rsidRPr="00A031AA">
        <w:rPr>
          <w:rStyle w:val="FootnoteReference"/>
          <w:rFonts w:ascii="Trebuchet MS" w:hAnsi="Trebuchet MS"/>
          <w:sz w:val="18"/>
          <w:szCs w:val="18"/>
        </w:rPr>
        <w:footnoteRef/>
      </w:r>
      <w:r w:rsidRPr="00A031AA">
        <w:rPr>
          <w:rFonts w:ascii="Trebuchet MS" w:hAnsi="Trebuchet MS"/>
          <w:sz w:val="18"/>
          <w:szCs w:val="18"/>
        </w:rPr>
        <w:t xml:space="preserve"> Nowoutworzone przedsiębiorstwa w okresie pierwszych trzech lat od rozpoczęcia działalności w danej dziedzinie </w:t>
      </w:r>
      <w:r w:rsidRPr="00D60CC1">
        <w:rPr>
          <w:rFonts w:ascii="Trebuchet MS" w:hAnsi="Trebuchet MS"/>
          <w:sz w:val="18"/>
          <w:szCs w:val="18"/>
        </w:rPr>
        <w:t>nie kwalifikują się</w:t>
      </w:r>
      <w:r w:rsidRPr="00A031AA">
        <w:rPr>
          <w:rFonts w:ascii="Trebuchet MS" w:hAnsi="Trebuchet MS"/>
          <w:sz w:val="18"/>
          <w:szCs w:val="18"/>
        </w:rPr>
        <w:t xml:space="preserve"> do uzyskania pomocy . Wyjątkiem s</w:t>
      </w:r>
      <w:r>
        <w:rPr>
          <w:rFonts w:ascii="Trebuchet MS" w:hAnsi="Trebuchet MS"/>
          <w:sz w:val="18"/>
          <w:szCs w:val="18"/>
        </w:rPr>
        <w:t>ą przedsiębiorstwa z segmentu MŚ</w:t>
      </w:r>
      <w:r w:rsidRPr="00A031AA">
        <w:rPr>
          <w:rFonts w:ascii="Trebuchet MS" w:hAnsi="Trebuchet MS"/>
          <w:sz w:val="18"/>
          <w:szCs w:val="18"/>
        </w:rPr>
        <w:t>P, które są przedmiotem zbiorowego postępowania upadłościowego lub spełniają kryteria objęcia zbiorow</w:t>
      </w:r>
      <w:r>
        <w:rPr>
          <w:rFonts w:ascii="Trebuchet MS" w:hAnsi="Trebuchet MS"/>
          <w:sz w:val="18"/>
          <w:szCs w:val="18"/>
        </w:rPr>
        <w:t xml:space="preserve">ym postępowaniem upadłościowym </w:t>
      </w:r>
      <w:r w:rsidRPr="00A031AA">
        <w:rPr>
          <w:rFonts w:ascii="Trebuchet MS" w:hAnsi="Trebuchet MS"/>
          <w:sz w:val="18"/>
          <w:szCs w:val="18"/>
        </w:rPr>
        <w:t>na wniosek wierzycieli.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F2" w:rsidRDefault="00F26FF2">
    <w:pPr>
      <w:pStyle w:val="Header"/>
    </w:pPr>
    <w:r w:rsidRPr="00A0450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6.25pt;height:56.25pt;visibility:visible">
          <v:imagedata r:id="rId1" o:title=""/>
        </v:shape>
      </w:pict>
    </w:r>
  </w:p>
  <w:p w:rsidR="00F26FF2" w:rsidRDefault="00F26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F14"/>
    <w:multiLevelType w:val="hybridMultilevel"/>
    <w:tmpl w:val="51DCFAAA"/>
    <w:lvl w:ilvl="0" w:tplc="4BBAA714">
      <w:start w:val="1"/>
      <w:numFmt w:val="bullet"/>
      <w:lvlText w:val="−"/>
      <w:lvlJc w:val="left"/>
      <w:pPr>
        <w:tabs>
          <w:tab w:val="num" w:pos="1428"/>
        </w:tabs>
        <w:ind w:left="1428" w:hanging="360"/>
      </w:pPr>
      <w:rPr>
        <w:rFonts w:ascii="Times New Roman" w:hAnsi="Times New Roman" w:hint="default"/>
      </w:rPr>
    </w:lvl>
    <w:lvl w:ilvl="1" w:tplc="06FE8686">
      <w:start w:val="1"/>
      <w:numFmt w:val="bullet"/>
      <w:lvlText w:val=""/>
      <w:lvlJc w:val="left"/>
      <w:pPr>
        <w:tabs>
          <w:tab w:val="num" w:pos="340"/>
        </w:tabs>
        <w:ind w:left="340" w:hanging="34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AC43836"/>
    <w:multiLevelType w:val="hybridMultilevel"/>
    <w:tmpl w:val="1DB4EF66"/>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E80751E"/>
    <w:multiLevelType w:val="hybridMultilevel"/>
    <w:tmpl w:val="AE1E5510"/>
    <w:lvl w:ilvl="0" w:tplc="54883AFA">
      <w:start w:val="1"/>
      <w:numFmt w:val="lowerLetter"/>
      <w:lvlText w:val="%1)"/>
      <w:lvlJc w:val="left"/>
      <w:pPr>
        <w:tabs>
          <w:tab w:val="num" w:pos="340"/>
        </w:tabs>
        <w:ind w:left="340" w:hanging="340"/>
      </w:pPr>
      <w:rPr>
        <w:rFonts w:cs="Times New Roman" w:hint="default"/>
        <w:b w:val="0"/>
        <w:i w:val="0"/>
        <w:color w:val="auto"/>
        <w:sz w:val="24"/>
      </w:rPr>
    </w:lvl>
    <w:lvl w:ilvl="1" w:tplc="CAF00BBC">
      <w:start w:val="1"/>
      <w:numFmt w:val="bullet"/>
      <w:lvlText w:val=""/>
      <w:lvlJc w:val="left"/>
      <w:pPr>
        <w:tabs>
          <w:tab w:val="num" w:pos="340"/>
        </w:tabs>
        <w:ind w:left="340" w:hanging="340"/>
      </w:pPr>
      <w:rPr>
        <w:rFonts w:ascii="Wingdings" w:hAnsi="Wingdings" w:hint="default"/>
        <w:b w:val="0"/>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0075955"/>
    <w:multiLevelType w:val="hybridMultilevel"/>
    <w:tmpl w:val="266A3B46"/>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78834B4"/>
    <w:multiLevelType w:val="hybridMultilevel"/>
    <w:tmpl w:val="515E1C3E"/>
    <w:lvl w:ilvl="0" w:tplc="DC265CA6">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4000E23"/>
    <w:multiLevelType w:val="hybridMultilevel"/>
    <w:tmpl w:val="456822CC"/>
    <w:lvl w:ilvl="0" w:tplc="59A471B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20"/>
        </w:tabs>
        <w:ind w:left="1020" w:hanging="360"/>
      </w:pPr>
      <w:rPr>
        <w:rFonts w:ascii="Courier New" w:hAnsi="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C4F"/>
    <w:rsid w:val="00012D54"/>
    <w:rsid w:val="00016569"/>
    <w:rsid w:val="00017482"/>
    <w:rsid w:val="00022E7C"/>
    <w:rsid w:val="00026A24"/>
    <w:rsid w:val="00030CD0"/>
    <w:rsid w:val="0004211E"/>
    <w:rsid w:val="00051EAC"/>
    <w:rsid w:val="0007437C"/>
    <w:rsid w:val="00092304"/>
    <w:rsid w:val="00093DBA"/>
    <w:rsid w:val="000A2C50"/>
    <w:rsid w:val="000C773F"/>
    <w:rsid w:val="000D574C"/>
    <w:rsid w:val="00100542"/>
    <w:rsid w:val="00105274"/>
    <w:rsid w:val="00126CA0"/>
    <w:rsid w:val="0013114D"/>
    <w:rsid w:val="00132019"/>
    <w:rsid w:val="00140845"/>
    <w:rsid w:val="00151518"/>
    <w:rsid w:val="00155FB9"/>
    <w:rsid w:val="00161030"/>
    <w:rsid w:val="00163EAC"/>
    <w:rsid w:val="0016739E"/>
    <w:rsid w:val="00182992"/>
    <w:rsid w:val="00183244"/>
    <w:rsid w:val="001961A5"/>
    <w:rsid w:val="001A6A34"/>
    <w:rsid w:val="001C35F4"/>
    <w:rsid w:val="001E2BEA"/>
    <w:rsid w:val="0024748F"/>
    <w:rsid w:val="00291D7D"/>
    <w:rsid w:val="00292D69"/>
    <w:rsid w:val="00315ED2"/>
    <w:rsid w:val="00317E8E"/>
    <w:rsid w:val="003372BB"/>
    <w:rsid w:val="0035473A"/>
    <w:rsid w:val="003879DD"/>
    <w:rsid w:val="003B7D5B"/>
    <w:rsid w:val="003F08A3"/>
    <w:rsid w:val="00406848"/>
    <w:rsid w:val="0042778A"/>
    <w:rsid w:val="004348B2"/>
    <w:rsid w:val="00451CBA"/>
    <w:rsid w:val="0045538F"/>
    <w:rsid w:val="00460353"/>
    <w:rsid w:val="00476FFA"/>
    <w:rsid w:val="0048559E"/>
    <w:rsid w:val="004868C9"/>
    <w:rsid w:val="004B426E"/>
    <w:rsid w:val="004C0709"/>
    <w:rsid w:val="004C49B4"/>
    <w:rsid w:val="004D314B"/>
    <w:rsid w:val="004E031B"/>
    <w:rsid w:val="00513BC0"/>
    <w:rsid w:val="005232F6"/>
    <w:rsid w:val="005315A2"/>
    <w:rsid w:val="005925A5"/>
    <w:rsid w:val="00595CE5"/>
    <w:rsid w:val="005B69F5"/>
    <w:rsid w:val="005C1CDA"/>
    <w:rsid w:val="005C343C"/>
    <w:rsid w:val="005D1012"/>
    <w:rsid w:val="005D3300"/>
    <w:rsid w:val="00611467"/>
    <w:rsid w:val="006148D0"/>
    <w:rsid w:val="00677266"/>
    <w:rsid w:val="006818FB"/>
    <w:rsid w:val="006A0C1C"/>
    <w:rsid w:val="006A2870"/>
    <w:rsid w:val="006D3043"/>
    <w:rsid w:val="006D3B02"/>
    <w:rsid w:val="006F005D"/>
    <w:rsid w:val="00710EE8"/>
    <w:rsid w:val="00712A79"/>
    <w:rsid w:val="007331BE"/>
    <w:rsid w:val="00771009"/>
    <w:rsid w:val="00771F7B"/>
    <w:rsid w:val="00775CAA"/>
    <w:rsid w:val="007834C6"/>
    <w:rsid w:val="0078584A"/>
    <w:rsid w:val="007A36EB"/>
    <w:rsid w:val="007A63D6"/>
    <w:rsid w:val="007B695B"/>
    <w:rsid w:val="007C214F"/>
    <w:rsid w:val="007D0C4F"/>
    <w:rsid w:val="007E3D3A"/>
    <w:rsid w:val="00804203"/>
    <w:rsid w:val="00812B5D"/>
    <w:rsid w:val="008207C5"/>
    <w:rsid w:val="00857C6A"/>
    <w:rsid w:val="00861C8F"/>
    <w:rsid w:val="00864CE9"/>
    <w:rsid w:val="00890B43"/>
    <w:rsid w:val="00895755"/>
    <w:rsid w:val="00897DC2"/>
    <w:rsid w:val="008B4D4A"/>
    <w:rsid w:val="008E065D"/>
    <w:rsid w:val="008E0688"/>
    <w:rsid w:val="0091679A"/>
    <w:rsid w:val="00957460"/>
    <w:rsid w:val="00957A9E"/>
    <w:rsid w:val="0098596A"/>
    <w:rsid w:val="009976D7"/>
    <w:rsid w:val="00997E38"/>
    <w:rsid w:val="009B03AA"/>
    <w:rsid w:val="009B241C"/>
    <w:rsid w:val="009B3824"/>
    <w:rsid w:val="009B6361"/>
    <w:rsid w:val="009D3594"/>
    <w:rsid w:val="009E309A"/>
    <w:rsid w:val="00A01E8F"/>
    <w:rsid w:val="00A031AA"/>
    <w:rsid w:val="00A0450F"/>
    <w:rsid w:val="00A555D0"/>
    <w:rsid w:val="00A85A25"/>
    <w:rsid w:val="00A90FE6"/>
    <w:rsid w:val="00A96BD9"/>
    <w:rsid w:val="00A974D8"/>
    <w:rsid w:val="00AA1C0B"/>
    <w:rsid w:val="00AC3F4F"/>
    <w:rsid w:val="00AE1027"/>
    <w:rsid w:val="00AE46FA"/>
    <w:rsid w:val="00AF3430"/>
    <w:rsid w:val="00B011BF"/>
    <w:rsid w:val="00B05144"/>
    <w:rsid w:val="00B224DD"/>
    <w:rsid w:val="00B31A3A"/>
    <w:rsid w:val="00B36ECF"/>
    <w:rsid w:val="00B3764F"/>
    <w:rsid w:val="00B653E2"/>
    <w:rsid w:val="00B67DAA"/>
    <w:rsid w:val="00B81DB4"/>
    <w:rsid w:val="00BA17CC"/>
    <w:rsid w:val="00BB2848"/>
    <w:rsid w:val="00BB52C8"/>
    <w:rsid w:val="00BC306A"/>
    <w:rsid w:val="00BE3F0D"/>
    <w:rsid w:val="00BF6E01"/>
    <w:rsid w:val="00C2388B"/>
    <w:rsid w:val="00C31CAC"/>
    <w:rsid w:val="00C74960"/>
    <w:rsid w:val="00C841D5"/>
    <w:rsid w:val="00C92EFE"/>
    <w:rsid w:val="00C969E2"/>
    <w:rsid w:val="00CA4E90"/>
    <w:rsid w:val="00CA6527"/>
    <w:rsid w:val="00CD3FCC"/>
    <w:rsid w:val="00CE43C7"/>
    <w:rsid w:val="00CF51A2"/>
    <w:rsid w:val="00D061B2"/>
    <w:rsid w:val="00D465D4"/>
    <w:rsid w:val="00D60CC1"/>
    <w:rsid w:val="00D70272"/>
    <w:rsid w:val="00DA7302"/>
    <w:rsid w:val="00DB645E"/>
    <w:rsid w:val="00DE51D7"/>
    <w:rsid w:val="00DF4392"/>
    <w:rsid w:val="00E22E69"/>
    <w:rsid w:val="00E23FCB"/>
    <w:rsid w:val="00E30827"/>
    <w:rsid w:val="00E513A9"/>
    <w:rsid w:val="00E56E86"/>
    <w:rsid w:val="00E6648B"/>
    <w:rsid w:val="00E759FA"/>
    <w:rsid w:val="00E90A0F"/>
    <w:rsid w:val="00E93697"/>
    <w:rsid w:val="00EB6ECC"/>
    <w:rsid w:val="00EE196B"/>
    <w:rsid w:val="00F03A95"/>
    <w:rsid w:val="00F04F47"/>
    <w:rsid w:val="00F05594"/>
    <w:rsid w:val="00F07398"/>
    <w:rsid w:val="00F16F43"/>
    <w:rsid w:val="00F2011E"/>
    <w:rsid w:val="00F25E56"/>
    <w:rsid w:val="00F26FF2"/>
    <w:rsid w:val="00F33748"/>
    <w:rsid w:val="00F35DDA"/>
    <w:rsid w:val="00F609BD"/>
    <w:rsid w:val="00F72521"/>
    <w:rsid w:val="00FA5856"/>
    <w:rsid w:val="00FD27E2"/>
    <w:rsid w:val="00FD5E3B"/>
    <w:rsid w:val="00FF07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KOMUNIKATU">
    <w:name w:val="TEKST KOMUNIKATU"/>
    <w:basedOn w:val="BodyText"/>
    <w:link w:val="TEKSTKOMUNIKATUZnak"/>
    <w:uiPriority w:val="99"/>
    <w:rsid w:val="007D0C4F"/>
    <w:pPr>
      <w:spacing w:after="240" w:line="360" w:lineRule="auto"/>
      <w:jc w:val="both"/>
    </w:pPr>
    <w:rPr>
      <w:rFonts w:ascii="Georgia" w:eastAsia="Times New Roman" w:hAnsi="Georgia"/>
      <w:kern w:val="16"/>
      <w:sz w:val="24"/>
      <w:szCs w:val="24"/>
      <w:lang w:val="en-US" w:eastAsia="pl-PL"/>
    </w:rPr>
  </w:style>
  <w:style w:type="character" w:customStyle="1" w:styleId="TEKSTKOMUNIKATUZnak">
    <w:name w:val="TEKST KOMUNIKATU Znak"/>
    <w:link w:val="TEKSTKOMUNIKATU"/>
    <w:uiPriority w:val="99"/>
    <w:locked/>
    <w:rsid w:val="007D0C4F"/>
    <w:rPr>
      <w:rFonts w:ascii="Georgia" w:hAnsi="Georgia"/>
      <w:kern w:val="16"/>
      <w:sz w:val="24"/>
      <w:lang w:val="en-US" w:eastAsia="pl-PL"/>
    </w:rPr>
  </w:style>
  <w:style w:type="character" w:styleId="Emphasis">
    <w:name w:val="Emphasis"/>
    <w:basedOn w:val="DefaultParagraphFont"/>
    <w:uiPriority w:val="99"/>
    <w:qFormat/>
    <w:rsid w:val="007D0C4F"/>
    <w:rPr>
      <w:rFonts w:cs="Times New Roman"/>
      <w:i/>
    </w:rPr>
  </w:style>
  <w:style w:type="character" w:styleId="Strong">
    <w:name w:val="Strong"/>
    <w:basedOn w:val="DefaultParagraphFont"/>
    <w:uiPriority w:val="99"/>
    <w:qFormat/>
    <w:rsid w:val="007D0C4F"/>
    <w:rPr>
      <w:rFonts w:cs="Times New Roman"/>
      <w:b/>
    </w:rPr>
  </w:style>
  <w:style w:type="paragraph" w:customStyle="1" w:styleId="tekstkomunikatu0">
    <w:name w:val="tekstkomunikatu"/>
    <w:basedOn w:val="Normal"/>
    <w:uiPriority w:val="99"/>
    <w:rsid w:val="007D0C4F"/>
    <w:pPr>
      <w:spacing w:after="240" w:line="360" w:lineRule="auto"/>
      <w:jc w:val="both"/>
    </w:pPr>
    <w:rPr>
      <w:rFonts w:ascii="Georgia" w:eastAsia="Times New Roman" w:hAnsi="Georgia"/>
      <w:sz w:val="24"/>
      <w:szCs w:val="24"/>
      <w:lang w:eastAsia="pl-PL"/>
    </w:rPr>
  </w:style>
  <w:style w:type="paragraph" w:customStyle="1" w:styleId="tytukomunikatu">
    <w:name w:val="tytukomunikatu"/>
    <w:basedOn w:val="Normal"/>
    <w:uiPriority w:val="99"/>
    <w:rsid w:val="007D0C4F"/>
    <w:pPr>
      <w:keepNext/>
      <w:spacing w:before="120" w:after="120" w:line="360" w:lineRule="auto"/>
    </w:pPr>
    <w:rPr>
      <w:rFonts w:ascii="Georgia" w:eastAsia="Times New Roman" w:hAnsi="Georgia"/>
      <w:caps/>
      <w:sz w:val="28"/>
      <w:szCs w:val="28"/>
      <w:lang w:eastAsia="pl-PL"/>
    </w:rPr>
  </w:style>
  <w:style w:type="paragraph" w:styleId="BodyText">
    <w:name w:val="Body Text"/>
    <w:basedOn w:val="Normal"/>
    <w:link w:val="BodyTextChar"/>
    <w:uiPriority w:val="99"/>
    <w:semiHidden/>
    <w:rsid w:val="007D0C4F"/>
    <w:pPr>
      <w:spacing w:after="120"/>
    </w:pPr>
  </w:style>
  <w:style w:type="character" w:customStyle="1" w:styleId="BodyTextChar">
    <w:name w:val="Body Text Char"/>
    <w:basedOn w:val="DefaultParagraphFont"/>
    <w:link w:val="BodyText"/>
    <w:uiPriority w:val="99"/>
    <w:semiHidden/>
    <w:locked/>
    <w:rsid w:val="007D0C4F"/>
    <w:rPr>
      <w:rFonts w:cs="Times New Roman"/>
    </w:rPr>
  </w:style>
  <w:style w:type="paragraph" w:styleId="Header">
    <w:name w:val="header"/>
    <w:basedOn w:val="Normal"/>
    <w:link w:val="HeaderChar"/>
    <w:uiPriority w:val="99"/>
    <w:rsid w:val="007D0C4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D0C4F"/>
    <w:rPr>
      <w:rFonts w:cs="Times New Roman"/>
    </w:rPr>
  </w:style>
  <w:style w:type="paragraph" w:styleId="Footer">
    <w:name w:val="footer"/>
    <w:basedOn w:val="Normal"/>
    <w:link w:val="FooterChar"/>
    <w:uiPriority w:val="99"/>
    <w:rsid w:val="007D0C4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D0C4F"/>
    <w:rPr>
      <w:rFonts w:cs="Times New Roman"/>
    </w:rPr>
  </w:style>
  <w:style w:type="paragraph" w:styleId="BalloonText">
    <w:name w:val="Balloon Text"/>
    <w:basedOn w:val="Normal"/>
    <w:link w:val="BalloonTextChar"/>
    <w:uiPriority w:val="99"/>
    <w:semiHidden/>
    <w:rsid w:val="007D0C4F"/>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7D0C4F"/>
    <w:rPr>
      <w:rFonts w:ascii="Tahoma" w:hAnsi="Tahoma"/>
      <w:sz w:val="16"/>
    </w:rPr>
  </w:style>
  <w:style w:type="character" w:styleId="Hyperlink">
    <w:name w:val="Hyperlink"/>
    <w:basedOn w:val="DefaultParagraphFont"/>
    <w:uiPriority w:val="99"/>
    <w:rsid w:val="00100542"/>
    <w:rPr>
      <w:rFonts w:cs="Times New Roman"/>
      <w:color w:val="0000FF"/>
      <w:u w:val="single"/>
    </w:rPr>
  </w:style>
  <w:style w:type="character" w:styleId="CommentReference">
    <w:name w:val="annotation reference"/>
    <w:basedOn w:val="DefaultParagraphFont"/>
    <w:uiPriority w:val="99"/>
    <w:semiHidden/>
    <w:rsid w:val="00B31A3A"/>
    <w:rPr>
      <w:rFonts w:cs="Times New Roman"/>
      <w:sz w:val="16"/>
      <w:szCs w:val="16"/>
    </w:rPr>
  </w:style>
  <w:style w:type="paragraph" w:styleId="CommentText">
    <w:name w:val="annotation text"/>
    <w:basedOn w:val="Normal"/>
    <w:link w:val="CommentTextChar"/>
    <w:uiPriority w:val="99"/>
    <w:rsid w:val="00B31A3A"/>
    <w:rPr>
      <w:sz w:val="20"/>
      <w:szCs w:val="20"/>
    </w:rPr>
  </w:style>
  <w:style w:type="character" w:customStyle="1" w:styleId="CommentTextChar">
    <w:name w:val="Comment Text Char"/>
    <w:basedOn w:val="DefaultParagraphFont"/>
    <w:link w:val="CommentText"/>
    <w:uiPriority w:val="99"/>
    <w:locked/>
    <w:rsid w:val="00B31A3A"/>
    <w:rPr>
      <w:rFonts w:cs="Times New Roman"/>
      <w:lang w:eastAsia="en-US"/>
    </w:rPr>
  </w:style>
  <w:style w:type="paragraph" w:styleId="CommentSubject">
    <w:name w:val="annotation subject"/>
    <w:basedOn w:val="CommentText"/>
    <w:next w:val="CommentText"/>
    <w:link w:val="CommentSubjectChar"/>
    <w:uiPriority w:val="99"/>
    <w:semiHidden/>
    <w:rsid w:val="00B31A3A"/>
    <w:rPr>
      <w:b/>
      <w:bCs/>
    </w:rPr>
  </w:style>
  <w:style w:type="character" w:customStyle="1" w:styleId="CommentSubjectChar">
    <w:name w:val="Comment Subject Char"/>
    <w:basedOn w:val="CommentTextChar"/>
    <w:link w:val="CommentSubject"/>
    <w:uiPriority w:val="99"/>
    <w:semiHidden/>
    <w:locked/>
    <w:rsid w:val="00B31A3A"/>
    <w:rPr>
      <w:b/>
      <w:bCs/>
    </w:rPr>
  </w:style>
  <w:style w:type="paragraph" w:styleId="NormalWeb">
    <w:name w:val="Normal (Web)"/>
    <w:basedOn w:val="Normal"/>
    <w:uiPriority w:val="99"/>
    <w:rsid w:val="00EB6ECC"/>
    <w:pPr>
      <w:spacing w:after="100" w:afterAutospacing="1" w:line="372" w:lineRule="auto"/>
    </w:pPr>
    <w:rPr>
      <w:rFonts w:ascii="Times New Roman" w:eastAsia="Times New Roman" w:hAnsi="Times New Roman"/>
      <w:sz w:val="24"/>
      <w:szCs w:val="24"/>
      <w:lang w:eastAsia="pl-PL"/>
    </w:rPr>
  </w:style>
  <w:style w:type="paragraph" w:styleId="FootnoteText">
    <w:name w:val="footnote text"/>
    <w:aliases w:val="fn,Schriftart: 9 pt,Schriftart: 10 pt,Schriftart: 8 pt,WB-Fußnotentext,Schriftart,9 pt,10 pt,8 pt,Podrozdział,Footnote,Podrozdzia3,-E Fuﬂnotentext,Fuﬂnotentext Ursprung,Fußnotentext Ursprung,-E Fußnotentext,Footnote text,Fußnote"/>
    <w:basedOn w:val="Normal"/>
    <w:link w:val="FootnoteTextChar"/>
    <w:uiPriority w:val="99"/>
    <w:semiHidden/>
    <w:rsid w:val="00B011BF"/>
    <w:pPr>
      <w:spacing w:after="0" w:line="240" w:lineRule="auto"/>
    </w:pPr>
    <w:rPr>
      <w:rFonts w:ascii="Times New Roman" w:eastAsia="Times New Roman" w:hAnsi="Times New Roman"/>
      <w:noProof/>
      <w:sz w:val="20"/>
      <w:szCs w:val="20"/>
      <w:lang w:eastAsia="pl-PL"/>
    </w:rPr>
  </w:style>
  <w:style w:type="character" w:customStyle="1" w:styleId="FootnoteTextChar">
    <w:name w:val="Footnote Text Char"/>
    <w:aliases w:val="fn Char,Schriftart: 9 pt Char,Schriftart: 10 pt Char,Schriftart: 8 pt Char,WB-Fußnotentext Char,Schriftart Char,9 pt Char,10 pt Char,8 pt Char,Podrozdział Char,Footnote Char,Podrozdzia3 Char,-E Fuﬂnotentext Char,-E Fußnotentext Char"/>
    <w:basedOn w:val="DefaultParagraphFont"/>
    <w:link w:val="FootnoteText"/>
    <w:uiPriority w:val="99"/>
    <w:semiHidden/>
    <w:locked/>
    <w:rsid w:val="00B011BF"/>
    <w:rPr>
      <w:rFonts w:ascii="Times New Roman" w:hAnsi="Times New Roman" w:cs="Times New Roman"/>
      <w:noProof/>
    </w:rPr>
  </w:style>
  <w:style w:type="character" w:styleId="FootnoteReference">
    <w:name w:val="footnote reference"/>
    <w:aliases w:val="Footnote Reference Number"/>
    <w:basedOn w:val="DefaultParagraphFont"/>
    <w:uiPriority w:val="99"/>
    <w:semiHidden/>
    <w:rsid w:val="00B011BF"/>
    <w:rPr>
      <w:rFonts w:cs="Times New Roman"/>
      <w:vertAlign w:val="superscript"/>
    </w:rPr>
  </w:style>
  <w:style w:type="paragraph" w:styleId="BodyTextIndent3">
    <w:name w:val="Body Text Indent 3"/>
    <w:basedOn w:val="Normal"/>
    <w:link w:val="BodyTextIndent3Char"/>
    <w:uiPriority w:val="99"/>
    <w:rsid w:val="00B011BF"/>
    <w:pPr>
      <w:spacing w:after="120" w:line="240" w:lineRule="auto"/>
      <w:ind w:left="283"/>
    </w:pPr>
    <w:rPr>
      <w:rFonts w:ascii="Times New Roman" w:eastAsia="Times New Roman" w:hAnsi="Times New Roman"/>
      <w:sz w:val="16"/>
      <w:szCs w:val="16"/>
      <w:lang w:eastAsia="pl-PL"/>
    </w:rPr>
  </w:style>
  <w:style w:type="character" w:customStyle="1" w:styleId="BodyTextIndent3Char">
    <w:name w:val="Body Text Indent 3 Char"/>
    <w:basedOn w:val="DefaultParagraphFont"/>
    <w:link w:val="BodyTextIndent3"/>
    <w:uiPriority w:val="99"/>
    <w:locked/>
    <w:rsid w:val="00B011BF"/>
    <w:rPr>
      <w:rFonts w:ascii="Times New Roman" w:hAnsi="Times New Roman" w:cs="Times New Roman"/>
      <w:sz w:val="16"/>
      <w:szCs w:val="16"/>
    </w:rPr>
  </w:style>
  <w:style w:type="paragraph" w:customStyle="1" w:styleId="ZnakZnak">
    <w:name w:val="Znak Znak"/>
    <w:basedOn w:val="Normal"/>
    <w:uiPriority w:val="99"/>
    <w:rsid w:val="00B011BF"/>
    <w:pPr>
      <w:spacing w:after="0" w:line="360" w:lineRule="auto"/>
      <w:jc w:val="both"/>
    </w:pPr>
    <w:rPr>
      <w:rFonts w:ascii="Verdana" w:eastAsia="Times New Roman" w:hAnsi="Verdana"/>
      <w:sz w:val="20"/>
      <w:szCs w:val="20"/>
      <w:lang w:eastAsia="pl-PL"/>
    </w:rPr>
  </w:style>
  <w:style w:type="paragraph" w:customStyle="1" w:styleId="Dopoziomu1">
    <w:name w:val="Do poziomu 1"/>
    <w:uiPriority w:val="99"/>
    <w:rsid w:val="00B011BF"/>
    <w:rPr>
      <w:rFonts w:ascii="Courier" w:eastAsia="Times New Roman" w:hAnsi="Courier"/>
      <w:b/>
      <w:color w:val="000000"/>
      <w:sz w:val="28"/>
      <w:szCs w:val="20"/>
      <w:lang w:val="cs-CZ"/>
    </w:rPr>
  </w:style>
  <w:style w:type="paragraph" w:customStyle="1" w:styleId="ZnakZnak1">
    <w:name w:val="Znak Znak1"/>
    <w:basedOn w:val="Normal"/>
    <w:uiPriority w:val="99"/>
    <w:rsid w:val="00895755"/>
    <w:pPr>
      <w:spacing w:after="0" w:line="360" w:lineRule="auto"/>
      <w:jc w:val="both"/>
    </w:pPr>
    <w:rPr>
      <w:rFonts w:ascii="Verdana" w:eastAsia="Times New Roman" w:hAnsi="Verdana"/>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655</Words>
  <Characters>3932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 GOLD, MEDFORLIFE – DZIAŁANIA UOKIK</dc:title>
  <dc:subject/>
  <dc:creator>Agnieszka Jaczyńska</dc:creator>
  <cp:keywords/>
  <dc:description/>
  <cp:lastModifiedBy>Paweł Ratyński</cp:lastModifiedBy>
  <cp:revision>2</cp:revision>
  <cp:lastPrinted>2014-08-18T13:14:00Z</cp:lastPrinted>
  <dcterms:created xsi:type="dcterms:W3CDTF">2014-09-23T07:40:00Z</dcterms:created>
  <dcterms:modified xsi:type="dcterms:W3CDTF">2014-09-23T07:40:00Z</dcterms:modified>
</cp:coreProperties>
</file>