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CF" w:rsidRPr="009621A4" w:rsidRDefault="00524951" w:rsidP="002C0D5D">
      <w:pPr>
        <w:spacing w:line="360" w:lineRule="auto"/>
        <w:jc w:val="both"/>
        <w:rPr>
          <w:sz w:val="32"/>
          <w:szCs w:val="32"/>
          <w:lang w:val="en-GB"/>
        </w:rPr>
      </w:pPr>
      <w:r w:rsidRPr="00AF5E85">
        <w:rPr>
          <w:sz w:val="32"/>
          <w:szCs w:val="32"/>
          <w:lang w:val="en-GB"/>
        </w:rPr>
        <w:t>CO</w:t>
      </w:r>
      <w:bookmarkStart w:id="0" w:name="_GoBack"/>
      <w:bookmarkEnd w:id="0"/>
      <w:r w:rsidRPr="00AF5E85">
        <w:rPr>
          <w:sz w:val="32"/>
          <w:szCs w:val="32"/>
          <w:lang w:val="en-GB"/>
        </w:rPr>
        <w:t>NCENTRATION APPROVAL: TAKE-OVER OF THE STOKROTKA CHAIN</w:t>
      </w:r>
    </w:p>
    <w:p w:rsidR="00D47CCF" w:rsidRPr="009621A4" w:rsidRDefault="00D47CCF" w:rsidP="00D47CCF">
      <w:pPr>
        <w:pStyle w:val="Akapitzlist"/>
        <w:numPr>
          <w:ilvl w:val="0"/>
          <w:numId w:val="1"/>
        </w:numPr>
        <w:spacing w:before="240" w:line="360" w:lineRule="auto"/>
        <w:ind w:left="714" w:hanging="357"/>
        <w:jc w:val="both"/>
        <w:rPr>
          <w:b/>
          <w:sz w:val="22"/>
          <w:lang w:val="en-GB"/>
        </w:rPr>
      </w:pPr>
      <w:r w:rsidRPr="00AF5E85">
        <w:rPr>
          <w:b/>
          <w:bCs/>
          <w:sz w:val="22"/>
          <w:lang w:val="en-GB"/>
        </w:rPr>
        <w:t xml:space="preserve">The President of </w:t>
      </w:r>
      <w:proofErr w:type="spellStart"/>
      <w:r w:rsidRPr="00AF5E85">
        <w:rPr>
          <w:b/>
          <w:bCs/>
          <w:sz w:val="22"/>
          <w:lang w:val="en-GB"/>
        </w:rPr>
        <w:t>UOKiK</w:t>
      </w:r>
      <w:proofErr w:type="spellEnd"/>
      <w:r w:rsidRPr="00AF5E85">
        <w:rPr>
          <w:b/>
          <w:bCs/>
          <w:sz w:val="22"/>
          <w:lang w:val="en-GB"/>
        </w:rPr>
        <w:t xml:space="preserve"> has approved Maxima </w:t>
      </w:r>
      <w:proofErr w:type="spellStart"/>
      <w:r w:rsidRPr="00AF5E85">
        <w:rPr>
          <w:b/>
          <w:bCs/>
          <w:sz w:val="22"/>
          <w:lang w:val="en-GB"/>
        </w:rPr>
        <w:t>Grupe’s</w:t>
      </w:r>
      <w:proofErr w:type="spellEnd"/>
      <w:r w:rsidRPr="00AF5E85">
        <w:rPr>
          <w:b/>
          <w:bCs/>
          <w:sz w:val="22"/>
          <w:lang w:val="en-GB"/>
        </w:rPr>
        <w:t xml:space="preserve"> take-over of control over </w:t>
      </w:r>
      <w:proofErr w:type="spellStart"/>
      <w:r w:rsidRPr="00AF5E85">
        <w:rPr>
          <w:b/>
          <w:bCs/>
          <w:sz w:val="22"/>
          <w:lang w:val="en-GB"/>
        </w:rPr>
        <w:t>Emperia</w:t>
      </w:r>
      <w:proofErr w:type="spellEnd"/>
      <w:r w:rsidRPr="00AF5E85">
        <w:rPr>
          <w:b/>
          <w:bCs/>
          <w:sz w:val="22"/>
          <w:lang w:val="en-GB"/>
        </w:rPr>
        <w:t>.</w:t>
      </w:r>
    </w:p>
    <w:p w:rsidR="00D47CCF" w:rsidRPr="009621A4" w:rsidRDefault="00052CDB" w:rsidP="00D47CCF">
      <w:pPr>
        <w:pStyle w:val="Akapitzlist"/>
        <w:numPr>
          <w:ilvl w:val="0"/>
          <w:numId w:val="1"/>
        </w:numPr>
        <w:spacing w:before="240" w:line="360" w:lineRule="auto"/>
        <w:ind w:left="714" w:hanging="357"/>
        <w:jc w:val="both"/>
        <w:rPr>
          <w:sz w:val="22"/>
          <w:lang w:val="en-GB"/>
        </w:rPr>
      </w:pPr>
      <w:r w:rsidRPr="00AF5E85">
        <w:rPr>
          <w:b/>
          <w:bCs/>
          <w:sz w:val="22"/>
          <w:lang w:val="en-GB"/>
        </w:rPr>
        <w:t xml:space="preserve">The former entrepreneur runs </w:t>
      </w:r>
      <w:proofErr w:type="spellStart"/>
      <w:r w:rsidRPr="00AF5E85">
        <w:rPr>
          <w:b/>
          <w:bCs/>
          <w:i/>
          <w:iCs/>
          <w:sz w:val="22"/>
          <w:lang w:val="en-GB"/>
        </w:rPr>
        <w:t>Aldik</w:t>
      </w:r>
      <w:proofErr w:type="spellEnd"/>
      <w:r w:rsidRPr="00AF5E85">
        <w:rPr>
          <w:b/>
          <w:bCs/>
          <w:i/>
          <w:iCs/>
          <w:sz w:val="22"/>
          <w:lang w:val="en-GB"/>
        </w:rPr>
        <w:t xml:space="preserve"> </w:t>
      </w:r>
      <w:r w:rsidRPr="00AF5E85">
        <w:rPr>
          <w:b/>
          <w:bCs/>
          <w:sz w:val="22"/>
          <w:lang w:val="en-GB"/>
        </w:rPr>
        <w:t xml:space="preserve">and </w:t>
      </w:r>
      <w:r w:rsidRPr="00AF5E85">
        <w:rPr>
          <w:b/>
          <w:bCs/>
          <w:i/>
          <w:iCs/>
          <w:sz w:val="22"/>
          <w:lang w:val="en-GB"/>
        </w:rPr>
        <w:t xml:space="preserve">Sano </w:t>
      </w:r>
      <w:r w:rsidRPr="00AF5E85">
        <w:rPr>
          <w:b/>
          <w:bCs/>
          <w:sz w:val="22"/>
          <w:lang w:val="en-GB"/>
        </w:rPr>
        <w:t xml:space="preserve">chains, while the latter is the owner of the </w:t>
      </w:r>
      <w:proofErr w:type="spellStart"/>
      <w:r w:rsidRPr="00AF5E85">
        <w:rPr>
          <w:b/>
          <w:bCs/>
          <w:i/>
          <w:iCs/>
          <w:sz w:val="22"/>
          <w:lang w:val="en-GB"/>
        </w:rPr>
        <w:t>Stokrotka</w:t>
      </w:r>
      <w:proofErr w:type="spellEnd"/>
      <w:r w:rsidRPr="00AF5E85">
        <w:rPr>
          <w:b/>
          <w:bCs/>
          <w:i/>
          <w:iCs/>
          <w:sz w:val="22"/>
          <w:lang w:val="en-GB"/>
        </w:rPr>
        <w:t xml:space="preserve"> </w:t>
      </w:r>
      <w:r w:rsidRPr="00AF5E85">
        <w:rPr>
          <w:b/>
          <w:bCs/>
          <w:sz w:val="22"/>
          <w:lang w:val="en-GB"/>
        </w:rPr>
        <w:t>chain.</w:t>
      </w:r>
    </w:p>
    <w:p w:rsidR="00524951" w:rsidRPr="009621A4" w:rsidRDefault="00524951" w:rsidP="00D47CCF">
      <w:pPr>
        <w:pStyle w:val="Akapitzlist"/>
        <w:numPr>
          <w:ilvl w:val="0"/>
          <w:numId w:val="1"/>
        </w:numPr>
        <w:spacing w:before="240" w:line="360" w:lineRule="auto"/>
        <w:ind w:left="714" w:hanging="357"/>
        <w:jc w:val="both"/>
        <w:rPr>
          <w:sz w:val="22"/>
          <w:lang w:val="en-GB"/>
        </w:rPr>
      </w:pPr>
      <w:r w:rsidRPr="00AF5E85">
        <w:rPr>
          <w:b/>
          <w:bCs/>
          <w:sz w:val="22"/>
          <w:lang w:val="en-GB"/>
        </w:rPr>
        <w:t xml:space="preserve">The proceedings conducted by </w:t>
      </w:r>
      <w:proofErr w:type="spellStart"/>
      <w:r w:rsidRPr="00AF5E85">
        <w:rPr>
          <w:b/>
          <w:bCs/>
          <w:sz w:val="22"/>
          <w:lang w:val="en-GB"/>
        </w:rPr>
        <w:t>UOKiK</w:t>
      </w:r>
      <w:proofErr w:type="spellEnd"/>
      <w:r w:rsidRPr="00AF5E85">
        <w:rPr>
          <w:b/>
          <w:bCs/>
          <w:sz w:val="22"/>
          <w:lang w:val="en-GB"/>
        </w:rPr>
        <w:t xml:space="preserve"> have demonstrated that the transaction will not result in restriction of competition.</w:t>
      </w:r>
    </w:p>
    <w:p w:rsidR="00D47CCF" w:rsidRPr="009621A4" w:rsidRDefault="00D47CCF" w:rsidP="00D47CCF">
      <w:pPr>
        <w:pStyle w:val="Akapitzlist"/>
        <w:jc w:val="both"/>
        <w:rPr>
          <w:lang w:val="en-GB"/>
        </w:rPr>
      </w:pPr>
    </w:p>
    <w:p w:rsidR="006447DB" w:rsidRPr="009621A4" w:rsidRDefault="004349BA" w:rsidP="00521BA3">
      <w:pPr>
        <w:spacing w:after="240" w:line="360" w:lineRule="auto"/>
        <w:jc w:val="both"/>
        <w:rPr>
          <w:sz w:val="22"/>
          <w:lang w:val="en-GB"/>
        </w:rPr>
      </w:pPr>
      <w:r w:rsidRPr="00AF5E85">
        <w:rPr>
          <w:b/>
          <w:bCs/>
          <w:sz w:val="22"/>
          <w:lang w:val="en-GB"/>
        </w:rPr>
        <w:t>[Warsaw, 5 April 2018]</w:t>
      </w:r>
      <w:r w:rsidRPr="00AF5E85">
        <w:rPr>
          <w:sz w:val="22"/>
          <w:lang w:val="en-GB"/>
        </w:rPr>
        <w:t xml:space="preserve"> Concentration participants operate both large-area stores (above 350 m2), and traditional outlets – with the area of less than 350 m2. Maxima </w:t>
      </w:r>
      <w:proofErr w:type="spellStart"/>
      <w:r w:rsidRPr="00AF5E85">
        <w:rPr>
          <w:sz w:val="22"/>
          <w:lang w:val="en-GB"/>
        </w:rPr>
        <w:t>Grupe</w:t>
      </w:r>
      <w:proofErr w:type="spellEnd"/>
      <w:r w:rsidRPr="00AF5E85">
        <w:rPr>
          <w:sz w:val="22"/>
          <w:lang w:val="en-GB"/>
        </w:rPr>
        <w:t xml:space="preserve"> is </w:t>
      </w:r>
      <w:r w:rsidR="009621A4" w:rsidRPr="00AF5E85">
        <w:rPr>
          <w:sz w:val="22"/>
          <w:lang w:val="en-GB"/>
        </w:rPr>
        <w:br/>
      </w:r>
      <w:r w:rsidRPr="00AF5E85">
        <w:rPr>
          <w:sz w:val="22"/>
          <w:lang w:val="en-GB"/>
        </w:rPr>
        <w:t xml:space="preserve">a Lithuanian company owning two retail store chains operating in Poland - </w:t>
      </w:r>
      <w:proofErr w:type="spellStart"/>
      <w:r w:rsidRPr="00AF5E85">
        <w:rPr>
          <w:i/>
          <w:iCs/>
          <w:sz w:val="22"/>
          <w:lang w:val="en-GB"/>
        </w:rPr>
        <w:t>Aldik</w:t>
      </w:r>
      <w:proofErr w:type="spellEnd"/>
      <w:r w:rsidRPr="00AF5E85">
        <w:rPr>
          <w:sz w:val="22"/>
          <w:lang w:val="en-GB"/>
        </w:rPr>
        <w:t xml:space="preserve"> and </w:t>
      </w:r>
      <w:r w:rsidRPr="00AF5E85">
        <w:rPr>
          <w:i/>
          <w:iCs/>
          <w:sz w:val="22"/>
          <w:lang w:val="en-GB"/>
        </w:rPr>
        <w:t>Sano</w:t>
      </w:r>
      <w:r w:rsidRPr="00AF5E85">
        <w:rPr>
          <w:sz w:val="22"/>
          <w:lang w:val="en-GB"/>
        </w:rPr>
        <w:t xml:space="preserve">. </w:t>
      </w:r>
      <w:proofErr w:type="spellStart"/>
      <w:r w:rsidRPr="00AF5E85">
        <w:rPr>
          <w:sz w:val="22"/>
          <w:lang w:val="en-GB"/>
        </w:rPr>
        <w:t>Emperia</w:t>
      </w:r>
      <w:proofErr w:type="spellEnd"/>
      <w:r w:rsidRPr="00AF5E85">
        <w:rPr>
          <w:sz w:val="22"/>
          <w:lang w:val="en-GB"/>
        </w:rPr>
        <w:t xml:space="preserve"> is a Warsaw Stock Exchange listed company owning the </w:t>
      </w:r>
      <w:proofErr w:type="spellStart"/>
      <w:r w:rsidRPr="00AF5E85">
        <w:rPr>
          <w:i/>
          <w:iCs/>
          <w:sz w:val="22"/>
          <w:lang w:val="en-GB"/>
        </w:rPr>
        <w:t>Stokrotka</w:t>
      </w:r>
      <w:proofErr w:type="spellEnd"/>
      <w:r w:rsidRPr="00AF5E85">
        <w:rPr>
          <w:sz w:val="22"/>
          <w:lang w:val="en-GB"/>
        </w:rPr>
        <w:t xml:space="preserve"> chain.</w:t>
      </w:r>
    </w:p>
    <w:p w:rsidR="00AC2EA9" w:rsidRPr="009621A4" w:rsidRDefault="00AC2EA9" w:rsidP="00521BA3">
      <w:pPr>
        <w:spacing w:after="240" w:line="360" w:lineRule="auto"/>
        <w:jc w:val="both"/>
        <w:rPr>
          <w:sz w:val="22"/>
          <w:lang w:val="en-GB"/>
        </w:rPr>
      </w:pPr>
      <w:r w:rsidRPr="00AF5E85">
        <w:rPr>
          <w:sz w:val="22"/>
          <w:lang w:val="en-GB"/>
        </w:rPr>
        <w:t xml:space="preserve">In January 2018 </w:t>
      </w:r>
      <w:proofErr w:type="spellStart"/>
      <w:r w:rsidRPr="00AF5E85">
        <w:rPr>
          <w:sz w:val="22"/>
          <w:lang w:val="en-GB"/>
        </w:rPr>
        <w:t>UOKiK</w:t>
      </w:r>
      <w:proofErr w:type="spellEnd"/>
      <w:r w:rsidRPr="00AF5E85">
        <w:rPr>
          <w:sz w:val="22"/>
          <w:lang w:val="en-GB"/>
        </w:rPr>
        <w:t xml:space="preserve"> ordered that the </w:t>
      </w:r>
      <w:hyperlink r:id="rId7" w:history="1">
        <w:r w:rsidRPr="00AF5E85">
          <w:rPr>
            <w:rStyle w:val="Hipercze"/>
            <w:sz w:val="22"/>
            <w:lang w:val="en-GB"/>
          </w:rPr>
          <w:t>second phase</w:t>
        </w:r>
        <w:r w:rsidRPr="00AF5E85">
          <w:rPr>
            <w:rStyle w:val="Hipercze"/>
            <w:sz w:val="22"/>
            <w:u w:val="none"/>
            <w:lang w:val="en-GB"/>
          </w:rPr>
          <w:t xml:space="preserve"> </w:t>
        </w:r>
      </w:hyperlink>
      <w:r w:rsidRPr="00AF5E85">
        <w:rPr>
          <w:sz w:val="22"/>
          <w:lang w:val="en-GB"/>
        </w:rPr>
        <w:t>of the concentration assessment procedure be conducted. It was necessary to perform a market survey. The Authority distributed surveys among approximately 50 undertakings competing with the concentration scheme participants. The questions concerned, inter alia, the turnover generated, the sales area and the new outlets planned.</w:t>
      </w:r>
    </w:p>
    <w:p w:rsidR="00052CDB" w:rsidRPr="009621A4" w:rsidRDefault="00052CDB" w:rsidP="00521BA3">
      <w:pPr>
        <w:spacing w:after="240" w:line="360" w:lineRule="auto"/>
        <w:jc w:val="both"/>
        <w:rPr>
          <w:sz w:val="22"/>
          <w:lang w:val="en-GB"/>
        </w:rPr>
      </w:pPr>
      <w:r w:rsidRPr="00AF5E85">
        <w:rPr>
          <w:sz w:val="22"/>
          <w:lang w:val="en-GB"/>
        </w:rPr>
        <w:t xml:space="preserve">With the answers provided by entrepreneurs and the previous case-law taken into consideration, the Authority decided that the chains were competing with each other on local markets. The larger ones - within a 10-15 minute drive, while the smaller ones - within the radius of up to one </w:t>
      </w:r>
      <w:proofErr w:type="spellStart"/>
      <w:r w:rsidRPr="00AF5E85">
        <w:rPr>
          <w:sz w:val="22"/>
          <w:lang w:val="en-GB"/>
        </w:rPr>
        <w:t>kilometer</w:t>
      </w:r>
      <w:proofErr w:type="spellEnd"/>
      <w:r w:rsidRPr="00AF5E85">
        <w:rPr>
          <w:sz w:val="22"/>
          <w:lang w:val="en-GB"/>
        </w:rPr>
        <w:t>. Furthermore, outlets of more than 350 m2 are also competing with traditional shops.</w:t>
      </w:r>
    </w:p>
    <w:p w:rsidR="00664D92" w:rsidRPr="009621A4" w:rsidRDefault="004357BB" w:rsidP="00521BA3">
      <w:pPr>
        <w:spacing w:after="240" w:line="360" w:lineRule="auto"/>
        <w:jc w:val="both"/>
        <w:rPr>
          <w:sz w:val="22"/>
          <w:lang w:val="en-GB"/>
        </w:rPr>
      </w:pPr>
      <w:r w:rsidRPr="00AF5E85">
        <w:rPr>
          <w:i/>
          <w:iCs/>
          <w:sz w:val="22"/>
          <w:lang w:val="en-GB"/>
        </w:rPr>
        <w:t xml:space="preserve">“The proceedings conducted demonstrated that competition will not be restricted on any of the local markets. Following the take-over of </w:t>
      </w:r>
      <w:proofErr w:type="spellStart"/>
      <w:r w:rsidRPr="00AF5E85">
        <w:rPr>
          <w:i/>
          <w:iCs/>
          <w:sz w:val="22"/>
          <w:lang w:val="en-GB"/>
        </w:rPr>
        <w:t>Emperia</w:t>
      </w:r>
      <w:proofErr w:type="spellEnd"/>
      <w:r w:rsidRPr="00AF5E85">
        <w:rPr>
          <w:i/>
          <w:iCs/>
          <w:sz w:val="22"/>
          <w:lang w:val="en-GB"/>
        </w:rPr>
        <w:t xml:space="preserve">, Maxima </w:t>
      </w:r>
      <w:proofErr w:type="spellStart"/>
      <w:r w:rsidRPr="00AF5E85">
        <w:rPr>
          <w:i/>
          <w:iCs/>
          <w:sz w:val="22"/>
          <w:lang w:val="en-GB"/>
        </w:rPr>
        <w:t>Grupe</w:t>
      </w:r>
      <w:proofErr w:type="spellEnd"/>
      <w:r w:rsidRPr="00AF5E85">
        <w:rPr>
          <w:i/>
          <w:iCs/>
          <w:sz w:val="22"/>
          <w:lang w:val="en-GB"/>
        </w:rPr>
        <w:t xml:space="preserve"> will have to continue competing with other entrepreneurs. This means that consumers will still be offered a large choice of stores in close vicinity to their homes. They will continue to have access to both large and traditional retail outlets” </w:t>
      </w:r>
      <w:r w:rsidRPr="00AF5E85">
        <w:rPr>
          <w:sz w:val="22"/>
          <w:lang w:val="en-GB"/>
        </w:rPr>
        <w:t xml:space="preserve">– says </w:t>
      </w:r>
      <w:proofErr w:type="spellStart"/>
      <w:r w:rsidR="00AF5E85" w:rsidRPr="00AF5E85">
        <w:rPr>
          <w:sz w:val="22"/>
          <w:lang w:val="en-GB"/>
        </w:rPr>
        <w:t>M</w:t>
      </w:r>
      <w:r w:rsidR="00AF5E85">
        <w:rPr>
          <w:sz w:val="22"/>
          <w:lang w:val="en-GB"/>
        </w:rPr>
        <w:t>ichał</w:t>
      </w:r>
      <w:proofErr w:type="spellEnd"/>
      <w:r w:rsidR="00AF5E85">
        <w:rPr>
          <w:sz w:val="22"/>
          <w:lang w:val="en-GB"/>
        </w:rPr>
        <w:t xml:space="preserve"> </w:t>
      </w:r>
      <w:proofErr w:type="spellStart"/>
      <w:r w:rsidR="00AF5E85">
        <w:rPr>
          <w:sz w:val="22"/>
          <w:lang w:val="en-GB"/>
        </w:rPr>
        <w:t>Holeksa</w:t>
      </w:r>
      <w:proofErr w:type="spellEnd"/>
      <w:r w:rsidRPr="00AF5E85">
        <w:rPr>
          <w:sz w:val="22"/>
          <w:lang w:val="en-GB"/>
        </w:rPr>
        <w:t>,</w:t>
      </w:r>
      <w:r w:rsidR="00AF5E85">
        <w:rPr>
          <w:sz w:val="22"/>
          <w:lang w:val="en-GB"/>
        </w:rPr>
        <w:t xml:space="preserve"> Vice-President </w:t>
      </w:r>
      <w:r w:rsidRPr="00AF5E85">
        <w:rPr>
          <w:sz w:val="22"/>
          <w:lang w:val="en-GB"/>
        </w:rPr>
        <w:t xml:space="preserve"> of </w:t>
      </w:r>
      <w:proofErr w:type="spellStart"/>
      <w:r w:rsidRPr="00AF5E85">
        <w:rPr>
          <w:sz w:val="22"/>
          <w:lang w:val="en-GB"/>
        </w:rPr>
        <w:t>UOKiK</w:t>
      </w:r>
      <w:proofErr w:type="spellEnd"/>
      <w:r w:rsidRPr="00AF5E85">
        <w:rPr>
          <w:sz w:val="22"/>
          <w:lang w:val="en-GB"/>
        </w:rPr>
        <w:t>.</w:t>
      </w:r>
    </w:p>
    <w:p w:rsidR="004357BB" w:rsidRPr="009621A4" w:rsidRDefault="004357BB" w:rsidP="004357BB">
      <w:pPr>
        <w:pStyle w:val="NormalnyWeb"/>
        <w:shd w:val="clear" w:color="auto" w:fill="FFFFFF"/>
        <w:spacing w:after="240" w:line="360" w:lineRule="auto"/>
        <w:jc w:val="both"/>
        <w:rPr>
          <w:rFonts w:ascii="Trebuchet MS" w:hAnsi="Trebuchet MS" w:cs="Tahoma"/>
          <w:color w:val="000000" w:themeColor="text1"/>
          <w:sz w:val="22"/>
          <w:szCs w:val="22"/>
          <w:lang w:val="en-GB"/>
        </w:rPr>
      </w:pPr>
      <w:r w:rsidRPr="00AF5E85">
        <w:rPr>
          <w:rFonts w:ascii="Trebuchet MS" w:hAnsi="Trebuchet MS" w:cs="Tahoma"/>
          <w:color w:val="000000" w:themeColor="text1"/>
          <w:sz w:val="22"/>
          <w:szCs w:val="22"/>
          <w:lang w:val="en-GB"/>
        </w:rPr>
        <w:lastRenderedPageBreak/>
        <w:t>According to the provisions of applicable laws, a concentration scheme is subject to notification to the antitrust authority if it involves undertakings whose aggregate turnover generated in the preceding year exceeded EUR 1 billion worldwide or EUR 50 million in Poland.</w:t>
      </w:r>
    </w:p>
    <w:p w:rsidR="004357BB" w:rsidRPr="009621A4" w:rsidRDefault="004357BB" w:rsidP="004357BB">
      <w:pPr>
        <w:shd w:val="clear" w:color="auto" w:fill="FFFFFF"/>
        <w:spacing w:after="240" w:line="360" w:lineRule="auto"/>
        <w:jc w:val="both"/>
        <w:rPr>
          <w:rFonts w:cs="Tahoma"/>
          <w:color w:val="000000" w:themeColor="text1"/>
          <w:sz w:val="22"/>
          <w:lang w:val="en-GB"/>
        </w:rPr>
      </w:pPr>
      <w:r w:rsidRPr="00AF5E85">
        <w:rPr>
          <w:rFonts w:cs="Tahoma"/>
          <w:color w:val="000000" w:themeColor="text1"/>
          <w:sz w:val="22"/>
          <w:lang w:val="en-GB"/>
        </w:rPr>
        <w:t>The decisions approving the concentration expire if the transaction is not completed within 2 years of the adoption thereof. </w:t>
      </w:r>
      <w:hyperlink r:id="rId8" w:history="1">
        <w:r w:rsidRPr="00AF5E85">
          <w:rPr>
            <w:rFonts w:cs="Tahoma"/>
            <w:color w:val="000000" w:themeColor="text1"/>
            <w:sz w:val="22"/>
            <w:lang w:val="en-GB"/>
          </w:rPr>
          <w:t xml:space="preserve">The </w:t>
        </w:r>
        <w:proofErr w:type="spellStart"/>
        <w:r w:rsidRPr="00AF5E85">
          <w:rPr>
            <w:rFonts w:cs="Tahoma"/>
            <w:color w:val="000000" w:themeColor="text1"/>
            <w:sz w:val="22"/>
            <w:lang w:val="en-GB"/>
          </w:rPr>
          <w:t>UOKiK</w:t>
        </w:r>
        <w:proofErr w:type="spellEnd"/>
        <w:r w:rsidRPr="00AF5E85">
          <w:rPr>
            <w:rFonts w:cs="Tahoma"/>
            <w:color w:val="000000" w:themeColor="text1"/>
            <w:sz w:val="22"/>
            <w:lang w:val="en-GB"/>
          </w:rPr>
          <w:t xml:space="preserve"> website</w:t>
        </w:r>
      </w:hyperlink>
      <w:r w:rsidRPr="00AF5E85">
        <w:rPr>
          <w:rFonts w:cs="Tahoma"/>
          <w:color w:val="000000" w:themeColor="text1"/>
          <w:sz w:val="22"/>
          <w:lang w:val="en-GB"/>
        </w:rPr>
        <w:t xml:space="preserve"> publishes information on all concentration-related antitrust proceedings conducted by the Office. More information about the principles governing mergers can be found in a dedicated </w:t>
      </w:r>
      <w:hyperlink r:id="rId9" w:history="1">
        <w:r w:rsidRPr="00AF5E85">
          <w:rPr>
            <w:rFonts w:cs="Tahoma"/>
            <w:color w:val="000000" w:themeColor="text1"/>
            <w:sz w:val="22"/>
            <w:lang w:val="en-GB"/>
          </w:rPr>
          <w:t>paper.</w:t>
        </w:r>
      </w:hyperlink>
    </w:p>
    <w:p w:rsidR="006439FA" w:rsidRPr="009621A4" w:rsidRDefault="006439FA" w:rsidP="00B6769E">
      <w:pPr>
        <w:spacing w:before="240" w:after="240" w:line="360" w:lineRule="auto"/>
        <w:jc w:val="both"/>
        <w:rPr>
          <w:rFonts w:cs="Tahoma"/>
          <w:sz w:val="22"/>
          <w:lang w:val="en-GB"/>
        </w:rPr>
      </w:pPr>
      <w:r w:rsidRPr="00AF5E85">
        <w:rPr>
          <w:rStyle w:val="Pogrubienie"/>
          <w:rFonts w:cs="Tahoma"/>
          <w:color w:val="000000"/>
          <w:szCs w:val="18"/>
          <w:lang w:val="en-GB"/>
        </w:rPr>
        <w:t>Additional information for the media:</w:t>
      </w:r>
      <w:r w:rsidRPr="00AF5E85">
        <w:rPr>
          <w:rFonts w:cs="Tahoma"/>
          <w:color w:val="000000"/>
          <w:szCs w:val="18"/>
          <w:lang w:val="en-GB"/>
        </w:rPr>
        <w:t xml:space="preserve"> </w:t>
      </w:r>
    </w:p>
    <w:p w:rsidR="006439FA" w:rsidRPr="00591376" w:rsidRDefault="006439FA" w:rsidP="00591376">
      <w:pPr>
        <w:pStyle w:val="TEKSTKOMUNIKATU"/>
        <w:jc w:val="left"/>
        <w:rPr>
          <w:rFonts w:ascii="Trebuchet MS" w:hAnsi="Trebuchet MS" w:cs="Tahoma"/>
          <w:color w:val="000000"/>
          <w:sz w:val="18"/>
          <w:szCs w:val="18"/>
          <w:lang w:val="pl-PL"/>
        </w:rPr>
      </w:pPr>
      <w:r w:rsidRPr="009621A4">
        <w:rPr>
          <w:rFonts w:ascii="Trebuchet MS" w:hAnsi="Trebuchet MS" w:cs="Tahoma"/>
          <w:color w:val="000000"/>
          <w:sz w:val="18"/>
          <w:szCs w:val="18"/>
          <w:lang w:val="pl-PL"/>
        </w:rPr>
        <w:t xml:space="preserve">UOKiK Press Office  </w:t>
      </w:r>
      <w:r w:rsidRPr="009621A4">
        <w:rPr>
          <w:rFonts w:ascii="Trebuchet MS" w:hAnsi="Trebuchet MS" w:cs="Tahoma"/>
          <w:color w:val="000000"/>
          <w:sz w:val="18"/>
          <w:szCs w:val="18"/>
          <w:lang w:val="pl-PL"/>
        </w:rPr>
        <w:br/>
        <w:t xml:space="preserve">Pl. Powstańców Warszawy 1, 00-950 Warszawa </w:t>
      </w:r>
      <w:r w:rsidRPr="009621A4">
        <w:rPr>
          <w:rFonts w:ascii="Trebuchet MS" w:hAnsi="Trebuchet MS" w:cs="Tahoma"/>
          <w:color w:val="000000"/>
          <w:sz w:val="18"/>
          <w:szCs w:val="18"/>
          <w:lang w:val="pl-PL"/>
        </w:rPr>
        <w:br/>
        <w:t>Tel. 22 55 60 430, 695 902 088</w:t>
      </w:r>
      <w:r w:rsidRPr="009621A4">
        <w:rPr>
          <w:rFonts w:ascii="Trebuchet MS" w:hAnsi="Trebuchet MS" w:cs="Tahoma"/>
          <w:color w:val="000000"/>
          <w:sz w:val="18"/>
          <w:szCs w:val="18"/>
          <w:lang w:val="pl-PL"/>
        </w:rPr>
        <w:br/>
        <w:t xml:space="preserve">Email: </w:t>
      </w:r>
      <w:hyperlink r:id="rId10" w:tooltip="mailto: malgorzata.cieloch@uokik.gov.pl" w:history="1">
        <w:r w:rsidRPr="009621A4">
          <w:rPr>
            <w:rStyle w:val="Hipercze"/>
            <w:rFonts w:ascii="Trebuchet MS" w:hAnsi="Trebuchet MS" w:cs="Tahoma"/>
            <w:color w:val="000000"/>
            <w:sz w:val="18"/>
            <w:szCs w:val="18"/>
            <w:lang w:val="pl-PL"/>
          </w:rPr>
          <w:t>biuroprasowe@uokik.gov.pl</w:t>
        </w:r>
      </w:hyperlink>
      <w:r w:rsidR="00591376">
        <w:rPr>
          <w:rStyle w:val="Hipercze"/>
          <w:rFonts w:ascii="Trebuchet MS" w:hAnsi="Trebuchet MS" w:cs="Tahoma"/>
          <w:color w:val="000000"/>
          <w:sz w:val="18"/>
          <w:szCs w:val="18"/>
          <w:lang w:val="pl-PL"/>
        </w:rPr>
        <w:br/>
      </w:r>
      <w:r w:rsidRPr="00591376">
        <w:rPr>
          <w:rFonts w:ascii="Trebuchet MS" w:hAnsi="Trebuchet MS"/>
          <w:sz w:val="18"/>
          <w:szCs w:val="18"/>
        </w:rPr>
        <w:t xml:space="preserve">Twitter: </w:t>
      </w:r>
      <w:hyperlink r:id="rId11" w:history="1">
        <w:r w:rsidRPr="00591376">
          <w:rPr>
            <w:rStyle w:val="Hipercze"/>
            <w:rFonts w:ascii="Trebuchet MS" w:hAnsi="Trebuchet MS"/>
            <w:sz w:val="18"/>
            <w:szCs w:val="18"/>
          </w:rPr>
          <w:t>@</w:t>
        </w:r>
        <w:r w:rsidRPr="00591376">
          <w:rPr>
            <w:rStyle w:val="u-linkcomplex-target"/>
            <w:rFonts w:ascii="Trebuchet MS" w:hAnsi="Trebuchet MS"/>
            <w:color w:val="0000FF"/>
            <w:sz w:val="18"/>
            <w:szCs w:val="18"/>
            <w:u w:val="single"/>
          </w:rPr>
          <w:t>UOKiKgovPL</w:t>
        </w:r>
      </w:hyperlink>
    </w:p>
    <w:p w:rsidR="00AB4185" w:rsidRDefault="008362B6"/>
    <w:p w:rsidR="000B1AC5" w:rsidRDefault="000B1AC5"/>
    <w:p w:rsidR="000B1AC5" w:rsidRDefault="000B1AC5"/>
    <w:sectPr w:rsidR="000B1AC5" w:rsidSect="006439FA">
      <w:headerReference w:type="default" r:id="rId12"/>
      <w:footerReference w:type="default" r:id="rId13"/>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B6" w:rsidRDefault="008362B6">
      <w:r>
        <w:separator/>
      </w:r>
    </w:p>
  </w:endnote>
  <w:endnote w:type="continuationSeparator" w:id="0">
    <w:p w:rsidR="008362B6" w:rsidRDefault="0083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8138D" w:rsidP="004470CD">
    <w:pPr>
      <w:pStyle w:val="Stopka"/>
    </w:pPr>
    <w:r>
      <w:rPr>
        <w:noProof/>
        <w:lang w:eastAsia="pl-PL"/>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90805</wp:posOffset>
              </wp:positionV>
              <wp:extent cx="5715000" cy="690245"/>
              <wp:effectExtent l="0" t="0" r="19050" b="0"/>
              <wp:wrapTight wrapText="bothSides">
                <wp:wrapPolygon edited="0">
                  <wp:start x="0" y="0"/>
                  <wp:lineTo x="0" y="1192"/>
                  <wp:lineTo x="504" y="9538"/>
                  <wp:lineTo x="504" y="20865"/>
                  <wp:lineTo x="6336" y="20865"/>
                  <wp:lineTo x="6408" y="19076"/>
                  <wp:lineTo x="7920" y="9538"/>
                  <wp:lineTo x="21600" y="1192"/>
                  <wp:lineTo x="21600" y="0"/>
                  <wp:lineTo x="0" y="0"/>
                </wp:wrapPolygon>
              </wp:wrapTight>
              <wp:docPr id="7" name="Kanwa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433EE65" id="Kanwa 7" o:spid="_x0000_s1026" editas="canvas" style="position:absolute;margin-left:0;margin-top:7.15pt;width:450pt;height:54.35pt;z-index:-251658240"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59016B" w:rsidRDefault="008362B6" w:rsidP="004470CD">
    <w:pPr>
      <w:pStyle w:val="Stopka"/>
    </w:pPr>
  </w:p>
  <w:p w:rsidR="0059016B" w:rsidRDefault="008362B6" w:rsidP="004470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B6" w:rsidRDefault="008362B6">
      <w:r>
        <w:separator/>
      </w:r>
    </w:p>
  </w:footnote>
  <w:footnote w:type="continuationSeparator" w:id="0">
    <w:p w:rsidR="008362B6" w:rsidRDefault="00836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439FA"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8362B6" w:rsidP="0041396E">
    <w:pPr>
      <w:pStyle w:val="Nagwek"/>
      <w:tabs>
        <w:tab w:val="clear" w:pos="9072"/>
      </w:tabs>
    </w:pPr>
  </w:p>
  <w:p w:rsidR="0059016B" w:rsidRDefault="008362B6"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E00"/>
    <w:rsid w:val="00052CDB"/>
    <w:rsid w:val="00073AA7"/>
    <w:rsid w:val="000B1AC5"/>
    <w:rsid w:val="00120FBD"/>
    <w:rsid w:val="0012424D"/>
    <w:rsid w:val="00190D5A"/>
    <w:rsid w:val="001979B5"/>
    <w:rsid w:val="001A5F7C"/>
    <w:rsid w:val="001A7451"/>
    <w:rsid w:val="001C1FAD"/>
    <w:rsid w:val="001D4437"/>
    <w:rsid w:val="00205580"/>
    <w:rsid w:val="00260382"/>
    <w:rsid w:val="00266CB4"/>
    <w:rsid w:val="00295B34"/>
    <w:rsid w:val="002A5D69"/>
    <w:rsid w:val="002C0D5D"/>
    <w:rsid w:val="002C6ABE"/>
    <w:rsid w:val="00304326"/>
    <w:rsid w:val="003278D6"/>
    <w:rsid w:val="00360248"/>
    <w:rsid w:val="00366A46"/>
    <w:rsid w:val="003E3F9D"/>
    <w:rsid w:val="0040748E"/>
    <w:rsid w:val="004349BA"/>
    <w:rsid w:val="004357BB"/>
    <w:rsid w:val="004365C7"/>
    <w:rsid w:val="00486DB1"/>
    <w:rsid w:val="00493E10"/>
    <w:rsid w:val="004F7E99"/>
    <w:rsid w:val="005003F9"/>
    <w:rsid w:val="005133CE"/>
    <w:rsid w:val="00521BA3"/>
    <w:rsid w:val="00523E0D"/>
    <w:rsid w:val="00524951"/>
    <w:rsid w:val="0052710E"/>
    <w:rsid w:val="005442FC"/>
    <w:rsid w:val="00591376"/>
    <w:rsid w:val="005973FD"/>
    <w:rsid w:val="00597C68"/>
    <w:rsid w:val="005F1EBD"/>
    <w:rsid w:val="00633D4E"/>
    <w:rsid w:val="0063526F"/>
    <w:rsid w:val="00637B4E"/>
    <w:rsid w:val="00637E86"/>
    <w:rsid w:val="006439FA"/>
    <w:rsid w:val="006447DB"/>
    <w:rsid w:val="00664D92"/>
    <w:rsid w:val="0068138D"/>
    <w:rsid w:val="006A4A7A"/>
    <w:rsid w:val="006B0848"/>
    <w:rsid w:val="006C34AE"/>
    <w:rsid w:val="007039EC"/>
    <w:rsid w:val="00741B36"/>
    <w:rsid w:val="0074489D"/>
    <w:rsid w:val="007514AD"/>
    <w:rsid w:val="007953AC"/>
    <w:rsid w:val="007C3705"/>
    <w:rsid w:val="0081753E"/>
    <w:rsid w:val="008362B6"/>
    <w:rsid w:val="0085010E"/>
    <w:rsid w:val="00867203"/>
    <w:rsid w:val="00896985"/>
    <w:rsid w:val="008D55E8"/>
    <w:rsid w:val="008D5771"/>
    <w:rsid w:val="0090338C"/>
    <w:rsid w:val="00914E99"/>
    <w:rsid w:val="00925E0B"/>
    <w:rsid w:val="00940E8F"/>
    <w:rsid w:val="009621A4"/>
    <w:rsid w:val="009652F2"/>
    <w:rsid w:val="00997528"/>
    <w:rsid w:val="009C1346"/>
    <w:rsid w:val="009E3C0B"/>
    <w:rsid w:val="00A13244"/>
    <w:rsid w:val="00A239AA"/>
    <w:rsid w:val="00A33FFD"/>
    <w:rsid w:val="00A439E8"/>
    <w:rsid w:val="00A77DA2"/>
    <w:rsid w:val="00AB572D"/>
    <w:rsid w:val="00AC2EA9"/>
    <w:rsid w:val="00AE2923"/>
    <w:rsid w:val="00AF5E85"/>
    <w:rsid w:val="00B41502"/>
    <w:rsid w:val="00B51024"/>
    <w:rsid w:val="00B60F9C"/>
    <w:rsid w:val="00B6769E"/>
    <w:rsid w:val="00BA26F7"/>
    <w:rsid w:val="00BA374B"/>
    <w:rsid w:val="00BA79F0"/>
    <w:rsid w:val="00BD0481"/>
    <w:rsid w:val="00BE2623"/>
    <w:rsid w:val="00BE68EE"/>
    <w:rsid w:val="00C25569"/>
    <w:rsid w:val="00C27366"/>
    <w:rsid w:val="00C63AA8"/>
    <w:rsid w:val="00C7783C"/>
    <w:rsid w:val="00CB1AE6"/>
    <w:rsid w:val="00CB3ED4"/>
    <w:rsid w:val="00CE0954"/>
    <w:rsid w:val="00D1323F"/>
    <w:rsid w:val="00D23B46"/>
    <w:rsid w:val="00D47CCF"/>
    <w:rsid w:val="00D55012"/>
    <w:rsid w:val="00D6457B"/>
    <w:rsid w:val="00D71A41"/>
    <w:rsid w:val="00DC0B02"/>
    <w:rsid w:val="00DD34A3"/>
    <w:rsid w:val="00DF782B"/>
    <w:rsid w:val="00E03AEF"/>
    <w:rsid w:val="00E31EDC"/>
    <w:rsid w:val="00E42093"/>
    <w:rsid w:val="00E64103"/>
    <w:rsid w:val="00EA7F01"/>
    <w:rsid w:val="00F21EAC"/>
    <w:rsid w:val="00F960CF"/>
    <w:rsid w:val="00FA1226"/>
    <w:rsid w:val="00FD2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EAE75"/>
  <w15:docId w15:val="{718CFACB-AA59-41B6-9A13-E840E89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4357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koncentracje.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okik.gov.pl/aktualnosci.php?news_id=1394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OKiK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lgorzata.cieloch@uokik.gov.pl" TargetMode="External"/><Relationship Id="rId4" Type="http://schemas.openxmlformats.org/officeDocument/2006/relationships/webSettings" Target="webSettings.xml"/><Relationship Id="rId9" Type="http://schemas.openxmlformats.org/officeDocument/2006/relationships/hyperlink" Target="http://uokik.gov.pl/download.php?id=126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Tomasz Kwiatkowski</cp:lastModifiedBy>
  <cp:revision>4</cp:revision>
  <cp:lastPrinted>2018-03-28T07:31:00Z</cp:lastPrinted>
  <dcterms:created xsi:type="dcterms:W3CDTF">2018-04-05T13:19:00Z</dcterms:created>
  <dcterms:modified xsi:type="dcterms:W3CDTF">2018-04-05T13:50:00Z</dcterms:modified>
</cp:coreProperties>
</file>