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F090" w14:textId="77777777" w:rsidR="008573E0" w:rsidRPr="008573E0" w:rsidRDefault="008573E0" w:rsidP="008573E0">
      <w:pPr>
        <w:spacing w:before="240" w:line="360" w:lineRule="auto"/>
        <w:rPr>
          <w:sz w:val="32"/>
          <w:szCs w:val="32"/>
        </w:rPr>
      </w:pPr>
      <w:r w:rsidRPr="008573E0">
        <w:rPr>
          <w:sz w:val="32"/>
          <w:szCs w:val="32"/>
        </w:rPr>
        <w:t>ZGODA UOKIK – VISTULA GROUP I BYTOM</w:t>
      </w:r>
    </w:p>
    <w:p w14:paraId="58789935" w14:textId="77777777" w:rsidR="00D109F4" w:rsidRDefault="004365C7" w:rsidP="006439FA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UOKiK</w:t>
      </w:r>
      <w:r w:rsidR="006439FA">
        <w:rPr>
          <w:b/>
          <w:sz w:val="22"/>
        </w:rPr>
        <w:t xml:space="preserve"> </w:t>
      </w:r>
      <w:r w:rsidR="00DB69F4">
        <w:rPr>
          <w:b/>
          <w:sz w:val="22"/>
        </w:rPr>
        <w:t>wydał</w:t>
      </w:r>
      <w:r w:rsidR="00D109F4">
        <w:rPr>
          <w:b/>
          <w:sz w:val="22"/>
        </w:rPr>
        <w:t xml:space="preserve"> zgodę na połączenie spółek odzieżowych: Vistula </w:t>
      </w:r>
      <w:proofErr w:type="spellStart"/>
      <w:r w:rsidR="00D109F4">
        <w:rPr>
          <w:b/>
          <w:sz w:val="22"/>
        </w:rPr>
        <w:t>Group</w:t>
      </w:r>
      <w:proofErr w:type="spellEnd"/>
      <w:r w:rsidR="00D109F4">
        <w:rPr>
          <w:b/>
          <w:sz w:val="22"/>
        </w:rPr>
        <w:t xml:space="preserve"> i Bytom</w:t>
      </w:r>
    </w:p>
    <w:p w14:paraId="2D3D37B6" w14:textId="57F6AD8C" w:rsidR="008573E0" w:rsidRPr="002F3D63" w:rsidRDefault="00D109F4" w:rsidP="00120FBD">
      <w:pPr>
        <w:numPr>
          <w:ilvl w:val="0"/>
          <w:numId w:val="1"/>
        </w:numPr>
        <w:spacing w:before="240" w:line="360" w:lineRule="auto"/>
        <w:jc w:val="both"/>
        <w:rPr>
          <w:b/>
          <w:sz w:val="22"/>
        </w:rPr>
      </w:pPr>
      <w:r>
        <w:rPr>
          <w:b/>
          <w:sz w:val="22"/>
        </w:rPr>
        <w:t>Przeprowadzone postepowanie wykazało, ze transakcja</w:t>
      </w:r>
      <w:r w:rsidR="00BE68EE">
        <w:rPr>
          <w:b/>
          <w:sz w:val="22"/>
        </w:rPr>
        <w:t xml:space="preserve"> </w:t>
      </w:r>
      <w:r>
        <w:rPr>
          <w:b/>
          <w:sz w:val="22"/>
        </w:rPr>
        <w:t>nie doprowadzi do ograniczenia konkurencji.</w:t>
      </w:r>
    </w:p>
    <w:p w14:paraId="208F1CFB" w14:textId="55D172FB" w:rsidR="00A77DA2" w:rsidRDefault="004349BA" w:rsidP="002F3D63">
      <w:pPr>
        <w:spacing w:before="240" w:line="360" w:lineRule="auto"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2F3D63">
        <w:rPr>
          <w:b/>
          <w:sz w:val="22"/>
        </w:rPr>
        <w:t xml:space="preserve">17 </w:t>
      </w:r>
      <w:r w:rsidR="005F575F">
        <w:rPr>
          <w:b/>
          <w:sz w:val="22"/>
        </w:rPr>
        <w:t xml:space="preserve">sierpnia </w:t>
      </w:r>
      <w:r w:rsidR="00BE68EE">
        <w:rPr>
          <w:b/>
          <w:sz w:val="22"/>
        </w:rPr>
        <w:t xml:space="preserve"> </w:t>
      </w:r>
      <w:r w:rsidR="002F3D63">
        <w:rPr>
          <w:b/>
          <w:sz w:val="22"/>
        </w:rPr>
        <w:t>2018</w:t>
      </w:r>
      <w:r w:rsidR="006439FA">
        <w:rPr>
          <w:b/>
          <w:sz w:val="22"/>
        </w:rPr>
        <w:t xml:space="preserve"> r.] </w:t>
      </w:r>
      <w:r w:rsidR="00120FBD">
        <w:rPr>
          <w:b/>
          <w:sz w:val="22"/>
        </w:rPr>
        <w:t xml:space="preserve"> </w:t>
      </w:r>
      <w:r w:rsidR="00D109F4">
        <w:rPr>
          <w:sz w:val="22"/>
        </w:rPr>
        <w:t xml:space="preserve">Uczestnicy koncentracji </w:t>
      </w:r>
      <w:r w:rsidR="00A77DA2">
        <w:rPr>
          <w:sz w:val="22"/>
        </w:rPr>
        <w:t xml:space="preserve">projektują </w:t>
      </w:r>
      <w:r w:rsidR="00120FBD">
        <w:rPr>
          <w:sz w:val="22"/>
        </w:rPr>
        <w:t xml:space="preserve">oraz sprzedają </w:t>
      </w:r>
      <w:r w:rsidR="00BE68EE" w:rsidRPr="00BE68EE">
        <w:rPr>
          <w:sz w:val="22"/>
        </w:rPr>
        <w:t>mark</w:t>
      </w:r>
      <w:r w:rsidR="00120FBD">
        <w:rPr>
          <w:sz w:val="22"/>
        </w:rPr>
        <w:t>ową odzież</w:t>
      </w:r>
      <w:r w:rsidR="00BE68EE">
        <w:rPr>
          <w:sz w:val="22"/>
        </w:rPr>
        <w:t xml:space="preserve"> </w:t>
      </w:r>
      <w:r w:rsidR="00120FBD">
        <w:rPr>
          <w:sz w:val="22"/>
        </w:rPr>
        <w:t xml:space="preserve">oraz akcesoria. </w:t>
      </w:r>
      <w:r w:rsidR="00120FBD" w:rsidRPr="00A77DA2">
        <w:rPr>
          <w:sz w:val="22"/>
        </w:rPr>
        <w:t xml:space="preserve">Vistula  specjalizuje się </w:t>
      </w:r>
      <w:r w:rsidR="00A77DA2" w:rsidRPr="00A77DA2">
        <w:rPr>
          <w:sz w:val="22"/>
        </w:rPr>
        <w:t xml:space="preserve">zarówno w </w:t>
      </w:r>
      <w:r w:rsidR="00120FBD" w:rsidRPr="00A77DA2">
        <w:rPr>
          <w:sz w:val="22"/>
        </w:rPr>
        <w:t xml:space="preserve">odzieży męskiej i damskiej oraz biżuterii i zegarków. </w:t>
      </w:r>
      <w:r w:rsidR="006C34AE">
        <w:rPr>
          <w:sz w:val="22"/>
        </w:rPr>
        <w:t xml:space="preserve">Należą do niej marki, </w:t>
      </w:r>
      <w:r w:rsidR="00A77DA2" w:rsidRPr="00A77DA2">
        <w:rPr>
          <w:sz w:val="22"/>
        </w:rPr>
        <w:t xml:space="preserve">takie jak </w:t>
      </w:r>
      <w:proofErr w:type="spellStart"/>
      <w:r w:rsidR="00120FBD" w:rsidRPr="00A77DA2">
        <w:rPr>
          <w:sz w:val="22"/>
        </w:rPr>
        <w:t>Lantier</w:t>
      </w:r>
      <w:proofErr w:type="spellEnd"/>
      <w:r w:rsidR="00120FBD" w:rsidRPr="00A77DA2">
        <w:rPr>
          <w:sz w:val="22"/>
        </w:rPr>
        <w:t xml:space="preserve">, </w:t>
      </w:r>
      <w:proofErr w:type="spellStart"/>
      <w:r w:rsidR="00120FBD" w:rsidRPr="00A77DA2">
        <w:rPr>
          <w:sz w:val="22"/>
        </w:rPr>
        <w:t>Vesari</w:t>
      </w:r>
      <w:proofErr w:type="spellEnd"/>
      <w:r w:rsidR="00120FBD" w:rsidRPr="00A77DA2">
        <w:rPr>
          <w:sz w:val="22"/>
        </w:rPr>
        <w:t xml:space="preserve">, Wólczanka, Lambert, W.KRUK </w:t>
      </w:r>
      <w:r w:rsidR="00A77DA2" w:rsidRPr="00A77DA2">
        <w:rPr>
          <w:sz w:val="22"/>
        </w:rPr>
        <w:t xml:space="preserve">oraz </w:t>
      </w:r>
      <w:proofErr w:type="spellStart"/>
      <w:r w:rsidR="00A77DA2" w:rsidRPr="00A77DA2">
        <w:rPr>
          <w:sz w:val="22"/>
        </w:rPr>
        <w:t>Deni</w:t>
      </w:r>
      <w:proofErr w:type="spellEnd"/>
      <w:r w:rsidR="00A77DA2" w:rsidRPr="00A77DA2">
        <w:rPr>
          <w:sz w:val="22"/>
        </w:rPr>
        <w:t xml:space="preserve"> </w:t>
      </w:r>
      <w:proofErr w:type="spellStart"/>
      <w:r w:rsidR="00A77DA2" w:rsidRPr="00A77DA2">
        <w:rPr>
          <w:sz w:val="22"/>
        </w:rPr>
        <w:t>Cler</w:t>
      </w:r>
      <w:proofErr w:type="spellEnd"/>
      <w:r w:rsidR="00A77DA2" w:rsidRPr="00A77DA2">
        <w:rPr>
          <w:sz w:val="22"/>
        </w:rPr>
        <w:t xml:space="preserve"> (za pośrednictwem spółek zależnych). </w:t>
      </w:r>
      <w:r w:rsidR="00120FBD" w:rsidRPr="00A77DA2">
        <w:rPr>
          <w:sz w:val="22"/>
        </w:rPr>
        <w:t xml:space="preserve">Głównym rynkiem zbytu dla produktów Grupy Vistula jest </w:t>
      </w:r>
      <w:r w:rsidR="00A77DA2">
        <w:rPr>
          <w:sz w:val="22"/>
        </w:rPr>
        <w:t>Polska</w:t>
      </w:r>
      <w:r w:rsidR="00120FBD" w:rsidRPr="00A77DA2">
        <w:rPr>
          <w:sz w:val="22"/>
        </w:rPr>
        <w:t>.</w:t>
      </w:r>
      <w:r w:rsidR="008573E0">
        <w:rPr>
          <w:sz w:val="22"/>
        </w:rPr>
        <w:t xml:space="preserve"> </w:t>
      </w:r>
      <w:r w:rsidR="00A77DA2" w:rsidRPr="00A77DA2">
        <w:rPr>
          <w:sz w:val="22"/>
        </w:rPr>
        <w:t xml:space="preserve">Bytom </w:t>
      </w:r>
      <w:r w:rsidR="00A77DA2">
        <w:rPr>
          <w:sz w:val="22"/>
        </w:rPr>
        <w:t xml:space="preserve">działa na rynku </w:t>
      </w:r>
      <w:r w:rsidR="006C34AE">
        <w:rPr>
          <w:sz w:val="22"/>
        </w:rPr>
        <w:t xml:space="preserve">odzieży męskiej. </w:t>
      </w:r>
      <w:r w:rsidR="00637E86">
        <w:rPr>
          <w:sz w:val="22"/>
        </w:rPr>
        <w:t xml:space="preserve">Sprzedaż prowadzi </w:t>
      </w:r>
      <w:r w:rsidR="006C34AE">
        <w:rPr>
          <w:sz w:val="22"/>
        </w:rPr>
        <w:t>w sieci</w:t>
      </w:r>
      <w:r w:rsidR="00940E8F">
        <w:rPr>
          <w:sz w:val="22"/>
        </w:rPr>
        <w:t xml:space="preserve"> </w:t>
      </w:r>
      <w:r w:rsidR="006C34AE">
        <w:rPr>
          <w:sz w:val="22"/>
        </w:rPr>
        <w:t>sklepów</w:t>
      </w:r>
      <w:r w:rsidR="00637E86" w:rsidRPr="00637E86">
        <w:rPr>
          <w:sz w:val="22"/>
        </w:rPr>
        <w:t xml:space="preserve"> </w:t>
      </w:r>
      <w:r w:rsidR="00637E86">
        <w:rPr>
          <w:sz w:val="22"/>
        </w:rPr>
        <w:t>własnych i</w:t>
      </w:r>
      <w:r w:rsidR="006C34AE">
        <w:rPr>
          <w:sz w:val="22"/>
        </w:rPr>
        <w:t xml:space="preserve"> franczyzowych</w:t>
      </w:r>
      <w:r w:rsidR="00940E8F">
        <w:rPr>
          <w:sz w:val="22"/>
        </w:rPr>
        <w:t xml:space="preserve">, a także </w:t>
      </w:r>
      <w:r w:rsidR="00A77DA2" w:rsidRPr="00A77DA2">
        <w:rPr>
          <w:sz w:val="22"/>
        </w:rPr>
        <w:t xml:space="preserve">za pośrednictwem własnego e-sklepu. Ponadto w niewielkiej skali </w:t>
      </w:r>
      <w:r w:rsidR="006C34AE">
        <w:rPr>
          <w:sz w:val="22"/>
        </w:rPr>
        <w:t xml:space="preserve">sprzedaje hurtowo </w:t>
      </w:r>
      <w:r w:rsidR="00486DB1">
        <w:rPr>
          <w:sz w:val="22"/>
        </w:rPr>
        <w:t xml:space="preserve"> </w:t>
      </w:r>
      <w:r w:rsidR="00A77DA2" w:rsidRPr="00A77DA2">
        <w:rPr>
          <w:sz w:val="22"/>
        </w:rPr>
        <w:t>po</w:t>
      </w:r>
      <w:r w:rsidR="00940E8F">
        <w:rPr>
          <w:sz w:val="22"/>
        </w:rPr>
        <w:t xml:space="preserve">d marką </w:t>
      </w:r>
      <w:proofErr w:type="spellStart"/>
      <w:r w:rsidR="00940E8F">
        <w:rPr>
          <w:sz w:val="22"/>
        </w:rPr>
        <w:t>Intermoda</w:t>
      </w:r>
      <w:proofErr w:type="spellEnd"/>
      <w:r w:rsidR="00486DB1">
        <w:rPr>
          <w:sz w:val="22"/>
        </w:rPr>
        <w:t>. Bytom działa</w:t>
      </w:r>
      <w:r w:rsidR="00A77DA2" w:rsidRPr="00A77DA2">
        <w:rPr>
          <w:sz w:val="22"/>
        </w:rPr>
        <w:t xml:space="preserve"> wyłącznie na terytorium Polski.</w:t>
      </w:r>
    </w:p>
    <w:p w14:paraId="2D57972F" w14:textId="0ABD911F" w:rsidR="00D109F4" w:rsidRPr="008573E0" w:rsidRDefault="00D109F4" w:rsidP="00D109F4">
      <w:pPr>
        <w:spacing w:before="240" w:after="240" w:line="360" w:lineRule="auto"/>
        <w:jc w:val="both"/>
        <w:rPr>
          <w:sz w:val="22"/>
        </w:rPr>
      </w:pPr>
      <w:r w:rsidRPr="008573E0">
        <w:rPr>
          <w:sz w:val="22"/>
          <w:lang w:eastAsia="pl-PL"/>
        </w:rPr>
        <w:t>Fu</w:t>
      </w:r>
      <w:r w:rsidR="00404D0C">
        <w:rPr>
          <w:sz w:val="22"/>
          <w:lang w:eastAsia="pl-PL"/>
        </w:rPr>
        <w:t>zja  ma polegać na przeniesieniu</w:t>
      </w:r>
      <w:r w:rsidRPr="008573E0">
        <w:rPr>
          <w:sz w:val="22"/>
          <w:lang w:eastAsia="pl-PL"/>
        </w:rPr>
        <w:t xml:space="preserve"> całego majątku spółki Bytom na Vistul</w:t>
      </w:r>
      <w:r w:rsidR="00DB69F4">
        <w:rPr>
          <w:sz w:val="22"/>
          <w:lang w:eastAsia="pl-PL"/>
        </w:rPr>
        <w:t xml:space="preserve">ę w zamian za akcje tej spółki. Zgodnie z informacją od spółek </w:t>
      </w:r>
      <w:r w:rsidR="00C46157">
        <w:rPr>
          <w:sz w:val="22"/>
          <w:lang w:eastAsia="pl-PL"/>
        </w:rPr>
        <w:t>po transakcji na rynku nadal obecne będą obie marki.</w:t>
      </w:r>
    </w:p>
    <w:p w14:paraId="6229B622" w14:textId="155E75DA" w:rsidR="001553C8" w:rsidRDefault="00D109F4" w:rsidP="006439FA">
      <w:pPr>
        <w:spacing w:before="240" w:after="240" w:line="360" w:lineRule="auto"/>
        <w:jc w:val="both"/>
        <w:rPr>
          <w:sz w:val="22"/>
          <w:lang w:eastAsia="pl-PL"/>
        </w:rPr>
      </w:pPr>
      <w:r w:rsidRPr="008573E0">
        <w:rPr>
          <w:sz w:val="22"/>
        </w:rPr>
        <w:t xml:space="preserve">Prowadzone </w:t>
      </w:r>
      <w:hyperlink r:id="rId7" w:history="1">
        <w:r w:rsidRPr="00DB69F4">
          <w:rPr>
            <w:rStyle w:val="Hipercze"/>
            <w:sz w:val="22"/>
          </w:rPr>
          <w:t>postępowanie przeszło do II fazy</w:t>
        </w:r>
      </w:hyperlink>
      <w:r w:rsidRPr="008573E0">
        <w:rPr>
          <w:sz w:val="22"/>
        </w:rPr>
        <w:t xml:space="preserve">. Urząd musiał przeprowadzić w tej sprawie badanie rynku. Objęło ono 27 konkurentów Vistula </w:t>
      </w:r>
      <w:proofErr w:type="spellStart"/>
      <w:r w:rsidRPr="008573E0">
        <w:rPr>
          <w:sz w:val="22"/>
        </w:rPr>
        <w:t>Group</w:t>
      </w:r>
      <w:proofErr w:type="spellEnd"/>
      <w:r w:rsidRPr="008573E0">
        <w:rPr>
          <w:sz w:val="22"/>
        </w:rPr>
        <w:t xml:space="preserve"> i Bytom</w:t>
      </w:r>
      <w:r w:rsidR="00EC4F27" w:rsidRPr="008573E0">
        <w:rPr>
          <w:sz w:val="22"/>
          <w:lang w:eastAsia="pl-PL"/>
        </w:rPr>
        <w:t xml:space="preserve">. Pytania </w:t>
      </w:r>
      <w:r w:rsidRPr="008573E0">
        <w:rPr>
          <w:sz w:val="22"/>
          <w:lang w:eastAsia="pl-PL"/>
        </w:rPr>
        <w:t xml:space="preserve">UOKiK </w:t>
      </w:r>
      <w:r w:rsidR="00EC4F27" w:rsidRPr="008573E0">
        <w:rPr>
          <w:sz w:val="22"/>
          <w:lang w:eastAsia="pl-PL"/>
        </w:rPr>
        <w:t xml:space="preserve">dotyczyły m.in. wartości przychodów ze sprzedaży </w:t>
      </w:r>
      <w:r w:rsidR="00901040" w:rsidRPr="008573E0">
        <w:rPr>
          <w:sz w:val="22"/>
          <w:lang w:eastAsia="pl-PL"/>
        </w:rPr>
        <w:t xml:space="preserve">w sklepach i </w:t>
      </w:r>
      <w:r w:rsidR="00EC4F27" w:rsidRPr="008573E0">
        <w:rPr>
          <w:i/>
          <w:sz w:val="22"/>
          <w:lang w:eastAsia="pl-PL"/>
        </w:rPr>
        <w:t>on-line</w:t>
      </w:r>
      <w:r w:rsidR="00EC4F27" w:rsidRPr="008573E0">
        <w:rPr>
          <w:sz w:val="22"/>
          <w:lang w:eastAsia="pl-PL"/>
        </w:rPr>
        <w:t>, ilości i lokalizacji sklepów</w:t>
      </w:r>
      <w:r w:rsidR="00901040" w:rsidRPr="008573E0">
        <w:rPr>
          <w:sz w:val="22"/>
          <w:lang w:eastAsia="pl-PL"/>
        </w:rPr>
        <w:t>,</w:t>
      </w:r>
      <w:r w:rsidR="00EC4F27" w:rsidRPr="008573E0">
        <w:rPr>
          <w:sz w:val="22"/>
          <w:lang w:eastAsia="pl-PL"/>
        </w:rPr>
        <w:t xml:space="preserve"> a także opinii na temat koncentracji i jej </w:t>
      </w:r>
      <w:r w:rsidR="0084641D" w:rsidRPr="008573E0">
        <w:rPr>
          <w:sz w:val="22"/>
          <w:lang w:eastAsia="pl-PL"/>
        </w:rPr>
        <w:t>skutków.</w:t>
      </w:r>
      <w:r w:rsidR="00B07124">
        <w:rPr>
          <w:sz w:val="22"/>
          <w:lang w:eastAsia="pl-PL"/>
        </w:rPr>
        <w:t xml:space="preserve"> </w:t>
      </w:r>
      <w:r w:rsidR="001553C8" w:rsidRPr="002F3D63">
        <w:rPr>
          <w:sz w:val="22"/>
          <w:lang w:eastAsia="pl-PL"/>
        </w:rPr>
        <w:t xml:space="preserve">Konieczność przeprowadzenia wnikliwego badania rynku wraz z czasem oczekiwania przez UOKiK na uzupełnienie wniosku przez uczestników koncentracji miały istotny wpływ na </w:t>
      </w:r>
      <w:r w:rsidR="00404D0C" w:rsidRPr="002F3D63">
        <w:rPr>
          <w:sz w:val="22"/>
          <w:lang w:eastAsia="pl-PL"/>
        </w:rPr>
        <w:t>długość</w:t>
      </w:r>
      <w:r w:rsidR="001553C8" w:rsidRPr="002F3D63">
        <w:rPr>
          <w:sz w:val="22"/>
          <w:lang w:eastAsia="pl-PL"/>
        </w:rPr>
        <w:t xml:space="preserve"> postępowania.</w:t>
      </w:r>
      <w:r w:rsidR="001553C8">
        <w:rPr>
          <w:sz w:val="22"/>
          <w:lang w:eastAsia="pl-PL"/>
        </w:rPr>
        <w:t xml:space="preserve"> </w:t>
      </w:r>
    </w:p>
    <w:p w14:paraId="144FC34A" w14:textId="753D20AC" w:rsidR="00536A89" w:rsidRPr="008573E0" w:rsidRDefault="008416EE" w:rsidP="006439FA">
      <w:pPr>
        <w:spacing w:before="240" w:after="240" w:line="360" w:lineRule="auto"/>
        <w:jc w:val="both"/>
        <w:rPr>
          <w:sz w:val="22"/>
          <w:lang w:eastAsia="pl-PL"/>
        </w:rPr>
      </w:pPr>
      <w:r w:rsidRPr="008573E0">
        <w:rPr>
          <w:sz w:val="22"/>
          <w:lang w:eastAsia="pl-PL"/>
        </w:rPr>
        <w:t xml:space="preserve">Analizując </w:t>
      </w:r>
      <w:r w:rsidR="00536A89" w:rsidRPr="008573E0">
        <w:rPr>
          <w:sz w:val="22"/>
          <w:lang w:eastAsia="pl-PL"/>
        </w:rPr>
        <w:t>koncentrację urząd</w:t>
      </w:r>
      <w:r w:rsidRPr="008573E0">
        <w:rPr>
          <w:sz w:val="22"/>
          <w:lang w:eastAsia="pl-PL"/>
        </w:rPr>
        <w:t xml:space="preserve"> </w:t>
      </w:r>
      <w:r w:rsidR="00901040" w:rsidRPr="008573E0">
        <w:rPr>
          <w:sz w:val="22"/>
          <w:lang w:eastAsia="pl-PL"/>
        </w:rPr>
        <w:t>uznał, że</w:t>
      </w:r>
      <w:r w:rsidR="00DB69F4">
        <w:rPr>
          <w:sz w:val="22"/>
          <w:lang w:eastAsia="pl-PL"/>
        </w:rPr>
        <w:t xml:space="preserve"> jej uczestnicy</w:t>
      </w:r>
      <w:r w:rsidR="00901040" w:rsidRPr="008573E0">
        <w:rPr>
          <w:sz w:val="22"/>
          <w:lang w:eastAsia="pl-PL"/>
        </w:rPr>
        <w:t xml:space="preserve"> konkurują ze sobą </w:t>
      </w:r>
      <w:r w:rsidR="00536A89" w:rsidRPr="008573E0">
        <w:rPr>
          <w:sz w:val="22"/>
          <w:lang w:eastAsia="pl-PL"/>
        </w:rPr>
        <w:t xml:space="preserve">i </w:t>
      </w:r>
      <w:r w:rsidR="00901040" w:rsidRPr="008573E0">
        <w:rPr>
          <w:sz w:val="22"/>
          <w:lang w:eastAsia="pl-PL"/>
        </w:rPr>
        <w:t xml:space="preserve">innymi podmiotami na rynku </w:t>
      </w:r>
      <w:r w:rsidR="00C31860" w:rsidRPr="008573E0">
        <w:rPr>
          <w:sz w:val="22"/>
          <w:lang w:eastAsia="pl-PL"/>
        </w:rPr>
        <w:t xml:space="preserve">eleganckiej odzieży męskiej klasy średniej. </w:t>
      </w:r>
      <w:r w:rsidR="00536A89" w:rsidRPr="008573E0">
        <w:rPr>
          <w:sz w:val="22"/>
          <w:lang w:eastAsia="pl-PL"/>
        </w:rPr>
        <w:t xml:space="preserve">Nie rywalizują natomiast z producentami marek luksusowych, a także </w:t>
      </w:r>
      <w:r w:rsidR="005F575F" w:rsidRPr="008573E0">
        <w:rPr>
          <w:sz w:val="22"/>
          <w:lang w:eastAsia="pl-PL"/>
        </w:rPr>
        <w:t>naj</w:t>
      </w:r>
      <w:r w:rsidR="00536A89" w:rsidRPr="008573E0">
        <w:rPr>
          <w:sz w:val="22"/>
          <w:lang w:eastAsia="pl-PL"/>
        </w:rPr>
        <w:t xml:space="preserve">tańszych ubrań. Osobnymi </w:t>
      </w:r>
      <w:r w:rsidR="00DB69F4">
        <w:rPr>
          <w:sz w:val="22"/>
          <w:lang w:eastAsia="pl-PL"/>
        </w:rPr>
        <w:t>produktami</w:t>
      </w:r>
      <w:r w:rsidR="00536A89" w:rsidRPr="008573E0">
        <w:rPr>
          <w:sz w:val="22"/>
          <w:lang w:eastAsia="pl-PL"/>
        </w:rPr>
        <w:t xml:space="preserve"> </w:t>
      </w:r>
      <w:r w:rsidR="00DB69F4">
        <w:rPr>
          <w:sz w:val="22"/>
          <w:lang w:eastAsia="pl-PL"/>
        </w:rPr>
        <w:t xml:space="preserve">są </w:t>
      </w:r>
      <w:r w:rsidR="00536A89" w:rsidRPr="008573E0">
        <w:rPr>
          <w:sz w:val="22"/>
          <w:lang w:eastAsia="pl-PL"/>
        </w:rPr>
        <w:t xml:space="preserve">również odzież dziecięca, młodzieżowa i kobieca. </w:t>
      </w:r>
    </w:p>
    <w:p w14:paraId="53039FDC" w14:textId="77777777" w:rsidR="00C46157" w:rsidRDefault="00536A89" w:rsidP="006439FA">
      <w:pPr>
        <w:spacing w:before="240" w:after="240" w:line="360" w:lineRule="auto"/>
        <w:jc w:val="both"/>
        <w:rPr>
          <w:sz w:val="22"/>
          <w:lang w:eastAsia="pl-PL"/>
        </w:rPr>
      </w:pPr>
      <w:r w:rsidRPr="008573E0">
        <w:rPr>
          <w:sz w:val="22"/>
          <w:lang w:eastAsia="pl-PL"/>
        </w:rPr>
        <w:lastRenderedPageBreak/>
        <w:t>Z kolei w ujęciu geograficznym urząd zbadał zarówno wpływ trans</w:t>
      </w:r>
      <w:r w:rsidR="00DB69F4">
        <w:rPr>
          <w:sz w:val="22"/>
          <w:lang w:eastAsia="pl-PL"/>
        </w:rPr>
        <w:t>akcji na konkurencję</w:t>
      </w:r>
      <w:r w:rsidRPr="008573E0">
        <w:rPr>
          <w:sz w:val="22"/>
          <w:lang w:eastAsia="pl-PL"/>
        </w:rPr>
        <w:t xml:space="preserve"> w poszczególnych miastach, gdzie V</w:t>
      </w:r>
      <w:r w:rsidR="00C46157">
        <w:rPr>
          <w:sz w:val="22"/>
          <w:lang w:eastAsia="pl-PL"/>
        </w:rPr>
        <w:t>istula i Bytom prowadzą</w:t>
      </w:r>
      <w:r w:rsidRPr="008573E0">
        <w:rPr>
          <w:sz w:val="22"/>
          <w:lang w:eastAsia="pl-PL"/>
        </w:rPr>
        <w:t xml:space="preserve"> działalność, a także na terenie całego kraju.</w:t>
      </w:r>
    </w:p>
    <w:p w14:paraId="4D189AAE" w14:textId="77777777" w:rsidR="00536A89" w:rsidRDefault="00C46157" w:rsidP="006439FA">
      <w:pPr>
        <w:spacing w:before="240" w:after="240" w:line="360" w:lineRule="auto"/>
        <w:jc w:val="both"/>
        <w:rPr>
          <w:sz w:val="22"/>
          <w:lang w:eastAsia="pl-PL"/>
        </w:rPr>
      </w:pPr>
      <w:r>
        <w:rPr>
          <w:sz w:val="22"/>
          <w:lang w:eastAsia="pl-PL"/>
        </w:rPr>
        <w:t>A</w:t>
      </w:r>
      <w:r w:rsidR="00446803" w:rsidRPr="008573E0">
        <w:rPr>
          <w:i/>
          <w:sz w:val="22"/>
          <w:lang w:eastAsia="pl-PL"/>
        </w:rPr>
        <w:t xml:space="preserve">naliza przeprowadzona przez UOKiK pokazała, że  </w:t>
      </w:r>
      <w:r w:rsidR="005F575F" w:rsidRPr="008573E0">
        <w:rPr>
          <w:i/>
          <w:sz w:val="22"/>
          <w:lang w:eastAsia="pl-PL"/>
        </w:rPr>
        <w:t>nie dojdzie do ograni</w:t>
      </w:r>
      <w:r>
        <w:rPr>
          <w:i/>
          <w:sz w:val="22"/>
          <w:lang w:eastAsia="pl-PL"/>
        </w:rPr>
        <w:t xml:space="preserve">czenia konkurencji na żadnym z rynków, na którym działają Vistula </w:t>
      </w:r>
      <w:proofErr w:type="spellStart"/>
      <w:r>
        <w:rPr>
          <w:i/>
          <w:sz w:val="22"/>
          <w:lang w:eastAsia="pl-PL"/>
        </w:rPr>
        <w:t>Group</w:t>
      </w:r>
      <w:proofErr w:type="spellEnd"/>
      <w:r>
        <w:rPr>
          <w:i/>
          <w:sz w:val="22"/>
          <w:lang w:eastAsia="pl-PL"/>
        </w:rPr>
        <w:t xml:space="preserve"> i Bytom.</w:t>
      </w:r>
      <w:r w:rsidR="005F575F" w:rsidRPr="008573E0">
        <w:rPr>
          <w:i/>
          <w:sz w:val="22"/>
          <w:lang w:eastAsia="pl-PL"/>
        </w:rPr>
        <w:t xml:space="preserve"> </w:t>
      </w:r>
      <w:r w:rsidR="00446803" w:rsidRPr="008573E0">
        <w:rPr>
          <w:i/>
          <w:sz w:val="22"/>
          <w:lang w:eastAsia="pl-PL"/>
        </w:rPr>
        <w:t>Dlatego</w:t>
      </w:r>
      <w:r w:rsidR="005F575F" w:rsidRPr="008573E0">
        <w:rPr>
          <w:i/>
          <w:sz w:val="22"/>
          <w:lang w:eastAsia="pl-PL"/>
        </w:rPr>
        <w:t xml:space="preserve"> urząd wydał </w:t>
      </w:r>
      <w:r w:rsidR="00446803" w:rsidRPr="008573E0">
        <w:rPr>
          <w:i/>
          <w:sz w:val="22"/>
          <w:lang w:eastAsia="pl-PL"/>
        </w:rPr>
        <w:t>zgodę na</w:t>
      </w:r>
      <w:r>
        <w:rPr>
          <w:i/>
          <w:sz w:val="22"/>
          <w:lang w:eastAsia="pl-PL"/>
        </w:rPr>
        <w:t xml:space="preserve"> połączenie tych przedsiębiorców </w:t>
      </w:r>
      <w:r w:rsidR="00446803" w:rsidRPr="008573E0">
        <w:rPr>
          <w:sz w:val="22"/>
          <w:lang w:eastAsia="pl-PL"/>
        </w:rPr>
        <w:t xml:space="preserve">– mówi prezes UOKiK, Marek Niechciał. </w:t>
      </w:r>
    </w:p>
    <w:p w14:paraId="582CFE57" w14:textId="77777777" w:rsidR="00DB69F4" w:rsidRDefault="00DB69F4" w:rsidP="00DB69F4">
      <w:pPr>
        <w:shd w:val="clear" w:color="auto" w:fill="FFFFFF"/>
        <w:spacing w:after="240" w:line="360" w:lineRule="auto"/>
        <w:jc w:val="both"/>
        <w:rPr>
          <w:rFonts w:cs="Tahoma"/>
          <w:color w:val="000000" w:themeColor="text1"/>
          <w:sz w:val="22"/>
          <w:lang w:eastAsia="en-GB"/>
        </w:rPr>
      </w:pPr>
      <w:r>
        <w:rPr>
          <w:rFonts w:cs="Tahoma"/>
          <w:color w:val="000000" w:themeColor="text1"/>
          <w:sz w:val="22"/>
          <w:lang w:eastAsia="en-GB"/>
        </w:rPr>
        <w:t>Zgodnie z przepisami, transakcja podlega zgłoszeniu do urzędu antymonopolowego, jeżeli biorą w niej udział przedsiębiorcy, których łączny obrót w roku poprzedzającym przekroczył 1 mld euro na świecie lub 50 mln euro w Polsce.</w:t>
      </w:r>
    </w:p>
    <w:p w14:paraId="51263B6D" w14:textId="77777777" w:rsidR="00DB69F4" w:rsidRDefault="00DB69F4" w:rsidP="00DB69F4">
      <w:pPr>
        <w:shd w:val="clear" w:color="auto" w:fill="FFFFFF"/>
        <w:spacing w:after="240" w:line="360" w:lineRule="auto"/>
        <w:jc w:val="both"/>
        <w:rPr>
          <w:rStyle w:val="Hipercze"/>
        </w:rPr>
      </w:pPr>
      <w:r>
        <w:rPr>
          <w:rFonts w:cs="Tahoma"/>
          <w:color w:val="000000" w:themeColor="text1"/>
          <w:sz w:val="22"/>
          <w:lang w:eastAsia="en-GB"/>
        </w:rPr>
        <w:t>Decyzje wyrażające zgodę na dokonanie koncentracji wygasają, jeżeli transakcja nie zostanie dokonana w terminie 2 lat od ich wydania. </w:t>
      </w:r>
      <w:hyperlink r:id="rId8" w:history="1">
        <w:r>
          <w:rPr>
            <w:rStyle w:val="Hipercze"/>
            <w:rFonts w:cs="Tahoma"/>
            <w:sz w:val="22"/>
            <w:lang w:eastAsia="en-GB"/>
          </w:rPr>
          <w:t>Na stronie internetowej urzędu </w:t>
        </w:r>
      </w:hyperlink>
      <w:r>
        <w:rPr>
          <w:rFonts w:cs="Tahoma"/>
          <w:color w:val="000000" w:themeColor="text1"/>
          <w:sz w:val="22"/>
          <w:lang w:eastAsia="en-GB"/>
        </w:rPr>
        <w:t>zamieszczane są informacje na temat wszystkich prowadzonych przez UOKiK postępowań antymonopolowych w sprawach koncentracji. Więcej informacji o zasadach łączenia przedsiębiorców  w przygotowanym specjalnie  </w:t>
      </w:r>
      <w:hyperlink r:id="rId9" w:history="1">
        <w:r>
          <w:rPr>
            <w:rStyle w:val="Hipercze"/>
            <w:rFonts w:cs="Tahoma"/>
            <w:sz w:val="22"/>
            <w:lang w:eastAsia="en-GB"/>
          </w:rPr>
          <w:t>opracowaniu.</w:t>
        </w:r>
      </w:hyperlink>
    </w:p>
    <w:p w14:paraId="41758724" w14:textId="77777777"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0932EB55" w14:textId="4C087D36" w:rsidR="006439FA" w:rsidRPr="005F6263" w:rsidRDefault="006439FA" w:rsidP="005F6263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5F6263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5F6263">
        <w:rPr>
          <w:rFonts w:ascii="Trebuchet MS" w:hAnsi="Trebuchet MS"/>
          <w:sz w:val="18"/>
          <w:szCs w:val="18"/>
        </w:rPr>
        <w:t xml:space="preserve">Twitter: </w:t>
      </w:r>
      <w:hyperlink r:id="rId11" w:history="1">
        <w:r w:rsidRPr="005F6263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5F6263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</w:rPr>
          <w:t>UOKiKgovPL</w:t>
        </w:r>
        <w:proofErr w:type="spellEnd"/>
      </w:hyperlink>
      <w:bookmarkStart w:id="0" w:name="_GoBack"/>
      <w:bookmarkEnd w:id="0"/>
    </w:p>
    <w:p w14:paraId="017AC518" w14:textId="77777777" w:rsidR="00AB4185" w:rsidRDefault="000D5423"/>
    <w:p w14:paraId="5DE7D972" w14:textId="77777777" w:rsidR="000B1AC5" w:rsidRDefault="000B1AC5"/>
    <w:p w14:paraId="228DDF4E" w14:textId="77777777"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2A8B" w14:textId="77777777" w:rsidR="000D5423" w:rsidRDefault="000D5423">
      <w:r>
        <w:separator/>
      </w:r>
    </w:p>
  </w:endnote>
  <w:endnote w:type="continuationSeparator" w:id="0">
    <w:p w14:paraId="11C8E814" w14:textId="77777777" w:rsidR="000D5423" w:rsidRDefault="000D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834B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07FF8F7" wp14:editId="487EDC52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F78D1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7BE9AAB6" w14:textId="77777777" w:rsidR="0059016B" w:rsidRDefault="000D5423" w:rsidP="004470CD">
    <w:pPr>
      <w:pStyle w:val="Stopka"/>
    </w:pPr>
  </w:p>
  <w:p w14:paraId="4E46F97C" w14:textId="77777777" w:rsidR="0059016B" w:rsidRDefault="000D5423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110C" w14:textId="77777777" w:rsidR="000D5423" w:rsidRDefault="000D5423">
      <w:r>
        <w:separator/>
      </w:r>
    </w:p>
  </w:footnote>
  <w:footnote w:type="continuationSeparator" w:id="0">
    <w:p w14:paraId="655F0A68" w14:textId="77777777" w:rsidR="000D5423" w:rsidRDefault="000D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114B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0E6D6F1" wp14:editId="62D0D4C8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94B34" w14:textId="77777777" w:rsidR="0059016B" w:rsidRDefault="000D5423" w:rsidP="0041396E">
    <w:pPr>
      <w:pStyle w:val="Nagwek"/>
      <w:tabs>
        <w:tab w:val="clear" w:pos="9072"/>
      </w:tabs>
    </w:pPr>
  </w:p>
  <w:p w14:paraId="3406E561" w14:textId="77777777" w:rsidR="0059016B" w:rsidRDefault="000D542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63042"/>
    <w:rsid w:val="000B1AC5"/>
    <w:rsid w:val="000D5423"/>
    <w:rsid w:val="00120FBD"/>
    <w:rsid w:val="0012424D"/>
    <w:rsid w:val="001553C8"/>
    <w:rsid w:val="00190D5A"/>
    <w:rsid w:val="001924CE"/>
    <w:rsid w:val="001979B5"/>
    <w:rsid w:val="001A5F7C"/>
    <w:rsid w:val="001C1FAD"/>
    <w:rsid w:val="00260382"/>
    <w:rsid w:val="00266CB4"/>
    <w:rsid w:val="00295B34"/>
    <w:rsid w:val="002A5D69"/>
    <w:rsid w:val="002C0D5D"/>
    <w:rsid w:val="002C6ABE"/>
    <w:rsid w:val="002F3D63"/>
    <w:rsid w:val="00331F4F"/>
    <w:rsid w:val="00360248"/>
    <w:rsid w:val="00380543"/>
    <w:rsid w:val="003E3F9D"/>
    <w:rsid w:val="00404D0C"/>
    <w:rsid w:val="004349BA"/>
    <w:rsid w:val="004365C7"/>
    <w:rsid w:val="00446803"/>
    <w:rsid w:val="00486DB1"/>
    <w:rsid w:val="00493E10"/>
    <w:rsid w:val="005003F9"/>
    <w:rsid w:val="00523E0D"/>
    <w:rsid w:val="0052710E"/>
    <w:rsid w:val="00536A89"/>
    <w:rsid w:val="005442FC"/>
    <w:rsid w:val="005462BA"/>
    <w:rsid w:val="005973FD"/>
    <w:rsid w:val="005F1EBD"/>
    <w:rsid w:val="005F575F"/>
    <w:rsid w:val="005F6263"/>
    <w:rsid w:val="00633D4E"/>
    <w:rsid w:val="0063526F"/>
    <w:rsid w:val="00637E86"/>
    <w:rsid w:val="006439FA"/>
    <w:rsid w:val="006A4A7A"/>
    <w:rsid w:val="006B0848"/>
    <w:rsid w:val="006C34AE"/>
    <w:rsid w:val="006F42C2"/>
    <w:rsid w:val="007039EC"/>
    <w:rsid w:val="00722471"/>
    <w:rsid w:val="0074489D"/>
    <w:rsid w:val="007514AD"/>
    <w:rsid w:val="0081753E"/>
    <w:rsid w:val="008416EE"/>
    <w:rsid w:val="0084641D"/>
    <w:rsid w:val="0085010E"/>
    <w:rsid w:val="008573E0"/>
    <w:rsid w:val="00896985"/>
    <w:rsid w:val="008D5771"/>
    <w:rsid w:val="00901040"/>
    <w:rsid w:val="00940E8F"/>
    <w:rsid w:val="009652F2"/>
    <w:rsid w:val="00A13244"/>
    <w:rsid w:val="00A239AA"/>
    <w:rsid w:val="00A439E8"/>
    <w:rsid w:val="00A77DA2"/>
    <w:rsid w:val="00AE2923"/>
    <w:rsid w:val="00B07124"/>
    <w:rsid w:val="00B41502"/>
    <w:rsid w:val="00B51024"/>
    <w:rsid w:val="00B57330"/>
    <w:rsid w:val="00B60F9C"/>
    <w:rsid w:val="00B6769E"/>
    <w:rsid w:val="00BA26F7"/>
    <w:rsid w:val="00BC27D5"/>
    <w:rsid w:val="00BE2623"/>
    <w:rsid w:val="00BE68EE"/>
    <w:rsid w:val="00C31860"/>
    <w:rsid w:val="00C46157"/>
    <w:rsid w:val="00C63AA8"/>
    <w:rsid w:val="00C70096"/>
    <w:rsid w:val="00C7783C"/>
    <w:rsid w:val="00CB1AE6"/>
    <w:rsid w:val="00CB3ED4"/>
    <w:rsid w:val="00D109F4"/>
    <w:rsid w:val="00D1323F"/>
    <w:rsid w:val="00D6457B"/>
    <w:rsid w:val="00D71A41"/>
    <w:rsid w:val="00DB69F4"/>
    <w:rsid w:val="00DD34A3"/>
    <w:rsid w:val="00DF782B"/>
    <w:rsid w:val="00E42093"/>
    <w:rsid w:val="00E64103"/>
    <w:rsid w:val="00EC4F27"/>
    <w:rsid w:val="00F21EAC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CCCD1"/>
  <w15:docId w15:val="{E9F9BED6-6385-4981-B3E8-88C0F38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372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8</cp:revision>
  <cp:lastPrinted>2018-08-14T14:01:00Z</cp:lastPrinted>
  <dcterms:created xsi:type="dcterms:W3CDTF">2018-08-17T07:29:00Z</dcterms:created>
  <dcterms:modified xsi:type="dcterms:W3CDTF">2018-08-17T08:04:00Z</dcterms:modified>
</cp:coreProperties>
</file>