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DC7D" w14:textId="77777777" w:rsidR="00572A9E" w:rsidRDefault="00802C4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TAJEMNICZY KLIENT – UOKIK W SKLEPACH Z ELEKTRONIKĄ</w:t>
      </w:r>
    </w:p>
    <w:p w14:paraId="71667927" w14:textId="59D5B4D6" w:rsidR="00572A9E" w:rsidRDefault="00802C4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Pracownicy UOKiK sprawdzili 1</w:t>
      </w:r>
      <w:r w:rsidR="00D602A5">
        <w:rPr>
          <w:b/>
          <w:sz w:val="22"/>
        </w:rPr>
        <w:t>6</w:t>
      </w:r>
      <w:r>
        <w:rPr>
          <w:b/>
          <w:sz w:val="22"/>
        </w:rPr>
        <w:t xml:space="preserve"> dużych sklepów z elektroniką w całej Polsce.</w:t>
      </w:r>
    </w:p>
    <w:p w14:paraId="0342D3E5" w14:textId="5D8A6D9F" w:rsidR="00572A9E" w:rsidRDefault="00802C4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To do tej pory największa akcja, w której </w:t>
      </w:r>
      <w:r w:rsidR="00800CD4">
        <w:rPr>
          <w:b/>
          <w:sz w:val="22"/>
        </w:rPr>
        <w:t>wcielili</w:t>
      </w:r>
      <w:r>
        <w:rPr>
          <w:b/>
          <w:sz w:val="22"/>
        </w:rPr>
        <w:t xml:space="preserve"> się w tajemniczego klienta.</w:t>
      </w:r>
    </w:p>
    <w:p w14:paraId="35C79C15" w14:textId="62FF3494" w:rsidR="00572A9E" w:rsidRDefault="00802C4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Sprawdzaliśmy informacje, które sprzedawcy przekazują podczas zakupu telefonu, komputera, telewizora.</w:t>
      </w:r>
    </w:p>
    <w:p w14:paraId="45BBABB2" w14:textId="0DEAFDE3" w:rsidR="00572A9E" w:rsidRDefault="00802C44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17 kwietnia 2019 r.] </w:t>
      </w:r>
      <w:r>
        <w:rPr>
          <w:sz w:val="22"/>
        </w:rPr>
        <w:t xml:space="preserve">Urząd Ochrony Konkurencji i Konsumentów od 2016 r. może korzystać z instytucji tajemniczego klienta. Pracownicy </w:t>
      </w:r>
      <w:r w:rsidR="00D602A5">
        <w:rPr>
          <w:sz w:val="22"/>
        </w:rPr>
        <w:t xml:space="preserve">UOKiK już 26 razy </w:t>
      </w:r>
      <w:r>
        <w:rPr>
          <w:sz w:val="22"/>
        </w:rPr>
        <w:t>wciel</w:t>
      </w:r>
      <w:r w:rsidR="00D602A5">
        <w:rPr>
          <w:sz w:val="22"/>
        </w:rPr>
        <w:t>i</w:t>
      </w:r>
      <w:r>
        <w:rPr>
          <w:sz w:val="22"/>
        </w:rPr>
        <w:t xml:space="preserve">li się w tę rolę. W ten sposób UOKiK może sprawdzić, jak przebiega proces oferowania przez sprzedawcę określonych usług lub produktów. – </w:t>
      </w:r>
      <w:r>
        <w:rPr>
          <w:i/>
          <w:sz w:val="22"/>
        </w:rPr>
        <w:t xml:space="preserve">Nie stosujemy prowokacji. Nie kupujemy produktów, </w:t>
      </w:r>
      <w:r w:rsidR="00800CD4">
        <w:rPr>
          <w:i/>
          <w:sz w:val="22"/>
        </w:rPr>
        <w:t xml:space="preserve">ani </w:t>
      </w:r>
      <w:r>
        <w:rPr>
          <w:i/>
          <w:sz w:val="22"/>
        </w:rPr>
        <w:t>nie zawieramy umów. Przychodzimy do banku czy na pokaz handlowy jako zwyczajni k</w:t>
      </w:r>
      <w:r w:rsidR="00800CD4">
        <w:rPr>
          <w:i/>
          <w:sz w:val="22"/>
        </w:rPr>
        <w:t xml:space="preserve">onsumenci, żeby z ich punktu widzenia </w:t>
      </w:r>
      <w:r>
        <w:rPr>
          <w:i/>
          <w:sz w:val="22"/>
        </w:rPr>
        <w:t>sprawdz</w:t>
      </w:r>
      <w:r w:rsidR="00800CD4">
        <w:rPr>
          <w:i/>
          <w:sz w:val="22"/>
        </w:rPr>
        <w:t>ić</w:t>
      </w:r>
      <w:r>
        <w:rPr>
          <w:i/>
          <w:sz w:val="22"/>
        </w:rPr>
        <w:t>, jakie informacje są tam przekazywane. Zgodę na to zawsze wcześniej wydaje sąd, musimy więc zawsze uzasadnić swoje działania.</w:t>
      </w:r>
      <w:r>
        <w:rPr>
          <w:sz w:val="22"/>
        </w:rPr>
        <w:t xml:space="preserve"> – mówi Marek Niechciał, prezes UOKiK. </w:t>
      </w:r>
    </w:p>
    <w:p w14:paraId="4BB6A2E1" w14:textId="77777777" w:rsidR="00572A9E" w:rsidRDefault="00802C44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Kontrola sklepów z elektroniką </w:t>
      </w:r>
    </w:p>
    <w:p w14:paraId="38937C10" w14:textId="34DC39A8" w:rsidR="00572A9E" w:rsidRDefault="00802C4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Największa kontrola, w której urząd skorzystał z tajemniczego klienta, odbyła się pod koniec 2018 r. </w:t>
      </w:r>
      <w:r>
        <w:rPr>
          <w:b/>
          <w:sz w:val="22"/>
        </w:rPr>
        <w:t>W sezonie przedświątecznym 36 pracowników UOKiK odwiedziło 1</w:t>
      </w:r>
      <w:r w:rsidR="00D602A5">
        <w:rPr>
          <w:b/>
          <w:sz w:val="22"/>
        </w:rPr>
        <w:t>6</w:t>
      </w:r>
      <w:r>
        <w:rPr>
          <w:b/>
          <w:sz w:val="22"/>
        </w:rPr>
        <w:t xml:space="preserve"> największych sklepów z elektroniką </w:t>
      </w:r>
      <w:r>
        <w:rPr>
          <w:sz w:val="22"/>
        </w:rPr>
        <w:t xml:space="preserve">(pełna lista w załączniku). Były to sklepy należące do sieci: </w:t>
      </w:r>
      <w:proofErr w:type="spellStart"/>
      <w:r>
        <w:rPr>
          <w:sz w:val="22"/>
        </w:rPr>
        <w:t>Komputronik</w:t>
      </w:r>
      <w:proofErr w:type="spellEnd"/>
      <w:r>
        <w:rPr>
          <w:sz w:val="22"/>
        </w:rPr>
        <w:t xml:space="preserve">, Media </w:t>
      </w:r>
      <w:proofErr w:type="spellStart"/>
      <w:r>
        <w:rPr>
          <w:sz w:val="22"/>
        </w:rPr>
        <w:t>Markt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Mediaexpert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Neonet</w:t>
      </w:r>
      <w:proofErr w:type="spellEnd"/>
      <w:r>
        <w:rPr>
          <w:sz w:val="22"/>
        </w:rPr>
        <w:t xml:space="preserve">, RTV Euro AGD. </w:t>
      </w:r>
    </w:p>
    <w:p w14:paraId="0D0B41FD" w14:textId="77777777" w:rsidR="00572A9E" w:rsidRDefault="00802C4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chciał w toku tej kontroli zweryfikować, czy i jak sprzedawcy informują o prawie do złożenia reklamacji z tytułu rękojmi i czy odróżniają ją od gwarancji. Przykładowo – </w:t>
      </w:r>
      <w:r w:rsidRPr="00CF0CCF">
        <w:rPr>
          <w:b/>
          <w:sz w:val="22"/>
        </w:rPr>
        <w:t>tajemniczy klienci sprawdzali, czy sklepy odmawiały przyjęcia reklamacji</w:t>
      </w:r>
      <w:r>
        <w:rPr>
          <w:sz w:val="22"/>
        </w:rPr>
        <w:t xml:space="preserve"> i odsyłały klienta do producenta, albo czy uzależniały jej przyjęcie od tego, czy ktoś miał paragon. </w:t>
      </w:r>
    </w:p>
    <w:p w14:paraId="03EF4807" w14:textId="77777777" w:rsidR="00572A9E" w:rsidRDefault="00802C4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Kolejnym zagadnieniem, które chcieli zweryfikować tajemniczy klienci, były kwestie związane z tzw. dodatkowym ubezpieczeniem sprzętu. </w:t>
      </w:r>
      <w:r w:rsidR="00CF0CCF" w:rsidRPr="0052580D">
        <w:rPr>
          <w:b/>
          <w:sz w:val="22"/>
        </w:rPr>
        <w:t>S</w:t>
      </w:r>
      <w:r w:rsidRPr="0052580D">
        <w:rPr>
          <w:b/>
          <w:sz w:val="22"/>
        </w:rPr>
        <w:t>klep</w:t>
      </w:r>
      <w:r w:rsidR="00CF0CCF" w:rsidRPr="0052580D">
        <w:rPr>
          <w:b/>
          <w:sz w:val="22"/>
        </w:rPr>
        <w:t>y</w:t>
      </w:r>
      <w:r w:rsidRPr="0052580D">
        <w:rPr>
          <w:b/>
          <w:sz w:val="22"/>
        </w:rPr>
        <w:t xml:space="preserve"> oferuj</w:t>
      </w:r>
      <w:r w:rsidR="00CF0CCF" w:rsidRPr="0052580D">
        <w:rPr>
          <w:b/>
          <w:sz w:val="22"/>
        </w:rPr>
        <w:t>ą</w:t>
      </w:r>
      <w:r w:rsidRPr="0052580D">
        <w:rPr>
          <w:b/>
          <w:sz w:val="22"/>
        </w:rPr>
        <w:t xml:space="preserve"> tzw. „przedłużoną gwarancję”, która z gwarancją ma niewiele wspólnego</w:t>
      </w:r>
      <w:r>
        <w:rPr>
          <w:sz w:val="22"/>
        </w:rPr>
        <w:t>, a w rzeczywistości jest to dodatkowo płatne ubezpieczenie</w:t>
      </w:r>
      <w:r w:rsidRPr="00CF0CCF">
        <w:rPr>
          <w:sz w:val="22"/>
        </w:rPr>
        <w:t>. Cz</w:t>
      </w:r>
      <w:r w:rsidRPr="00CF0CCF">
        <w:rPr>
          <w:rFonts w:hint="eastAsia"/>
          <w:sz w:val="22"/>
        </w:rPr>
        <w:t>ę</w:t>
      </w:r>
      <w:r w:rsidRPr="00CF0CCF">
        <w:rPr>
          <w:sz w:val="22"/>
        </w:rPr>
        <w:t>sto</w:t>
      </w:r>
      <w:r>
        <w:rPr>
          <w:sz w:val="22"/>
        </w:rPr>
        <w:t xml:space="preserve"> w jego warunkach znajduje się wiele wyjątków, które powodują, że nie zapewniają pełnej ochrony sprzętu, pomimo wcześniejszych zapewnień sprzedawcy. Dlatego pracownicy urzędu chcieli sprawdzić, jak obsługa o tym informowała oraz czy nie wymagała zakupu takiej usługi. </w:t>
      </w:r>
    </w:p>
    <w:p w14:paraId="319A22F4" w14:textId="606E0DAE" w:rsidR="00BB72F1" w:rsidRDefault="00802C44" w:rsidP="00BB72F1">
      <w:pPr>
        <w:spacing w:after="240" w:line="360" w:lineRule="auto"/>
        <w:jc w:val="both"/>
        <w:rPr>
          <w:sz w:val="22"/>
        </w:rPr>
      </w:pPr>
      <w:r w:rsidRPr="0052580D">
        <w:rPr>
          <w:sz w:val="22"/>
        </w:rPr>
        <w:lastRenderedPageBreak/>
        <w:t xml:space="preserve">Kontrola odbyła się w całej Polsce. </w:t>
      </w:r>
      <w:bookmarkStart w:id="0" w:name="_GoBack"/>
      <w:bookmarkEnd w:id="0"/>
      <w:r w:rsidRPr="0052580D">
        <w:rPr>
          <w:sz w:val="22"/>
        </w:rPr>
        <w:t xml:space="preserve">W tej chwili UOKiK prowadzi postępowanie wyjaśniające, w którym analizuje zgromadzone przez tajemniczych klientów informacje. </w:t>
      </w:r>
      <w:r w:rsidR="00BB72F1">
        <w:rPr>
          <w:sz w:val="22"/>
        </w:rPr>
        <w:t xml:space="preserve">– </w:t>
      </w:r>
      <w:r w:rsidR="00BB72F1">
        <w:rPr>
          <w:i/>
          <w:sz w:val="22"/>
        </w:rPr>
        <w:t>Bez tajemniczego klienta bardzo trudno byłoby nam udowodnić, że przedsiębiorca wprowadza w błąd. Na co dzień mamy do czynienia z sytuacjami, w których słowo konsumenta jest przeciwko słowu przedsiębiorcy. Korzystamy więc z nowych możliwości pozyskiwania dowodów</w:t>
      </w:r>
      <w:r w:rsidR="00BB72F1">
        <w:rPr>
          <w:sz w:val="22"/>
        </w:rPr>
        <w:t xml:space="preserve"> – mówi Piotr Adamczewski, dyrektor delegatury UOKiK w Bydgoszczy.</w:t>
      </w:r>
    </w:p>
    <w:p w14:paraId="00757FF4" w14:textId="4B1AB6FC" w:rsidR="0052580D" w:rsidRPr="0052580D" w:rsidRDefault="00802C44" w:rsidP="00BB72F1">
      <w:pPr>
        <w:spacing w:after="240" w:line="360" w:lineRule="auto"/>
        <w:jc w:val="both"/>
        <w:rPr>
          <w:sz w:val="22"/>
        </w:rPr>
      </w:pPr>
      <w:r w:rsidRPr="0052580D">
        <w:rPr>
          <w:sz w:val="22"/>
        </w:rPr>
        <w:t>Okazją do dyskusji o tym narzędziu jest międzynarodowa konferencja, którą zorganizowała delegatura w Bydgoszczy.</w:t>
      </w:r>
      <w:r>
        <w:rPr>
          <w:sz w:val="22"/>
        </w:rPr>
        <w:t xml:space="preserve"> </w:t>
      </w:r>
      <w:r w:rsidR="0052580D">
        <w:rPr>
          <w:sz w:val="22"/>
        </w:rPr>
        <w:t xml:space="preserve">Spotkanie jest podsumowaniem współpracy </w:t>
      </w:r>
      <w:r w:rsidR="00551F0E">
        <w:rPr>
          <w:sz w:val="22"/>
        </w:rPr>
        <w:t>UOKiK</w:t>
      </w:r>
      <w:r w:rsidR="0052580D">
        <w:rPr>
          <w:sz w:val="22"/>
        </w:rPr>
        <w:t xml:space="preserve"> z włoskim urzędem </w:t>
      </w:r>
      <w:hyperlink r:id="rId8" w:history="1">
        <w:proofErr w:type="spellStart"/>
        <w:r w:rsidR="0052580D" w:rsidRPr="0052580D">
          <w:rPr>
            <w:rStyle w:val="Hipercze"/>
            <w:sz w:val="22"/>
          </w:rPr>
          <w:t>Autorita</w:t>
        </w:r>
        <w:proofErr w:type="spellEnd"/>
        <w:r w:rsidR="0052580D" w:rsidRPr="0052580D">
          <w:rPr>
            <w:rStyle w:val="Hipercze"/>
            <w:sz w:val="22"/>
          </w:rPr>
          <w:t xml:space="preserve">' </w:t>
        </w:r>
        <w:proofErr w:type="spellStart"/>
        <w:r w:rsidR="0052580D" w:rsidRPr="0052580D">
          <w:rPr>
            <w:rStyle w:val="Hipercze"/>
            <w:sz w:val="22"/>
          </w:rPr>
          <w:t>Garante</w:t>
        </w:r>
        <w:proofErr w:type="spellEnd"/>
        <w:r w:rsidR="0052580D" w:rsidRPr="0052580D">
          <w:rPr>
            <w:rStyle w:val="Hipercze"/>
            <w:sz w:val="22"/>
          </w:rPr>
          <w:t xml:space="preserve"> </w:t>
        </w:r>
        <w:proofErr w:type="spellStart"/>
        <w:r w:rsidR="0052580D" w:rsidRPr="0052580D">
          <w:rPr>
            <w:rStyle w:val="Hipercze"/>
            <w:sz w:val="22"/>
          </w:rPr>
          <w:t>della</w:t>
        </w:r>
        <w:proofErr w:type="spellEnd"/>
        <w:r w:rsidR="0052580D" w:rsidRPr="0052580D">
          <w:rPr>
            <w:rStyle w:val="Hipercze"/>
            <w:sz w:val="22"/>
          </w:rPr>
          <w:t xml:space="preserve"> </w:t>
        </w:r>
        <w:proofErr w:type="spellStart"/>
        <w:r w:rsidR="0052580D" w:rsidRPr="0052580D">
          <w:rPr>
            <w:rStyle w:val="Hipercze"/>
            <w:sz w:val="22"/>
          </w:rPr>
          <w:t>Concorrenza</w:t>
        </w:r>
        <w:proofErr w:type="spellEnd"/>
        <w:r w:rsidR="0052580D" w:rsidRPr="0052580D">
          <w:rPr>
            <w:rStyle w:val="Hipercze"/>
            <w:sz w:val="22"/>
          </w:rPr>
          <w:t xml:space="preserve"> e del </w:t>
        </w:r>
        <w:proofErr w:type="spellStart"/>
        <w:r w:rsidR="0052580D" w:rsidRPr="0052580D">
          <w:rPr>
            <w:rStyle w:val="Hipercze"/>
            <w:sz w:val="22"/>
          </w:rPr>
          <w:t>Mercato</w:t>
        </w:r>
        <w:proofErr w:type="spellEnd"/>
      </w:hyperlink>
      <w:r w:rsidR="0052580D" w:rsidRPr="0052580D">
        <w:rPr>
          <w:sz w:val="22"/>
        </w:rPr>
        <w:t xml:space="preserve">. </w:t>
      </w:r>
      <w:r w:rsidR="0052580D">
        <w:rPr>
          <w:sz w:val="22"/>
        </w:rPr>
        <w:t xml:space="preserve">Obie instytucje przez ponad rok wymieniały się doświadczeniami i wspólnie pracowały przy unijnym projekcie dotyczącym kontroli sklepów z elektroniką i przeglądu stron internetowych z ofertami wycieczek. </w:t>
      </w:r>
      <w:r w:rsidR="00F35A3D">
        <w:rPr>
          <w:sz w:val="22"/>
        </w:rPr>
        <w:t xml:space="preserve">– </w:t>
      </w:r>
      <w:r w:rsidR="00F35A3D" w:rsidRPr="00BB72F1">
        <w:rPr>
          <w:i/>
          <w:sz w:val="22"/>
        </w:rPr>
        <w:t>Cieszę się z tej współpracy. Dzięki niej możem</w:t>
      </w:r>
      <w:r w:rsidR="00BB72F1">
        <w:rPr>
          <w:i/>
          <w:sz w:val="22"/>
        </w:rPr>
        <w:t>y rozwijać kompetencje. Włoskie prawo</w:t>
      </w:r>
      <w:r w:rsidR="00F35A3D" w:rsidRPr="00BB72F1">
        <w:rPr>
          <w:i/>
          <w:sz w:val="22"/>
        </w:rPr>
        <w:t xml:space="preserve"> nie </w:t>
      </w:r>
      <w:r w:rsidR="00BB72F1">
        <w:rPr>
          <w:i/>
          <w:sz w:val="22"/>
        </w:rPr>
        <w:t xml:space="preserve">przewiduje </w:t>
      </w:r>
      <w:r w:rsidR="00F35A3D" w:rsidRPr="00BB72F1">
        <w:rPr>
          <w:i/>
          <w:sz w:val="22"/>
        </w:rPr>
        <w:t>instytucji tajemniczego klienta, więc pracownicy</w:t>
      </w:r>
      <w:r w:rsidR="00BB72F1">
        <w:rPr>
          <w:i/>
          <w:sz w:val="22"/>
        </w:rPr>
        <w:t xml:space="preserve"> tego urzędu</w:t>
      </w:r>
      <w:r w:rsidR="00F35A3D" w:rsidRPr="00BB72F1">
        <w:rPr>
          <w:i/>
          <w:sz w:val="22"/>
        </w:rPr>
        <w:t xml:space="preserve"> z ciekawością przyglądali się naszym działaniom.</w:t>
      </w:r>
      <w:r w:rsidR="00BB72F1" w:rsidRPr="00BB72F1">
        <w:rPr>
          <w:i/>
          <w:sz w:val="22"/>
        </w:rPr>
        <w:t xml:space="preserve"> Wzajemnie poszukujemy nowych możliwości pozyskiwania dowodów. Z drugiej strony, włoski urząd ma spore doświadczenie w monitorowaniu stron internetowych, na których są oferty wprowadzające konsumentów w błąd. To dla nas </w:t>
      </w:r>
      <w:r w:rsidR="00D602A5" w:rsidRPr="00BB72F1">
        <w:rPr>
          <w:i/>
          <w:sz w:val="22"/>
        </w:rPr>
        <w:t xml:space="preserve">cenne </w:t>
      </w:r>
      <w:r w:rsidR="00BB72F1" w:rsidRPr="00BB72F1">
        <w:rPr>
          <w:i/>
          <w:sz w:val="22"/>
        </w:rPr>
        <w:t>doświadczenie</w:t>
      </w:r>
      <w:r w:rsidR="00BB72F1">
        <w:rPr>
          <w:sz w:val="22"/>
        </w:rPr>
        <w:t xml:space="preserve"> – dodaje Piotr Adamczewski. </w:t>
      </w:r>
    </w:p>
    <w:p w14:paraId="6FB0C3B4" w14:textId="77777777" w:rsidR="00572A9E" w:rsidRDefault="00802C44">
      <w:pPr>
        <w:spacing w:after="240" w:line="360" w:lineRule="auto"/>
        <w:jc w:val="both"/>
        <w:rPr>
          <w:rFonts w:cs="Tahoma"/>
          <w:b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t>Tajemniczy klient</w:t>
      </w:r>
    </w:p>
    <w:p w14:paraId="6B50BC6F" w14:textId="40580F6B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UOKiK może korzystać z tego n</w:t>
      </w:r>
      <w:r w:rsidR="00C3470D">
        <w:rPr>
          <w:rFonts w:cs="Tahoma"/>
          <w:sz w:val="22"/>
          <w:lang w:eastAsia="pl-PL"/>
        </w:rPr>
        <w:t>arzędzia od 17 kwietnia 2016 r.</w:t>
      </w:r>
    </w:p>
    <w:p w14:paraId="1359EBD5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highlight w:val="white"/>
        </w:rPr>
      </w:pPr>
      <w:r>
        <w:rPr>
          <w:rFonts w:cs="Tahoma"/>
          <w:sz w:val="22"/>
          <w:shd w:val="clear" w:color="auto" w:fill="FFFFFF"/>
        </w:rPr>
        <w:t>Celem jest sprawdzenie, czy dochodzi do nieprawidłowości podczas oferowania produktów czy usług.</w:t>
      </w:r>
    </w:p>
    <w:p w14:paraId="7BB90771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Tylko za zgodą Sądu Ochrony Konkurencji i Konsumentów.</w:t>
      </w:r>
    </w:p>
    <w:p w14:paraId="045F7BAE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Całe wydarzenie może być nagrywane zarówno w zakresie dźwięku, jak i obrazu.</w:t>
      </w:r>
    </w:p>
    <w:p w14:paraId="5E187EFA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Urząd nie stosuje prowokacji. </w:t>
      </w:r>
    </w:p>
    <w:p w14:paraId="6CCC2292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Tajemniczy klient dokonuje próby zakupu, nie dochodzi do zawarcia umowy: zadaje pytania, sprawdzając, jak przebiega proces sprzedaży, jakie informacje są przekazywane.</w:t>
      </w:r>
    </w:p>
    <w:p w14:paraId="6E572E80" w14:textId="77777777" w:rsidR="00572A9E" w:rsidRDefault="00802C4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cs="Tahoma"/>
          <w:sz w:val="22"/>
          <w:highlight w:val="white"/>
        </w:rPr>
      </w:pPr>
      <w:r>
        <w:rPr>
          <w:rFonts w:cs="Tahoma"/>
          <w:sz w:val="22"/>
          <w:lang w:eastAsia="pl-PL"/>
        </w:rPr>
        <w:t xml:space="preserve">Na koniec pracownik UOKiK pokazuje legitymację służbową </w:t>
      </w:r>
      <w:r>
        <w:rPr>
          <w:rFonts w:cs="Tahoma"/>
          <w:sz w:val="22"/>
          <w:shd w:val="clear" w:color="auto" w:fill="FFFFFF"/>
        </w:rPr>
        <w:t>oraz doręcza upoważnienie do przeprowadzenia kontroli i zgodę sądu.</w:t>
      </w:r>
    </w:p>
    <w:p w14:paraId="219FE142" w14:textId="77777777" w:rsidR="00572A9E" w:rsidRDefault="00572A9E">
      <w:pPr>
        <w:pStyle w:val="Akapitzlist"/>
        <w:spacing w:after="120" w:line="276" w:lineRule="auto"/>
        <w:ind w:left="0"/>
        <w:jc w:val="both"/>
        <w:rPr>
          <w:rStyle w:val="Pogrubienie"/>
          <w:rFonts w:cs="Tahoma"/>
          <w:color w:val="000000"/>
        </w:rPr>
      </w:pPr>
    </w:p>
    <w:p w14:paraId="0D916517" w14:textId="77777777" w:rsidR="00572A9E" w:rsidRDefault="00802C44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 dla konsumentów:</w:t>
      </w:r>
      <w:r>
        <w:rPr>
          <w:szCs w:val="18"/>
        </w:rPr>
        <w:t xml:space="preserve"> </w:t>
      </w:r>
    </w:p>
    <w:p w14:paraId="1DDFDB1B" w14:textId="77777777" w:rsidR="00572A9E" w:rsidRPr="00CF0CCF" w:rsidRDefault="00802C44">
      <w:pPr>
        <w:pStyle w:val="TEKSTKOMUNIKATU"/>
        <w:jc w:val="left"/>
        <w:rPr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9">
        <w:r>
          <w:rPr>
            <w:rStyle w:val="czeinternetow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  <w:lang w:val="pl-PL"/>
        </w:rPr>
        <w:br/>
      </w:r>
      <w:hyperlink r:id="rId10">
        <w:r>
          <w:rPr>
            <w:rStyle w:val="czeinternetow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2FE553AE" w14:textId="77777777" w:rsidR="00572A9E" w:rsidRDefault="00572A9E"/>
    <w:sectPr w:rsidR="00572A9E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2654" w14:textId="77777777" w:rsidR="00614B7D" w:rsidRDefault="00614B7D">
      <w:r>
        <w:separator/>
      </w:r>
    </w:p>
  </w:endnote>
  <w:endnote w:type="continuationSeparator" w:id="0">
    <w:p w14:paraId="149BD042" w14:textId="77777777" w:rsidR="00614B7D" w:rsidRDefault="0061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FE9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6C22C384" wp14:editId="0CB38BF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6.15pt" to="277.45pt,-6.15pt" ID="Łącznik prosty 9" stroked="t" style="position:absolute;mso-position-horizontal:left;mso-position-horizontal-relative:margin" wp14:anchorId="63F9E8FD">
              <v:stroke color="#595959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5F0DB462" wp14:editId="2BCE0724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59C5A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t" style="position:absolute;margin-left:292.15pt;margin-top:-6.95pt;width:104.2pt;height:42.75pt;mso-position-horizontal-relative:margin" wp14:anchorId="21BD190E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beforeAutospacing="1" w:after="0"/>
                      <w:ind w:right="-113" w:hanging="0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  <w:br/>
                      <w:t>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19F4CD5E" wp14:editId="5F77481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ED67F96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EFFF" w14:textId="77777777" w:rsidR="00614B7D" w:rsidRDefault="00614B7D">
      <w:r>
        <w:separator/>
      </w:r>
    </w:p>
  </w:footnote>
  <w:footnote w:type="continuationSeparator" w:id="0">
    <w:p w14:paraId="2AFFE0D4" w14:textId="77777777" w:rsidR="00614B7D" w:rsidRDefault="0061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F234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55D32057" wp14:editId="1F8C804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A7DF2" w14:textId="77777777" w:rsidR="00572A9E" w:rsidRDefault="00572A9E">
    <w:pPr>
      <w:pStyle w:val="Nagwek"/>
      <w:tabs>
        <w:tab w:val="clear" w:pos="9072"/>
      </w:tabs>
    </w:pPr>
  </w:p>
  <w:p w14:paraId="6B9E8A92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52580D"/>
    <w:rsid w:val="00551F0E"/>
    <w:rsid w:val="00572A9E"/>
    <w:rsid w:val="00614B7D"/>
    <w:rsid w:val="007158F3"/>
    <w:rsid w:val="00800CD4"/>
    <w:rsid w:val="00802C44"/>
    <w:rsid w:val="008E15B6"/>
    <w:rsid w:val="00A1240B"/>
    <w:rsid w:val="00B25E56"/>
    <w:rsid w:val="00BB72F1"/>
    <w:rsid w:val="00C3470D"/>
    <w:rsid w:val="00CF0CCF"/>
    <w:rsid w:val="00D602A5"/>
    <w:rsid w:val="00E11F1F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08"/>
  <w15:docId w15:val="{ECF3EDA9-8DE3-4CC8-A693-BC6C48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nhideWhenUsed/>
    <w:rsid w:val="0052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m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67DA-68EC-4135-A5F4-F13C487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Agnieszka Majchrzak</cp:lastModifiedBy>
  <cp:revision>7</cp:revision>
  <cp:lastPrinted>2019-04-12T10:21:00Z</cp:lastPrinted>
  <dcterms:created xsi:type="dcterms:W3CDTF">2019-04-15T08:53:00Z</dcterms:created>
  <dcterms:modified xsi:type="dcterms:W3CDTF">2019-04-15T12:34:00Z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