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0849" w14:textId="0814B966" w:rsidR="00C51CD3" w:rsidRPr="0024118E" w:rsidRDefault="003D2105" w:rsidP="00C51CD3">
      <w:pPr>
        <w:spacing w:line="36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GetBack</w:t>
      </w:r>
      <w:proofErr w:type="spellEnd"/>
      <w:r>
        <w:rPr>
          <w:sz w:val="32"/>
          <w:szCs w:val="32"/>
        </w:rPr>
        <w:t xml:space="preserve"> – wyjaśnienia do kontroli NIK</w:t>
      </w:r>
    </w:p>
    <w:p w14:paraId="3122C4F1" w14:textId="77777777" w:rsidR="00C51CD3" w:rsidRDefault="00C51CD3" w:rsidP="00C51CD3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Wszczęcie postępowań wobec banków, domów maklerskich i spółki </w:t>
      </w:r>
      <w:proofErr w:type="spellStart"/>
      <w:r>
        <w:rPr>
          <w:b/>
          <w:sz w:val="22"/>
        </w:rPr>
        <w:t>GetBack</w:t>
      </w:r>
      <w:proofErr w:type="spellEnd"/>
      <w:r>
        <w:rPr>
          <w:b/>
          <w:sz w:val="22"/>
        </w:rPr>
        <w:t xml:space="preserve"> oraz decyzje wobec Idea Banku i Polskiego Domu Maklerskiego – to podsumowanie działań UOKiK w sprawie obligacji korporacyjnych </w:t>
      </w:r>
      <w:proofErr w:type="spellStart"/>
      <w:r>
        <w:rPr>
          <w:b/>
          <w:sz w:val="22"/>
        </w:rPr>
        <w:t>GetBack</w:t>
      </w:r>
      <w:proofErr w:type="spellEnd"/>
      <w:r>
        <w:rPr>
          <w:b/>
          <w:sz w:val="22"/>
        </w:rPr>
        <w:t xml:space="preserve">. </w:t>
      </w:r>
    </w:p>
    <w:p w14:paraId="1DEA2506" w14:textId="77777777" w:rsidR="00C51CD3" w:rsidRDefault="00C51CD3" w:rsidP="00C51CD3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Urząd podjął działania już w kwietniu 2018 r., a pierwsze skargi zaczęły napływać w maju 2018 r. </w:t>
      </w:r>
    </w:p>
    <w:p w14:paraId="3A9B17FE" w14:textId="77777777" w:rsidR="00C51CD3" w:rsidRPr="00C72030" w:rsidRDefault="00C51CD3" w:rsidP="00C51CD3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NIK zakończył kontrolę m.in. w Urzędzie Ochrony Konkurencji i Konsumentów. </w:t>
      </w:r>
    </w:p>
    <w:p w14:paraId="6AF449AE" w14:textId="77777777" w:rsidR="00C51CD3" w:rsidRDefault="00C51CD3" w:rsidP="00C51CD3">
      <w:pPr>
        <w:spacing w:after="240" w:line="360" w:lineRule="auto"/>
        <w:jc w:val="both"/>
        <w:rPr>
          <w:sz w:val="22"/>
        </w:rPr>
      </w:pPr>
      <w:r w:rsidRPr="00731C5C">
        <w:rPr>
          <w:b/>
          <w:sz w:val="22"/>
        </w:rPr>
        <w:t xml:space="preserve">[Warszawa, </w:t>
      </w:r>
      <w:r>
        <w:rPr>
          <w:b/>
          <w:sz w:val="22"/>
        </w:rPr>
        <w:t>21 stycznia</w:t>
      </w:r>
      <w:r w:rsidRPr="00731C5C">
        <w:rPr>
          <w:b/>
          <w:sz w:val="22"/>
        </w:rPr>
        <w:t xml:space="preserve"> 202</w:t>
      </w:r>
      <w:r>
        <w:rPr>
          <w:b/>
          <w:sz w:val="22"/>
        </w:rPr>
        <w:t>0</w:t>
      </w:r>
      <w:r w:rsidRPr="00731C5C">
        <w:rPr>
          <w:b/>
          <w:sz w:val="22"/>
        </w:rPr>
        <w:t xml:space="preserve"> r.]</w:t>
      </w:r>
      <w:r w:rsidRPr="00731C5C">
        <w:rPr>
          <w:sz w:val="22"/>
        </w:rPr>
        <w:t xml:space="preserve"> </w:t>
      </w:r>
      <w:r>
        <w:rPr>
          <w:sz w:val="22"/>
        </w:rPr>
        <w:t xml:space="preserve">Najwyższa Izba Kontroli zakończyła analizę działań Urzędu Ochrony Konkurencji i Konsumentów dotyczących oferowania i sprzedaży obligacji korporacyjnych </w:t>
      </w:r>
      <w:proofErr w:type="spellStart"/>
      <w:r>
        <w:rPr>
          <w:sz w:val="22"/>
        </w:rPr>
        <w:t>GetBack</w:t>
      </w:r>
      <w:proofErr w:type="spellEnd"/>
      <w:r>
        <w:rPr>
          <w:sz w:val="22"/>
        </w:rPr>
        <w:t>. Kontrola dotyczyła kilku instytucji, m.in. Komisji Nadzoru Finansowego czy Rzecznika Finansowego.</w:t>
      </w:r>
    </w:p>
    <w:p w14:paraId="38BB9352" w14:textId="1988D863" w:rsidR="00C51CD3" w:rsidRPr="00BE7A67" w:rsidRDefault="00C51CD3" w:rsidP="00C51CD3">
      <w:pPr>
        <w:spacing w:after="240" w:line="360" w:lineRule="auto"/>
        <w:jc w:val="both"/>
        <w:rPr>
          <w:i/>
          <w:sz w:val="22"/>
        </w:rPr>
      </w:pPr>
      <w:r>
        <w:rPr>
          <w:sz w:val="22"/>
        </w:rPr>
        <w:t>– C</w:t>
      </w:r>
      <w:r>
        <w:rPr>
          <w:i/>
          <w:sz w:val="22"/>
        </w:rPr>
        <w:t xml:space="preserve">hciałbym podkreślić, że NIK uznał działania prezesa UOKiK związane z tzw. „aferą </w:t>
      </w:r>
      <w:proofErr w:type="spellStart"/>
      <w:r>
        <w:rPr>
          <w:i/>
          <w:sz w:val="22"/>
        </w:rPr>
        <w:t>GetBack</w:t>
      </w:r>
      <w:proofErr w:type="spellEnd"/>
      <w:r>
        <w:rPr>
          <w:i/>
          <w:sz w:val="22"/>
        </w:rPr>
        <w:t>” za zasadne, jak również pozytywnie ocenił działania i współpracę z organizacjami poszkodowanych obligatariuszy. N</w:t>
      </w:r>
      <w:r w:rsidRPr="00872CB6">
        <w:rPr>
          <w:i/>
          <w:sz w:val="22"/>
        </w:rPr>
        <w:t xml:space="preserve">ie zgadzamy się </w:t>
      </w:r>
      <w:r>
        <w:rPr>
          <w:i/>
          <w:sz w:val="22"/>
        </w:rPr>
        <w:t xml:space="preserve">jednak </w:t>
      </w:r>
      <w:r w:rsidRPr="00872CB6">
        <w:rPr>
          <w:i/>
          <w:sz w:val="22"/>
        </w:rPr>
        <w:t>z zarzutami NIK</w:t>
      </w:r>
      <w:r>
        <w:rPr>
          <w:i/>
          <w:sz w:val="22"/>
        </w:rPr>
        <w:t xml:space="preserve">, które zostały nam przedstawione po kontroli </w:t>
      </w:r>
      <w:r w:rsidRPr="00BE7A67">
        <w:rPr>
          <w:i/>
          <w:sz w:val="22"/>
        </w:rPr>
        <w:t xml:space="preserve">– np. niewydania decyzji tymczasowej w postępowaniu dotyczącym windykacji, co nie znajduje oparcia w obowiązującym stanie prawnym, jak i ustalonym stanie faktycznym. </w:t>
      </w:r>
      <w:r w:rsidRPr="00BE7A67">
        <w:rPr>
          <w:rFonts w:eastAsiaTheme="minorHAnsi" w:cs="TrebuchetMS"/>
          <w:i/>
          <w:sz w:val="22"/>
        </w:rPr>
        <w:t>Przedsiębiorca w toku postępowania dobrowolnie zmienił procedury dochodzenia należności</w:t>
      </w:r>
      <w:r w:rsidRPr="00BE7A67">
        <w:rPr>
          <w:rFonts w:eastAsiaTheme="minorHAnsi" w:cs="TrebuchetMS-Bold"/>
          <w:b/>
          <w:bCs/>
          <w:i/>
          <w:sz w:val="22"/>
        </w:rPr>
        <w:t xml:space="preserve">. </w:t>
      </w:r>
      <w:r w:rsidRPr="00BE7A67">
        <w:rPr>
          <w:i/>
          <w:sz w:val="22"/>
        </w:rPr>
        <w:t xml:space="preserve">Spółka zaniechała stosowania tych praktyk w związku z tym nie było </w:t>
      </w:r>
      <w:r>
        <w:rPr>
          <w:i/>
          <w:sz w:val="22"/>
        </w:rPr>
        <w:t xml:space="preserve">prawnej możliwości </w:t>
      </w:r>
      <w:r w:rsidR="00266430">
        <w:rPr>
          <w:i/>
          <w:sz w:val="22"/>
        </w:rPr>
        <w:t xml:space="preserve">do wydania decyzji tymczasowej </w:t>
      </w:r>
      <w:r w:rsidR="00266430" w:rsidRPr="000C2EEE">
        <w:rPr>
          <w:sz w:val="22"/>
        </w:rPr>
        <w:t>– mówi Marek Niechciał, prezes UOKiK.</w:t>
      </w:r>
      <w:bookmarkStart w:id="0" w:name="_GoBack"/>
      <w:bookmarkEnd w:id="0"/>
      <w:r w:rsidRPr="00BE7A67">
        <w:rPr>
          <w:i/>
          <w:sz w:val="22"/>
        </w:rPr>
        <w:t xml:space="preserve"> </w:t>
      </w:r>
    </w:p>
    <w:p w14:paraId="0F0F750D" w14:textId="77777777" w:rsidR="00C51CD3" w:rsidRPr="009C0561" w:rsidRDefault="00C51CD3" w:rsidP="00C51CD3">
      <w:pPr>
        <w:autoSpaceDE w:val="0"/>
        <w:autoSpaceDN w:val="0"/>
        <w:adjustRightInd w:val="0"/>
        <w:spacing w:line="360" w:lineRule="auto"/>
        <w:jc w:val="both"/>
        <w:rPr>
          <w:rFonts w:ascii="TrebuchetMS" w:eastAsiaTheme="minorHAnsi" w:hAnsi="TrebuchetMS" w:cs="TrebuchetMS"/>
          <w:sz w:val="22"/>
        </w:rPr>
      </w:pPr>
      <w:r>
        <w:rPr>
          <w:i/>
          <w:sz w:val="22"/>
        </w:rPr>
        <w:t xml:space="preserve">- </w:t>
      </w:r>
      <w:r w:rsidRPr="00BE7A67">
        <w:rPr>
          <w:i/>
          <w:sz w:val="22"/>
        </w:rPr>
        <w:t>Nie zgadzamy się również z zarzutem dotyczącym czasu reakcji.</w:t>
      </w:r>
      <w:r w:rsidRPr="00350C63">
        <w:rPr>
          <w:i/>
          <w:sz w:val="22"/>
        </w:rPr>
        <w:t xml:space="preserve"> Urząd zareagował </w:t>
      </w:r>
      <w:r>
        <w:rPr>
          <w:i/>
          <w:sz w:val="22"/>
        </w:rPr>
        <w:t xml:space="preserve">bardzo </w:t>
      </w:r>
      <w:r w:rsidRPr="00350C63">
        <w:rPr>
          <w:i/>
          <w:sz w:val="22"/>
        </w:rPr>
        <w:t xml:space="preserve">szybko – już kilka dni od pierwszych doniesień prasowych o problemach z tymi obligacjami rozpoczęliśmy kontrole w biurach </w:t>
      </w:r>
      <w:proofErr w:type="spellStart"/>
      <w:r w:rsidRPr="00350C63">
        <w:rPr>
          <w:i/>
          <w:sz w:val="22"/>
        </w:rPr>
        <w:t>GetBack</w:t>
      </w:r>
      <w:proofErr w:type="spellEnd"/>
      <w:r w:rsidRPr="00350C63">
        <w:rPr>
          <w:i/>
          <w:sz w:val="22"/>
        </w:rPr>
        <w:t xml:space="preserve"> w Warszawie i we Wrocławiu. Zadziałaliśmy zanim trafiły do </w:t>
      </w:r>
      <w:r w:rsidRPr="000C2EEE">
        <w:rPr>
          <w:i/>
          <w:sz w:val="22"/>
        </w:rPr>
        <w:t>nas jakiekolwiek skargi</w:t>
      </w:r>
      <w:r>
        <w:rPr>
          <w:sz w:val="22"/>
        </w:rPr>
        <w:t xml:space="preserve"> </w:t>
      </w:r>
      <w:r w:rsidRPr="00E650F7">
        <w:rPr>
          <w:i/>
          <w:sz w:val="22"/>
        </w:rPr>
        <w:t xml:space="preserve">oraz przed komunikatem KNF w tej sprawie </w:t>
      </w:r>
      <w:r w:rsidRPr="000C2EEE">
        <w:rPr>
          <w:sz w:val="22"/>
        </w:rPr>
        <w:t xml:space="preserve">– mówi Marek Niechciał, prezes UOKiK. – </w:t>
      </w:r>
      <w:r w:rsidRPr="00BE7A67">
        <w:rPr>
          <w:i/>
          <w:sz w:val="22"/>
        </w:rPr>
        <w:t xml:space="preserve">Nie zignorowaliśmy anonimowego zawiadomienia, na które powołuje się NIK. Dotyczyło ono </w:t>
      </w:r>
      <w:r w:rsidRPr="00BE7A67">
        <w:rPr>
          <w:rFonts w:eastAsiaTheme="minorHAnsi" w:cs="TrebuchetMS"/>
          <w:i/>
          <w:sz w:val="22"/>
        </w:rPr>
        <w:t xml:space="preserve">mechanizmów finansowych działania </w:t>
      </w:r>
      <w:proofErr w:type="spellStart"/>
      <w:r w:rsidRPr="00BE7A67">
        <w:rPr>
          <w:rFonts w:eastAsiaTheme="minorHAnsi" w:cs="TrebuchetMS"/>
          <w:i/>
          <w:sz w:val="22"/>
        </w:rPr>
        <w:t>GetBack</w:t>
      </w:r>
      <w:proofErr w:type="spellEnd"/>
      <w:r w:rsidRPr="00BE7A67">
        <w:rPr>
          <w:i/>
          <w:sz w:val="22"/>
        </w:rPr>
        <w:t xml:space="preserve">, jednak ich wyjaśnienie wykraczało poza nasze kompetencje - ich ocena </w:t>
      </w:r>
      <w:r w:rsidRPr="00BE7A67">
        <w:rPr>
          <w:rFonts w:eastAsiaTheme="minorHAnsi" w:cs="TrebuchetMS-Bold"/>
          <w:bCs/>
          <w:i/>
          <w:sz w:val="22"/>
        </w:rPr>
        <w:t xml:space="preserve">leżała w gestii innych organów i instytucji, do których to pismo zostało również skierowane. Tylko jedna opisywana przez sygnalistę kwestia mieściła się w naszych kompetencjach – chodziło o działania windykacyjne </w:t>
      </w:r>
      <w:proofErr w:type="spellStart"/>
      <w:r w:rsidRPr="00BE7A67">
        <w:rPr>
          <w:rFonts w:eastAsiaTheme="minorHAnsi" w:cs="TrebuchetMS-Bold"/>
          <w:bCs/>
          <w:i/>
          <w:sz w:val="22"/>
        </w:rPr>
        <w:lastRenderedPageBreak/>
        <w:t>GetBack</w:t>
      </w:r>
      <w:proofErr w:type="spellEnd"/>
      <w:r w:rsidRPr="00BE7A67">
        <w:rPr>
          <w:rFonts w:eastAsiaTheme="minorHAnsi" w:cs="TrebuchetMS-Bold"/>
          <w:bCs/>
          <w:i/>
          <w:sz w:val="22"/>
        </w:rPr>
        <w:t>. Sygnał w związku z tym został włączony do akt toczącego się już postępowania dotyczącego windykacji, które już urząd prowadził – dodaje Niechciał.</w:t>
      </w:r>
    </w:p>
    <w:p w14:paraId="5F0A3968" w14:textId="77777777" w:rsidR="00C51CD3" w:rsidRDefault="00C51CD3" w:rsidP="00C51CD3">
      <w:pPr>
        <w:spacing w:after="240" w:line="360" w:lineRule="auto"/>
        <w:jc w:val="both"/>
        <w:rPr>
          <w:sz w:val="22"/>
        </w:rPr>
      </w:pPr>
      <w:r>
        <w:rPr>
          <w:sz w:val="22"/>
        </w:rPr>
        <w:t>Pierwsze sygnały zaczęły napływać do urzędu w maju 2018 r., a postępowanie wyjaśniające zostało wszczęte miesiąc wcześniej. – </w:t>
      </w:r>
      <w:r w:rsidRPr="0039511B">
        <w:rPr>
          <w:i/>
          <w:sz w:val="22"/>
        </w:rPr>
        <w:t>Wiem, że wiele osób liczy na rychłe zakończenie</w:t>
      </w:r>
      <w:r>
        <w:rPr>
          <w:i/>
          <w:sz w:val="22"/>
        </w:rPr>
        <w:t xml:space="preserve"> postępowania przeciwko </w:t>
      </w:r>
      <w:proofErr w:type="spellStart"/>
      <w:r>
        <w:rPr>
          <w:i/>
          <w:sz w:val="22"/>
        </w:rPr>
        <w:t>GetBack</w:t>
      </w:r>
      <w:proofErr w:type="spellEnd"/>
      <w:r w:rsidRPr="0039511B">
        <w:rPr>
          <w:i/>
          <w:sz w:val="22"/>
        </w:rPr>
        <w:t xml:space="preserve">. Prowadziliśmy na ten temat rozmowy z nadzorcą sądowym i </w:t>
      </w:r>
      <w:r>
        <w:rPr>
          <w:i/>
          <w:sz w:val="22"/>
        </w:rPr>
        <w:t xml:space="preserve">zgodnie z obowiązującymi przepisami </w:t>
      </w:r>
      <w:r w:rsidRPr="0039511B">
        <w:rPr>
          <w:i/>
          <w:sz w:val="22"/>
        </w:rPr>
        <w:t xml:space="preserve">z ostatecznym rozstrzygnięciem </w:t>
      </w:r>
      <w:r>
        <w:rPr>
          <w:i/>
          <w:sz w:val="22"/>
        </w:rPr>
        <w:t xml:space="preserve">jesteśmy zmuszeni zaczekać </w:t>
      </w:r>
      <w:r w:rsidRPr="0039511B">
        <w:rPr>
          <w:i/>
          <w:sz w:val="22"/>
        </w:rPr>
        <w:t>na to</w:t>
      </w:r>
      <w:r>
        <w:rPr>
          <w:i/>
          <w:sz w:val="22"/>
        </w:rPr>
        <w:t xml:space="preserve"> aż</w:t>
      </w:r>
      <w:r w:rsidRPr="0039511B">
        <w:rPr>
          <w:i/>
          <w:sz w:val="22"/>
        </w:rPr>
        <w:t xml:space="preserve"> postanowienie </w:t>
      </w:r>
      <w:r>
        <w:rPr>
          <w:i/>
          <w:sz w:val="22"/>
        </w:rPr>
        <w:t>Sądu Rejonowego we Wrocławiu</w:t>
      </w:r>
      <w:r w:rsidRPr="0039511B">
        <w:rPr>
          <w:i/>
          <w:sz w:val="22"/>
        </w:rPr>
        <w:t xml:space="preserve"> o zatwierdzeniu układu w</w:t>
      </w:r>
      <w:r>
        <w:rPr>
          <w:i/>
          <w:sz w:val="22"/>
        </w:rPr>
        <w:t xml:space="preserve"> sprawie</w:t>
      </w:r>
      <w:r w:rsidRPr="0039511B">
        <w:rPr>
          <w:i/>
          <w:sz w:val="22"/>
        </w:rPr>
        <w:t xml:space="preserve"> </w:t>
      </w:r>
      <w:proofErr w:type="spellStart"/>
      <w:r w:rsidRPr="0039511B">
        <w:rPr>
          <w:i/>
          <w:sz w:val="22"/>
        </w:rPr>
        <w:t>GetBack</w:t>
      </w:r>
      <w:proofErr w:type="spellEnd"/>
      <w:r w:rsidRPr="0039511B">
        <w:rPr>
          <w:i/>
          <w:sz w:val="22"/>
        </w:rPr>
        <w:t xml:space="preserve"> stanie się prawomocne</w:t>
      </w:r>
      <w:r w:rsidRPr="00D20A38">
        <w:rPr>
          <w:b/>
          <w:i/>
          <w:sz w:val="22"/>
        </w:rPr>
        <w:t>. Roz</w:t>
      </w:r>
      <w:r>
        <w:rPr>
          <w:b/>
          <w:i/>
          <w:sz w:val="22"/>
        </w:rPr>
        <w:t>strzygnięcia</w:t>
      </w:r>
      <w:r w:rsidRPr="00D20A38">
        <w:rPr>
          <w:b/>
          <w:i/>
          <w:sz w:val="22"/>
        </w:rPr>
        <w:t xml:space="preserve">, jakie możemy orzec w decyzji, zależą od tego, czy układ wejdzie w życie. Zależy nam przede wszystkim na tym, żeby były korzystne dla </w:t>
      </w:r>
      <w:r>
        <w:rPr>
          <w:b/>
          <w:i/>
          <w:sz w:val="22"/>
        </w:rPr>
        <w:t xml:space="preserve">poszkodowanych </w:t>
      </w:r>
      <w:r w:rsidRPr="00D20A38">
        <w:rPr>
          <w:b/>
          <w:i/>
          <w:sz w:val="22"/>
        </w:rPr>
        <w:t>obligatariuszy</w:t>
      </w:r>
      <w:r>
        <w:rPr>
          <w:i/>
          <w:sz w:val="22"/>
        </w:rPr>
        <w:t xml:space="preserve"> </w:t>
      </w:r>
      <w:r w:rsidRPr="0039511B">
        <w:rPr>
          <w:i/>
          <w:sz w:val="22"/>
        </w:rPr>
        <w:t xml:space="preserve"> </w:t>
      </w:r>
      <w:r>
        <w:rPr>
          <w:sz w:val="22"/>
        </w:rPr>
        <w:t xml:space="preserve">– dodaje Niechciał. </w:t>
      </w:r>
    </w:p>
    <w:p w14:paraId="264921C6" w14:textId="77777777" w:rsidR="00C51CD3" w:rsidRDefault="00C51CD3" w:rsidP="00C51CD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wielokrotnie spotykał się też z obligatariuszami, chcąc poznać sytuację poszczególnych poszkodowanych, a także z bankami, domami maklerskimi i przedstawicielami </w:t>
      </w:r>
      <w:proofErr w:type="spellStart"/>
      <w:r>
        <w:rPr>
          <w:sz w:val="22"/>
        </w:rPr>
        <w:t>GetBack</w:t>
      </w:r>
      <w:proofErr w:type="spellEnd"/>
      <w:r>
        <w:rPr>
          <w:sz w:val="22"/>
        </w:rPr>
        <w:t xml:space="preserve">. UOKiK aktywnie pomagał też konsumentom – </w:t>
      </w:r>
      <w:hyperlink r:id="rId8" w:history="1">
        <w:r w:rsidRPr="00460636">
          <w:rPr>
            <w:rStyle w:val="Hipercze"/>
            <w:sz w:val="22"/>
          </w:rPr>
          <w:t>opracowa</w:t>
        </w:r>
        <w:r>
          <w:rPr>
            <w:rStyle w:val="Hipercze"/>
            <w:sz w:val="22"/>
          </w:rPr>
          <w:t xml:space="preserve">liśmy </w:t>
        </w:r>
        <w:r w:rsidRPr="00460636">
          <w:rPr>
            <w:rStyle w:val="Hipercze"/>
            <w:sz w:val="22"/>
          </w:rPr>
          <w:t>wzór reklamacji</w:t>
        </w:r>
      </w:hyperlink>
      <w:r>
        <w:rPr>
          <w:sz w:val="22"/>
        </w:rPr>
        <w:t xml:space="preserve">, pokazując jaką ścieżkę można obrać. Został przygotowany również </w:t>
      </w:r>
      <w:hyperlink r:id="rId9" w:history="1">
        <w:r w:rsidRPr="00D20A38">
          <w:rPr>
            <w:rStyle w:val="Hipercze"/>
            <w:sz w:val="22"/>
          </w:rPr>
          <w:t>formularz</w:t>
        </w:r>
      </w:hyperlink>
      <w:r>
        <w:rPr>
          <w:sz w:val="22"/>
        </w:rPr>
        <w:t xml:space="preserve">, który ułatwił zgłaszanie skarg do urzędu. Informacje przekazane nam w skargach przez konsumentów wykorzystane zostały jako materiał dowodowy. </w:t>
      </w:r>
    </w:p>
    <w:p w14:paraId="5EA17E59" w14:textId="77777777" w:rsidR="00C51CD3" w:rsidRPr="00E0661A" w:rsidRDefault="00C51CD3" w:rsidP="00C51CD3">
      <w:pPr>
        <w:spacing w:after="240" w:line="360" w:lineRule="auto"/>
        <w:jc w:val="both"/>
        <w:rPr>
          <w:b/>
          <w:sz w:val="22"/>
        </w:rPr>
      </w:pPr>
      <w:r w:rsidRPr="00E0661A">
        <w:rPr>
          <w:b/>
          <w:sz w:val="22"/>
        </w:rPr>
        <w:t>Decyzje UOKiK</w:t>
      </w:r>
      <w:r>
        <w:rPr>
          <w:b/>
          <w:sz w:val="22"/>
        </w:rPr>
        <w:t xml:space="preserve"> – PDM, Idea Bank</w:t>
      </w:r>
    </w:p>
    <w:p w14:paraId="7478F8DE" w14:textId="77777777" w:rsidR="00C51CD3" w:rsidRDefault="002B6AB4" w:rsidP="00C51CD3">
      <w:pPr>
        <w:spacing w:after="240" w:line="360" w:lineRule="auto"/>
        <w:jc w:val="both"/>
        <w:rPr>
          <w:sz w:val="22"/>
        </w:rPr>
      </w:pPr>
      <w:hyperlink r:id="rId10" w:history="1">
        <w:r w:rsidR="00C51CD3" w:rsidRPr="007769D7">
          <w:rPr>
            <w:rStyle w:val="Hipercze"/>
            <w:sz w:val="22"/>
          </w:rPr>
          <w:t>Pierwsza decyzja</w:t>
        </w:r>
      </w:hyperlink>
      <w:r w:rsidR="00C51CD3">
        <w:rPr>
          <w:sz w:val="22"/>
        </w:rPr>
        <w:t xml:space="preserve"> dotycząca oferowania i sprzedaży obligacji korporacyjnych </w:t>
      </w:r>
      <w:proofErr w:type="spellStart"/>
      <w:r w:rsidR="00C51CD3">
        <w:rPr>
          <w:sz w:val="22"/>
        </w:rPr>
        <w:t>GetBack</w:t>
      </w:r>
      <w:proofErr w:type="spellEnd"/>
      <w:r w:rsidR="00C51CD3">
        <w:rPr>
          <w:sz w:val="22"/>
        </w:rPr>
        <w:t xml:space="preserve"> została wydana w lutym 2019 r. Rozstrzygnięcie to dotyczy klauzuli niedozwolonej stosowanej przez Polski Dom Maklerski, który </w:t>
      </w:r>
      <w:r w:rsidR="00C51CD3" w:rsidRPr="007769D7">
        <w:rPr>
          <w:rFonts w:cs="Tahoma"/>
          <w:sz w:val="22"/>
          <w:shd w:val="clear" w:color="auto" w:fill="FFFFFF"/>
        </w:rPr>
        <w:t xml:space="preserve">świadczył dla spółki </w:t>
      </w:r>
      <w:proofErr w:type="spellStart"/>
      <w:r w:rsidR="00C51CD3" w:rsidRPr="007769D7">
        <w:rPr>
          <w:rFonts w:cs="Tahoma"/>
          <w:sz w:val="22"/>
          <w:shd w:val="clear" w:color="auto" w:fill="FFFFFF"/>
        </w:rPr>
        <w:t>GetBack</w:t>
      </w:r>
      <w:proofErr w:type="spellEnd"/>
      <w:r w:rsidR="00C51CD3" w:rsidRPr="007769D7">
        <w:rPr>
          <w:rFonts w:cs="Tahoma"/>
          <w:sz w:val="22"/>
          <w:shd w:val="clear" w:color="auto" w:fill="FFFFFF"/>
        </w:rPr>
        <w:t xml:space="preserve"> usługi maklerskie</w:t>
      </w:r>
      <w:r w:rsidR="00C51CD3">
        <w:rPr>
          <w:rFonts w:cs="Tahoma"/>
          <w:sz w:val="22"/>
          <w:shd w:val="clear" w:color="auto" w:fill="FFFFFF"/>
        </w:rPr>
        <w:t xml:space="preserve"> związane z oferowaniem tych obligacji</w:t>
      </w:r>
      <w:r w:rsidR="00C51CD3" w:rsidRPr="007769D7">
        <w:rPr>
          <w:rFonts w:cs="Tahoma"/>
          <w:sz w:val="22"/>
          <w:shd w:val="clear" w:color="auto" w:fill="FFFFFF"/>
        </w:rPr>
        <w:t xml:space="preserve">. Urząd uznał za niedozwolone postanowienie, zgodnie z którym nabywcy obligacji </w:t>
      </w:r>
      <w:r w:rsidR="00C51CD3">
        <w:rPr>
          <w:rFonts w:cs="Tahoma"/>
          <w:sz w:val="22"/>
          <w:shd w:val="clear" w:color="auto" w:fill="FFFFFF"/>
        </w:rPr>
        <w:t xml:space="preserve">musieli podpisać się pod tym, że </w:t>
      </w:r>
      <w:r w:rsidR="00C51CD3" w:rsidRPr="007769D7">
        <w:rPr>
          <w:rFonts w:cs="Tahoma"/>
          <w:sz w:val="22"/>
          <w:shd w:val="clear" w:color="auto" w:fill="FFFFFF"/>
        </w:rPr>
        <w:t>nie usłyszeli ani nie dostali żadnych informacji, które byłyby sprzeczne z tym, co jest napisane w Propozycji Nabycia Obligacji lub Warunkach Emisji Obligacji.</w:t>
      </w:r>
    </w:p>
    <w:p w14:paraId="5FF04300" w14:textId="44FD0414" w:rsidR="00C51CD3" w:rsidRDefault="00C51CD3" w:rsidP="00C51CD3">
      <w:pPr>
        <w:spacing w:after="240" w:line="360" w:lineRule="auto"/>
        <w:jc w:val="both"/>
        <w:rPr>
          <w:rFonts w:cs="Tahoma"/>
          <w:sz w:val="22"/>
          <w:shd w:val="clear" w:color="auto" w:fill="FFFFFF"/>
        </w:rPr>
      </w:pPr>
      <w:r>
        <w:rPr>
          <w:sz w:val="22"/>
        </w:rPr>
        <w:t>Kolejna decyzja p</w:t>
      </w:r>
      <w:r w:rsidRPr="00827E08">
        <w:rPr>
          <w:sz w:val="22"/>
        </w:rPr>
        <w:t>rezes</w:t>
      </w:r>
      <w:r>
        <w:rPr>
          <w:sz w:val="22"/>
        </w:rPr>
        <w:t>a</w:t>
      </w:r>
      <w:r w:rsidRPr="00827E08">
        <w:rPr>
          <w:sz w:val="22"/>
        </w:rPr>
        <w:t xml:space="preserve"> urzędu</w:t>
      </w:r>
      <w:r>
        <w:rPr>
          <w:sz w:val="22"/>
        </w:rPr>
        <w:t xml:space="preserve"> została</w:t>
      </w:r>
      <w:r w:rsidRPr="00827E08">
        <w:rPr>
          <w:sz w:val="22"/>
        </w:rPr>
        <w:t xml:space="preserve"> </w:t>
      </w:r>
      <w:hyperlink r:id="rId11" w:history="1">
        <w:r w:rsidRPr="00827E08">
          <w:rPr>
            <w:rStyle w:val="Hipercze"/>
            <w:sz w:val="22"/>
          </w:rPr>
          <w:t>wyda</w:t>
        </w:r>
        <w:r>
          <w:rPr>
            <w:rStyle w:val="Hipercze"/>
            <w:sz w:val="22"/>
          </w:rPr>
          <w:t>na w</w:t>
        </w:r>
        <w:r w:rsidRPr="00827E08">
          <w:rPr>
            <w:rStyle w:val="Hipercze"/>
            <w:sz w:val="22"/>
          </w:rPr>
          <w:t xml:space="preserve"> sierpniu 2019 r. </w:t>
        </w:r>
        <w:r>
          <w:rPr>
            <w:rStyle w:val="Hipercze"/>
            <w:sz w:val="22"/>
          </w:rPr>
          <w:t xml:space="preserve">– jest to </w:t>
        </w:r>
        <w:r w:rsidRPr="00827E08">
          <w:rPr>
            <w:rStyle w:val="Hipercze"/>
            <w:sz w:val="22"/>
          </w:rPr>
          <w:t>częściow</w:t>
        </w:r>
        <w:r>
          <w:rPr>
            <w:rStyle w:val="Hipercze"/>
            <w:sz w:val="22"/>
          </w:rPr>
          <w:t>a</w:t>
        </w:r>
        <w:r w:rsidRPr="00827E08">
          <w:rPr>
            <w:rStyle w:val="Hipercze"/>
            <w:sz w:val="22"/>
          </w:rPr>
          <w:t xml:space="preserve"> decyzj</w:t>
        </w:r>
        <w:r>
          <w:rPr>
            <w:rStyle w:val="Hipercze"/>
            <w:sz w:val="22"/>
          </w:rPr>
          <w:t>a</w:t>
        </w:r>
      </w:hyperlink>
      <w:r w:rsidRPr="00827E08">
        <w:rPr>
          <w:sz w:val="22"/>
        </w:rPr>
        <w:t xml:space="preserve"> </w:t>
      </w:r>
      <w:r>
        <w:rPr>
          <w:sz w:val="22"/>
        </w:rPr>
        <w:t xml:space="preserve">w sprawie </w:t>
      </w:r>
      <w:r w:rsidRPr="00827E08">
        <w:rPr>
          <w:sz w:val="22"/>
        </w:rPr>
        <w:t xml:space="preserve">Idea Banku. </w:t>
      </w:r>
      <w:r>
        <w:rPr>
          <w:sz w:val="22"/>
        </w:rPr>
        <w:t xml:space="preserve">Prezes UOKiK ustalił, że </w:t>
      </w:r>
      <w:r>
        <w:rPr>
          <w:rStyle w:val="Pogrubienie"/>
          <w:rFonts w:cs="Tahoma"/>
          <w:b w:val="0"/>
          <w:sz w:val="22"/>
          <w:shd w:val="clear" w:color="auto" w:fill="FFFFFF"/>
        </w:rPr>
        <w:t>b</w:t>
      </w:r>
      <w:r w:rsidRPr="00827E08">
        <w:rPr>
          <w:rStyle w:val="Pogrubienie"/>
          <w:rFonts w:cs="Tahoma"/>
          <w:b w:val="0"/>
          <w:sz w:val="22"/>
          <w:shd w:val="clear" w:color="auto" w:fill="FFFFFF"/>
        </w:rPr>
        <w:t xml:space="preserve">ank wprowadzał konsumentów w błąd podczas sprzedaży obligacji korporacyjnych </w:t>
      </w:r>
      <w:proofErr w:type="spellStart"/>
      <w:r w:rsidRPr="00827E08">
        <w:rPr>
          <w:rStyle w:val="Pogrubienie"/>
          <w:rFonts w:cs="Tahoma"/>
          <w:b w:val="0"/>
          <w:sz w:val="22"/>
          <w:shd w:val="clear" w:color="auto" w:fill="FFFFFF"/>
        </w:rPr>
        <w:t>GetBack</w:t>
      </w:r>
      <w:proofErr w:type="spellEnd"/>
      <w:r w:rsidRPr="00827E08">
        <w:rPr>
          <w:rStyle w:val="Pogrubienie"/>
          <w:rFonts w:cs="Tahoma"/>
          <w:b w:val="0"/>
          <w:sz w:val="22"/>
          <w:shd w:val="clear" w:color="auto" w:fill="FFFFFF"/>
        </w:rPr>
        <w:t>.</w:t>
      </w:r>
      <w:r w:rsidRPr="00827E08">
        <w:rPr>
          <w:rStyle w:val="Pogrubienie"/>
          <w:rFonts w:cs="Tahoma"/>
          <w:sz w:val="22"/>
          <w:shd w:val="clear" w:color="auto" w:fill="FFFFFF"/>
        </w:rPr>
        <w:t xml:space="preserve"> </w:t>
      </w:r>
      <w:r w:rsidRPr="00827E08">
        <w:rPr>
          <w:rFonts w:cs="Tahoma"/>
          <w:sz w:val="22"/>
          <w:shd w:val="clear" w:color="auto" w:fill="FFFFFF"/>
        </w:rPr>
        <w:t xml:space="preserve">Postępowanie miało priorytetowy charakter. </w:t>
      </w:r>
      <w:r>
        <w:rPr>
          <w:rFonts w:cs="Tahoma"/>
          <w:sz w:val="22"/>
          <w:shd w:val="clear" w:color="auto" w:fill="FFFFFF"/>
        </w:rPr>
        <w:t>D</w:t>
      </w:r>
      <w:r w:rsidRPr="00827E08">
        <w:rPr>
          <w:rFonts w:cs="Tahoma"/>
          <w:sz w:val="22"/>
          <w:shd w:val="clear" w:color="auto" w:fill="FFFFFF"/>
        </w:rPr>
        <w:t>o urzędu wpłynęło</w:t>
      </w:r>
      <w:r>
        <w:rPr>
          <w:rFonts w:cs="Tahoma"/>
          <w:sz w:val="22"/>
          <w:shd w:val="clear" w:color="auto" w:fill="FFFFFF"/>
        </w:rPr>
        <w:t xml:space="preserve"> </w:t>
      </w:r>
      <w:r w:rsidRPr="00827E08">
        <w:rPr>
          <w:rFonts w:cs="Tahoma"/>
          <w:sz w:val="22"/>
          <w:shd w:val="clear" w:color="auto" w:fill="FFFFFF"/>
        </w:rPr>
        <w:t>ponad </w:t>
      </w:r>
      <w:r w:rsidRPr="00827E08">
        <w:rPr>
          <w:rStyle w:val="Pogrubienie"/>
          <w:rFonts w:cs="Tahoma"/>
          <w:b w:val="0"/>
          <w:sz w:val="22"/>
          <w:shd w:val="clear" w:color="auto" w:fill="FFFFFF"/>
        </w:rPr>
        <w:t>520</w:t>
      </w:r>
      <w:r>
        <w:rPr>
          <w:rStyle w:val="Pogrubienie"/>
          <w:rFonts w:cs="Tahoma"/>
          <w:b w:val="0"/>
          <w:sz w:val="22"/>
          <w:shd w:val="clear" w:color="auto" w:fill="FFFFFF"/>
        </w:rPr>
        <w:t xml:space="preserve"> </w:t>
      </w:r>
      <w:r w:rsidRPr="00827E08">
        <w:rPr>
          <w:rStyle w:val="Pogrubienie"/>
          <w:rFonts w:cs="Tahoma"/>
          <w:b w:val="0"/>
          <w:sz w:val="22"/>
          <w:shd w:val="clear" w:color="auto" w:fill="FFFFFF"/>
        </w:rPr>
        <w:t>skarg</w:t>
      </w:r>
      <w:r w:rsidRPr="00827E08">
        <w:rPr>
          <w:rFonts w:cs="Tahoma"/>
          <w:sz w:val="22"/>
          <w:shd w:val="clear" w:color="auto" w:fill="FFFFFF"/>
        </w:rPr>
        <w:t xml:space="preserve">. </w:t>
      </w:r>
      <w:r w:rsidRPr="00D20A38">
        <w:rPr>
          <w:rFonts w:cs="Tahoma"/>
          <w:b/>
          <w:sz w:val="22"/>
          <w:shd w:val="clear" w:color="auto" w:fill="FFFFFF"/>
        </w:rPr>
        <w:t>Decyzja częściowa rozstrzyga sprawę w</w:t>
      </w:r>
      <w:r>
        <w:rPr>
          <w:rFonts w:cs="Tahoma"/>
          <w:b/>
          <w:sz w:val="22"/>
          <w:shd w:val="clear" w:color="auto" w:fill="FFFFFF"/>
        </w:rPr>
        <w:t xml:space="preserve"> zakresie</w:t>
      </w:r>
      <w:r w:rsidRPr="00D20A38">
        <w:rPr>
          <w:rFonts w:cs="Tahoma"/>
          <w:b/>
          <w:sz w:val="22"/>
          <w:shd w:val="clear" w:color="auto" w:fill="FFFFFF"/>
        </w:rPr>
        <w:t xml:space="preserve"> najpoważniejszych zarzutów stawianych Idea Bankowi – czyli wprowadzania</w:t>
      </w:r>
      <w:r>
        <w:rPr>
          <w:rFonts w:cs="Tahoma"/>
          <w:b/>
          <w:sz w:val="22"/>
          <w:shd w:val="clear" w:color="auto" w:fill="FFFFFF"/>
        </w:rPr>
        <w:t xml:space="preserve"> konsumentów</w:t>
      </w:r>
      <w:r w:rsidRPr="00D20A38">
        <w:rPr>
          <w:rFonts w:cs="Tahoma"/>
          <w:b/>
          <w:sz w:val="22"/>
          <w:shd w:val="clear" w:color="auto" w:fill="FFFFFF"/>
        </w:rPr>
        <w:t xml:space="preserve"> w błąd przy oferowaniu obligacji </w:t>
      </w:r>
      <w:proofErr w:type="spellStart"/>
      <w:r w:rsidRPr="00D20A38">
        <w:rPr>
          <w:rFonts w:cs="Tahoma"/>
          <w:b/>
          <w:sz w:val="22"/>
          <w:shd w:val="clear" w:color="auto" w:fill="FFFFFF"/>
        </w:rPr>
        <w:t>Getback</w:t>
      </w:r>
      <w:proofErr w:type="spellEnd"/>
      <w:r w:rsidRPr="00D20A38">
        <w:rPr>
          <w:rFonts w:cs="Tahoma"/>
          <w:b/>
          <w:sz w:val="22"/>
          <w:shd w:val="clear" w:color="auto" w:fill="FFFFFF"/>
        </w:rPr>
        <w:t xml:space="preserve">. To właśnie te kwestie są </w:t>
      </w:r>
      <w:r w:rsidRPr="00D20A38">
        <w:rPr>
          <w:rFonts w:cs="Tahoma"/>
          <w:b/>
          <w:sz w:val="22"/>
          <w:shd w:val="clear" w:color="auto" w:fill="FFFFFF"/>
        </w:rPr>
        <w:lastRenderedPageBreak/>
        <w:t>najistotniejsze z punktu widzenia możliwości dochodzenia roszczeń przez konsumentów przed sądami powszechnymi.</w:t>
      </w:r>
      <w:r>
        <w:rPr>
          <w:rFonts w:cs="Tahoma"/>
          <w:sz w:val="22"/>
          <w:shd w:val="clear" w:color="auto" w:fill="FFFFFF"/>
        </w:rPr>
        <w:t xml:space="preserve"> W</w:t>
      </w:r>
      <w:r w:rsidRPr="00827E08">
        <w:rPr>
          <w:rFonts w:cs="Tahoma"/>
          <w:sz w:val="22"/>
          <w:shd w:val="clear" w:color="auto" w:fill="FFFFFF"/>
        </w:rPr>
        <w:t xml:space="preserve"> końcowej decyzji </w:t>
      </w:r>
      <w:r>
        <w:rPr>
          <w:rFonts w:cs="Tahoma"/>
          <w:sz w:val="22"/>
          <w:shd w:val="clear" w:color="auto" w:fill="FFFFFF"/>
        </w:rPr>
        <w:t xml:space="preserve">zostanie rozstrzygnięta jedynie kwestia związana </w:t>
      </w:r>
      <w:r w:rsidRPr="00827E08">
        <w:rPr>
          <w:rFonts w:cs="Tahoma"/>
          <w:sz w:val="22"/>
          <w:shd w:val="clear" w:color="auto" w:fill="FFFFFF"/>
        </w:rPr>
        <w:t xml:space="preserve">z tzw. </w:t>
      </w:r>
      <w:proofErr w:type="spellStart"/>
      <w:r w:rsidRPr="00FF2BE6">
        <w:rPr>
          <w:rFonts w:cs="Tahoma"/>
          <w:i/>
          <w:sz w:val="22"/>
          <w:shd w:val="clear" w:color="auto" w:fill="FFFFFF"/>
        </w:rPr>
        <w:t>missellingiem</w:t>
      </w:r>
      <w:proofErr w:type="spellEnd"/>
      <w:r w:rsidRPr="00827E08">
        <w:rPr>
          <w:rFonts w:cs="Tahoma"/>
          <w:sz w:val="22"/>
          <w:shd w:val="clear" w:color="auto" w:fill="FFFFFF"/>
        </w:rPr>
        <w:t xml:space="preserve">, czyli oferowaniem obligacji </w:t>
      </w:r>
      <w:proofErr w:type="spellStart"/>
      <w:r w:rsidRPr="00827E08">
        <w:rPr>
          <w:rFonts w:cs="Tahoma"/>
          <w:sz w:val="22"/>
          <w:shd w:val="clear" w:color="auto" w:fill="FFFFFF"/>
        </w:rPr>
        <w:t>GetBack</w:t>
      </w:r>
      <w:proofErr w:type="spellEnd"/>
      <w:r w:rsidRPr="00827E08">
        <w:rPr>
          <w:rFonts w:cs="Tahoma"/>
          <w:sz w:val="22"/>
          <w:shd w:val="clear" w:color="auto" w:fill="FFFFFF"/>
        </w:rPr>
        <w:t xml:space="preserve"> w sposób niedostosowany do ich potrzeb.</w:t>
      </w:r>
      <w:r>
        <w:rPr>
          <w:rFonts w:cs="Tahoma"/>
          <w:sz w:val="22"/>
          <w:shd w:val="clear" w:color="auto" w:fill="FFFFFF"/>
        </w:rPr>
        <w:t xml:space="preserve"> – </w:t>
      </w:r>
      <w:r w:rsidRPr="001F27D8">
        <w:rPr>
          <w:rFonts w:cs="Tahoma"/>
          <w:i/>
          <w:sz w:val="22"/>
          <w:shd w:val="clear" w:color="auto" w:fill="FFFFFF"/>
        </w:rPr>
        <w:t>Decyzja częściowa</w:t>
      </w:r>
      <w:r>
        <w:rPr>
          <w:rFonts w:cs="Tahoma"/>
          <w:i/>
          <w:sz w:val="22"/>
          <w:shd w:val="clear" w:color="auto" w:fill="FFFFFF"/>
        </w:rPr>
        <w:t xml:space="preserve"> w zakresie nieuczciwych praktyk rynkowych </w:t>
      </w:r>
      <w:r w:rsidRPr="001F27D8">
        <w:rPr>
          <w:rFonts w:cs="Tahoma"/>
          <w:i/>
          <w:sz w:val="22"/>
          <w:shd w:val="clear" w:color="auto" w:fill="FFFFFF"/>
        </w:rPr>
        <w:t>ma taką samą moc jak decyzja kończąca postępowanie</w:t>
      </w:r>
      <w:r>
        <w:rPr>
          <w:rFonts w:cs="Tahoma"/>
          <w:i/>
          <w:sz w:val="22"/>
          <w:shd w:val="clear" w:color="auto" w:fill="FFFFFF"/>
        </w:rPr>
        <w:t>. Ona kończy postępowanie administracyjne względem postawionych już zarzutów</w:t>
      </w:r>
      <w:r w:rsidRPr="001F27D8">
        <w:rPr>
          <w:rFonts w:cs="Tahoma"/>
          <w:i/>
          <w:sz w:val="22"/>
          <w:shd w:val="clear" w:color="auto" w:fill="FFFFFF"/>
        </w:rPr>
        <w:t xml:space="preserve">. Każdy konsument może </w:t>
      </w:r>
      <w:r>
        <w:rPr>
          <w:rFonts w:cs="Tahoma"/>
          <w:i/>
          <w:sz w:val="22"/>
          <w:shd w:val="clear" w:color="auto" w:fill="FFFFFF"/>
        </w:rPr>
        <w:t xml:space="preserve">się na nią </w:t>
      </w:r>
      <w:r w:rsidRPr="001F27D8">
        <w:rPr>
          <w:rFonts w:cs="Tahoma"/>
          <w:i/>
          <w:sz w:val="22"/>
          <w:shd w:val="clear" w:color="auto" w:fill="FFFFFF"/>
        </w:rPr>
        <w:t xml:space="preserve">powołać i dochodzić na jej podstawie swoich praw, składając reklamację lub przed sądem. </w:t>
      </w:r>
      <w:r>
        <w:rPr>
          <w:rFonts w:cs="Tahoma"/>
          <w:i/>
          <w:sz w:val="22"/>
          <w:shd w:val="clear" w:color="auto" w:fill="FFFFFF"/>
        </w:rPr>
        <w:t>Do indywidualnego dochodzenia roszczeń nie jest konieczne wydanie przez UOKiK decyzji końcowej w tej sprawie. Idea Bank złożył odwołanie do sądu i aktualnie sprawa oczekuje na rozpatrzenie przed sąd. Prawomocna d</w:t>
      </w:r>
      <w:r w:rsidRPr="001F27D8">
        <w:rPr>
          <w:rFonts w:cs="Tahoma"/>
          <w:i/>
          <w:sz w:val="22"/>
          <w:shd w:val="clear" w:color="auto" w:fill="FFFFFF"/>
        </w:rPr>
        <w:t xml:space="preserve">ecyzja częściowa </w:t>
      </w:r>
      <w:r>
        <w:rPr>
          <w:rFonts w:cs="Tahoma"/>
          <w:i/>
          <w:sz w:val="22"/>
          <w:shd w:val="clear" w:color="auto" w:fill="FFFFFF"/>
        </w:rPr>
        <w:t xml:space="preserve">będzie miała charakteru prejudykatu i </w:t>
      </w:r>
      <w:r w:rsidRPr="001F27D8">
        <w:rPr>
          <w:rFonts w:cs="Tahoma"/>
          <w:i/>
          <w:sz w:val="22"/>
          <w:shd w:val="clear" w:color="auto" w:fill="FFFFFF"/>
        </w:rPr>
        <w:t xml:space="preserve">ustalenia UOKiK będą wiążące dla </w:t>
      </w:r>
      <w:r>
        <w:rPr>
          <w:rFonts w:cs="Tahoma"/>
          <w:i/>
          <w:sz w:val="22"/>
          <w:shd w:val="clear" w:color="auto" w:fill="FFFFFF"/>
        </w:rPr>
        <w:t xml:space="preserve">każdego </w:t>
      </w:r>
      <w:r w:rsidRPr="001F27D8">
        <w:rPr>
          <w:rFonts w:cs="Tahoma"/>
          <w:i/>
          <w:sz w:val="22"/>
          <w:shd w:val="clear" w:color="auto" w:fill="FFFFFF"/>
        </w:rPr>
        <w:t xml:space="preserve">sądu </w:t>
      </w:r>
      <w:r>
        <w:rPr>
          <w:rFonts w:cs="Tahoma"/>
          <w:i/>
          <w:sz w:val="22"/>
          <w:shd w:val="clear" w:color="auto" w:fill="FFFFFF"/>
        </w:rPr>
        <w:t>powszechnego</w:t>
      </w:r>
      <w:r w:rsidRPr="001F27D8">
        <w:rPr>
          <w:rFonts w:cs="Tahoma"/>
          <w:i/>
          <w:sz w:val="22"/>
          <w:shd w:val="clear" w:color="auto" w:fill="FFFFFF"/>
        </w:rPr>
        <w:t>. Zachęcam konsumentów do tego, by skorzystali z naszych ustaleń</w:t>
      </w:r>
      <w:r>
        <w:rPr>
          <w:rFonts w:cs="Tahoma"/>
          <w:sz w:val="22"/>
          <w:shd w:val="clear" w:color="auto" w:fill="FFFFFF"/>
        </w:rPr>
        <w:t xml:space="preserve"> – mówi Marek Niechciał. </w:t>
      </w:r>
    </w:p>
    <w:p w14:paraId="1F4735A3" w14:textId="77777777" w:rsidR="00C51CD3" w:rsidRPr="00E0661A" w:rsidRDefault="00C51CD3" w:rsidP="00C51CD3">
      <w:pPr>
        <w:pStyle w:val="mcntmcntmsonormal"/>
        <w:spacing w:before="0" w:beforeAutospacing="0" w:after="240" w:afterAutospacing="0" w:line="360" w:lineRule="auto"/>
        <w:jc w:val="both"/>
        <w:rPr>
          <w:rFonts w:ascii="Trebuchet MS" w:hAnsi="Trebuchet MS"/>
          <w:b/>
        </w:rPr>
      </w:pPr>
      <w:proofErr w:type="spellStart"/>
      <w:r w:rsidRPr="00E0661A">
        <w:rPr>
          <w:rFonts w:ascii="Trebuchet MS" w:hAnsi="Trebuchet MS"/>
          <w:b/>
        </w:rPr>
        <w:t>Lartiq</w:t>
      </w:r>
      <w:proofErr w:type="spellEnd"/>
      <w:r w:rsidRPr="00E0661A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TF I</w:t>
      </w:r>
      <w:r w:rsidRPr="00E0661A">
        <w:rPr>
          <w:rFonts w:ascii="Trebuchet MS" w:hAnsi="Trebuchet MS"/>
          <w:b/>
        </w:rPr>
        <w:t xml:space="preserve"> (wcześniej </w:t>
      </w:r>
      <w:proofErr w:type="spellStart"/>
      <w:r w:rsidRPr="00E0661A">
        <w:rPr>
          <w:rFonts w:ascii="Trebuchet MS" w:hAnsi="Trebuchet MS"/>
          <w:b/>
        </w:rPr>
        <w:t>Trigon</w:t>
      </w:r>
      <w:proofErr w:type="spellEnd"/>
      <w:r w:rsidRPr="00E0661A">
        <w:rPr>
          <w:rFonts w:ascii="Trebuchet MS" w:hAnsi="Trebuchet MS"/>
          <w:b/>
        </w:rPr>
        <w:t>)</w:t>
      </w:r>
      <w:r>
        <w:rPr>
          <w:rFonts w:ascii="Trebuchet MS" w:hAnsi="Trebuchet MS"/>
          <w:b/>
        </w:rPr>
        <w:t xml:space="preserve"> oraz Idea Bank</w:t>
      </w:r>
      <w:r w:rsidRPr="00E0661A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- postępowania</w:t>
      </w:r>
    </w:p>
    <w:p w14:paraId="09E17181" w14:textId="77777777" w:rsidR="00C51CD3" w:rsidRPr="00E0661A" w:rsidRDefault="00C51CD3" w:rsidP="00C51CD3">
      <w:pPr>
        <w:pStyle w:val="mcntmcntmsonormal"/>
        <w:spacing w:before="0" w:beforeAutospacing="0" w:after="240" w:afterAutospacing="0" w:line="360" w:lineRule="auto"/>
        <w:jc w:val="both"/>
      </w:pPr>
      <w:r w:rsidRPr="00E0661A">
        <w:rPr>
          <w:rFonts w:ascii="Trebuchet MS" w:hAnsi="Trebuchet MS"/>
        </w:rPr>
        <w:t>Prezes UOKiK prowadzi także postępowania przeciwko </w:t>
      </w:r>
      <w:proofErr w:type="spellStart"/>
      <w:r w:rsidRPr="00E0661A">
        <w:rPr>
          <w:rFonts w:ascii="Trebuchet MS" w:hAnsi="Trebuchet MS"/>
        </w:rPr>
        <w:t>Lartiq</w:t>
      </w:r>
      <w:proofErr w:type="spellEnd"/>
      <w:r w:rsidRPr="00E0661A">
        <w:rPr>
          <w:rFonts w:ascii="Trebuchet MS" w:hAnsi="Trebuchet MS"/>
        </w:rPr>
        <w:t xml:space="preserve"> Towarzystwo Funduszy Inwestycyjnych (wcześniej </w:t>
      </w:r>
      <w:proofErr w:type="spellStart"/>
      <w:r w:rsidRPr="00E0661A">
        <w:rPr>
          <w:rFonts w:ascii="Trebuchet MS" w:hAnsi="Trebuchet MS"/>
        </w:rPr>
        <w:t>Trigon</w:t>
      </w:r>
      <w:proofErr w:type="spellEnd"/>
      <w:r w:rsidRPr="00E0661A">
        <w:rPr>
          <w:rFonts w:ascii="Trebuchet MS" w:hAnsi="Trebuchet MS"/>
        </w:rPr>
        <w:t xml:space="preserve">) oraz przeciwko Idea Bank w sprawach dotyczących proponowania konsumentom nabycia certyfikatów funduszy inwestycyjnych </w:t>
      </w:r>
      <w:proofErr w:type="spellStart"/>
      <w:r w:rsidRPr="00E0661A">
        <w:rPr>
          <w:rFonts w:ascii="Trebuchet MS" w:hAnsi="Trebuchet MS"/>
        </w:rPr>
        <w:t>Trigon</w:t>
      </w:r>
      <w:proofErr w:type="spellEnd"/>
      <w:r w:rsidRPr="00E0661A">
        <w:rPr>
          <w:rFonts w:ascii="Trebuchet MS" w:hAnsi="Trebuchet MS"/>
        </w:rPr>
        <w:t xml:space="preserve"> Profit inwestujących w wierzytelności.</w:t>
      </w:r>
    </w:p>
    <w:p w14:paraId="28CC19B0" w14:textId="77777777" w:rsidR="00C51CD3" w:rsidRPr="00E0661A" w:rsidRDefault="00C51CD3" w:rsidP="00C51CD3">
      <w:pPr>
        <w:pStyle w:val="mcntmcntmsonormal"/>
        <w:spacing w:before="0" w:beforeAutospacing="0" w:after="240" w:afterAutospacing="0" w:line="360" w:lineRule="auto"/>
        <w:jc w:val="both"/>
      </w:pPr>
      <w:proofErr w:type="spellStart"/>
      <w:r w:rsidRPr="009256DC">
        <w:rPr>
          <w:rFonts w:ascii="Trebuchet MS" w:hAnsi="Trebuchet MS"/>
          <w:b/>
        </w:rPr>
        <w:t>Lartiq</w:t>
      </w:r>
      <w:proofErr w:type="spellEnd"/>
      <w:r w:rsidRPr="009256DC">
        <w:rPr>
          <w:rFonts w:ascii="Trebuchet MS" w:hAnsi="Trebuchet MS"/>
          <w:b/>
        </w:rPr>
        <w:t xml:space="preserve"> powierzył </w:t>
      </w:r>
      <w:proofErr w:type="spellStart"/>
      <w:r w:rsidRPr="009256DC">
        <w:rPr>
          <w:rFonts w:ascii="Trebuchet MS" w:hAnsi="Trebuchet MS"/>
          <w:b/>
        </w:rPr>
        <w:t>GetBack</w:t>
      </w:r>
      <w:proofErr w:type="spellEnd"/>
      <w:r w:rsidRPr="009256DC">
        <w:rPr>
          <w:rFonts w:ascii="Trebuchet MS" w:hAnsi="Trebuchet MS"/>
          <w:b/>
        </w:rPr>
        <w:t xml:space="preserve"> zarządzanie aktywami niestandaryzowanych sekurytyzacyjnych funduszy inwestycyjnych zamkniętych i informował, że </w:t>
      </w:r>
      <w:proofErr w:type="spellStart"/>
      <w:r w:rsidRPr="009256DC">
        <w:rPr>
          <w:rFonts w:ascii="Trebuchet MS" w:hAnsi="Trebuchet MS"/>
          <w:b/>
        </w:rPr>
        <w:t>GetBack</w:t>
      </w:r>
      <w:proofErr w:type="spellEnd"/>
      <w:r w:rsidRPr="009256DC">
        <w:rPr>
          <w:rFonts w:ascii="Trebuchet MS" w:hAnsi="Trebuchet MS"/>
          <w:b/>
        </w:rPr>
        <w:t xml:space="preserve"> gwarantuje osiągnięcie minimalnej stopy zwrotu</w:t>
      </w:r>
      <w:r w:rsidRPr="00E0661A">
        <w:rPr>
          <w:rFonts w:ascii="Trebuchet MS" w:hAnsi="Trebuchet MS"/>
        </w:rPr>
        <w:t xml:space="preserve">. Wątpliwości UOKiK budzi m.in. brak </w:t>
      </w:r>
      <w:r w:rsidRPr="009256DC">
        <w:rPr>
          <w:rFonts w:ascii="Trebuchet MS" w:hAnsi="Trebuchet MS"/>
        </w:rPr>
        <w:t>wystarczających i</w:t>
      </w:r>
      <w:r w:rsidRPr="00E0661A">
        <w:rPr>
          <w:rFonts w:ascii="Trebuchet MS" w:hAnsi="Trebuchet MS"/>
        </w:rPr>
        <w:t xml:space="preserve">nformacji o ryzyku niewywiązania się przez </w:t>
      </w:r>
      <w:proofErr w:type="spellStart"/>
      <w:r w:rsidRPr="00E0661A">
        <w:rPr>
          <w:rFonts w:ascii="Trebuchet MS" w:hAnsi="Trebuchet MS"/>
        </w:rPr>
        <w:t>GetBack</w:t>
      </w:r>
      <w:proofErr w:type="spellEnd"/>
      <w:r w:rsidRPr="00E0661A">
        <w:rPr>
          <w:rFonts w:ascii="Trebuchet MS" w:hAnsi="Trebuchet MS"/>
        </w:rPr>
        <w:t xml:space="preserve"> z </w:t>
      </w:r>
      <w:r w:rsidRPr="009256DC">
        <w:rPr>
          <w:rFonts w:ascii="Trebuchet MS" w:hAnsi="Trebuchet MS"/>
        </w:rPr>
        <w:t xml:space="preserve">gwarancji i </w:t>
      </w:r>
      <w:r w:rsidRPr="00E0661A">
        <w:rPr>
          <w:rFonts w:ascii="Trebuchet MS" w:hAnsi="Trebuchet MS"/>
        </w:rPr>
        <w:t>zarządzania aktywami oraz informowanie, że </w:t>
      </w:r>
      <w:r w:rsidRPr="00E0661A">
        <w:rPr>
          <w:rFonts w:ascii="Trebuchet MS" w:hAnsi="Trebuchet MS"/>
          <w:i/>
          <w:iCs/>
        </w:rPr>
        <w:t>umowa gwarancyjna wpisana do statutu stanowi (…) pełne zabezpieczeniu kapitału.</w:t>
      </w:r>
      <w:r>
        <w:rPr>
          <w:rFonts w:ascii="Trebuchet MS" w:hAnsi="Trebuchet MS"/>
          <w:i/>
          <w:iCs/>
        </w:rPr>
        <w:t xml:space="preserve"> </w:t>
      </w:r>
      <w:r w:rsidRPr="00E0661A">
        <w:rPr>
          <w:rFonts w:ascii="Trebuchet MS" w:hAnsi="Trebuchet MS"/>
        </w:rPr>
        <w:t xml:space="preserve">Z kolei Idea Bank wprowadzał w ocenie </w:t>
      </w:r>
      <w:r>
        <w:rPr>
          <w:rFonts w:ascii="Trebuchet MS" w:hAnsi="Trebuchet MS"/>
        </w:rPr>
        <w:t>p</w:t>
      </w:r>
      <w:r w:rsidRPr="00E0661A">
        <w:rPr>
          <w:rFonts w:ascii="Trebuchet MS" w:hAnsi="Trebuchet MS"/>
        </w:rPr>
        <w:t xml:space="preserve">rezesa </w:t>
      </w:r>
      <w:r>
        <w:rPr>
          <w:rFonts w:ascii="Trebuchet MS" w:hAnsi="Trebuchet MS"/>
        </w:rPr>
        <w:t>urzędu</w:t>
      </w:r>
      <w:r w:rsidRPr="00E0661A">
        <w:rPr>
          <w:rFonts w:ascii="Trebuchet MS" w:hAnsi="Trebuchet MS"/>
        </w:rPr>
        <w:t xml:space="preserve"> w błąd poprzez przekazywanie nieprawdziwych informacji, że zobowiązania gwarancyjne nałożone na </w:t>
      </w:r>
      <w:proofErr w:type="spellStart"/>
      <w:r w:rsidRPr="00E0661A">
        <w:rPr>
          <w:rFonts w:ascii="Trebuchet MS" w:hAnsi="Trebuchet MS"/>
        </w:rPr>
        <w:t>GetBack</w:t>
      </w:r>
      <w:proofErr w:type="spellEnd"/>
      <w:r w:rsidRPr="00E0661A">
        <w:rPr>
          <w:rFonts w:ascii="Trebuchet MS" w:hAnsi="Trebuchet MS"/>
        </w:rPr>
        <w:t xml:space="preserve"> dają pewność osiągnięcia założonego celu inwestycyjnego. Ponadto, Idea Bank stosował </w:t>
      </w:r>
      <w:proofErr w:type="spellStart"/>
      <w:r w:rsidRPr="00E0661A">
        <w:rPr>
          <w:rFonts w:ascii="Trebuchet MS" w:hAnsi="Trebuchet MS"/>
          <w:i/>
          <w:iCs/>
        </w:rPr>
        <w:t>misseling</w:t>
      </w:r>
      <w:proofErr w:type="spellEnd"/>
      <w:r w:rsidRPr="00E0661A">
        <w:rPr>
          <w:rFonts w:ascii="Trebuchet MS" w:hAnsi="Trebuchet MS"/>
        </w:rPr>
        <w:t>, proponując konsumentom inwestycję w certyfikaty</w:t>
      </w:r>
      <w:r>
        <w:rPr>
          <w:rFonts w:ascii="Trebuchet MS" w:hAnsi="Trebuchet MS"/>
        </w:rPr>
        <w:t>,</w:t>
      </w:r>
      <w:r w:rsidRPr="00E0661A">
        <w:rPr>
          <w:rFonts w:ascii="Trebuchet MS" w:hAnsi="Trebuchet MS"/>
        </w:rPr>
        <w:t xml:space="preserve"> pomimo że warunki</w:t>
      </w:r>
      <w:r>
        <w:rPr>
          <w:rFonts w:ascii="Trebuchet MS" w:hAnsi="Trebuchet MS"/>
        </w:rPr>
        <w:t xml:space="preserve"> ich</w:t>
      </w:r>
      <w:r w:rsidRPr="00E0661A">
        <w:rPr>
          <w:rFonts w:ascii="Trebuchet MS" w:hAnsi="Trebuchet MS"/>
        </w:rPr>
        <w:t xml:space="preserve"> emisji w zakresie akceptowalnego ryzyka nie odpowiadały potrzebom tych konsumentów. </w:t>
      </w:r>
    </w:p>
    <w:p w14:paraId="390234C7" w14:textId="77777777" w:rsidR="00C51CD3" w:rsidRPr="009256DC" w:rsidRDefault="00C51CD3" w:rsidP="00C51CD3">
      <w:pPr>
        <w:spacing w:after="240" w:line="360" w:lineRule="auto"/>
        <w:jc w:val="both"/>
        <w:rPr>
          <w:rFonts w:cs="Tahoma"/>
          <w:b/>
          <w:sz w:val="22"/>
          <w:shd w:val="clear" w:color="auto" w:fill="FFFFFF"/>
        </w:rPr>
      </w:pPr>
      <w:r w:rsidRPr="009256DC">
        <w:rPr>
          <w:rFonts w:cs="Tahoma"/>
          <w:b/>
          <w:sz w:val="22"/>
          <w:shd w:val="clear" w:color="auto" w:fill="FFFFFF"/>
        </w:rPr>
        <w:t>Windykacja – decyzja UOKiK</w:t>
      </w:r>
    </w:p>
    <w:p w14:paraId="24AF86D8" w14:textId="77777777" w:rsidR="00C51CD3" w:rsidRDefault="00C51CD3" w:rsidP="00C51CD3">
      <w:pPr>
        <w:autoSpaceDE w:val="0"/>
        <w:autoSpaceDN w:val="0"/>
        <w:adjustRightInd w:val="0"/>
        <w:spacing w:after="240" w:line="360" w:lineRule="auto"/>
        <w:jc w:val="both"/>
        <w:rPr>
          <w:sz w:val="22"/>
        </w:rPr>
      </w:pPr>
      <w:r w:rsidRPr="005E22FF">
        <w:rPr>
          <w:sz w:val="22"/>
        </w:rPr>
        <w:lastRenderedPageBreak/>
        <w:t xml:space="preserve">Urząd zajmował się również działalnością windykacyjną spółki </w:t>
      </w:r>
      <w:proofErr w:type="spellStart"/>
      <w:r w:rsidRPr="005E22FF">
        <w:rPr>
          <w:sz w:val="22"/>
        </w:rPr>
        <w:t>GetBack</w:t>
      </w:r>
      <w:proofErr w:type="spellEnd"/>
      <w:r w:rsidRPr="005E22FF">
        <w:rPr>
          <w:sz w:val="22"/>
        </w:rPr>
        <w:t xml:space="preserve"> i zakwestionował sposoby egzekwowania zaległych należności – </w:t>
      </w:r>
      <w:hyperlink r:id="rId12" w:history="1">
        <w:r w:rsidRPr="005E22FF">
          <w:rPr>
            <w:rStyle w:val="Hipercze"/>
            <w:sz w:val="22"/>
          </w:rPr>
          <w:t>wydał w tej sprawie decyzję</w:t>
        </w:r>
      </w:hyperlink>
      <w:r w:rsidRPr="005E22FF">
        <w:rPr>
          <w:sz w:val="22"/>
        </w:rPr>
        <w:t xml:space="preserve"> w listopadzie 2018 r. Decyzja ta nie ma związku z oferowaniem i sprzedażą obligacji korporacyjnych. </w:t>
      </w:r>
      <w:r>
        <w:rPr>
          <w:sz w:val="22"/>
        </w:rPr>
        <w:t>Spółka zaniechała stosowania kwestionowanych praktyk.</w:t>
      </w:r>
    </w:p>
    <w:sectPr w:rsidR="00C51CD3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80C4" w14:textId="77777777" w:rsidR="002B6AB4" w:rsidRDefault="002B6AB4">
      <w:r>
        <w:separator/>
      </w:r>
    </w:p>
  </w:endnote>
  <w:endnote w:type="continuationSeparator" w:id="0">
    <w:p w14:paraId="2DC33145" w14:textId="77777777" w:rsidR="002B6AB4" w:rsidRDefault="002B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"/>
    <w:charset w:val="EE"/>
    <w:family w:val="auto"/>
    <w:pitch w:val="default"/>
    <w:sig w:usb0="00000007" w:usb1="00000000" w:usb2="00000000" w:usb3="00000000" w:csb0="00000003" w:csb1="00000000"/>
  </w:font>
  <w:font w:name="TrebuchetMS-Bold">
    <w:altName w:val="Arial"/>
    <w:charset w:val="00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C4BF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49BA5F" wp14:editId="567FC3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E80A75D" wp14:editId="28A19D9D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B56B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80A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CEDB56B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84934" wp14:editId="338D406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A84C68D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5A55D" w14:textId="77777777" w:rsidR="002B6AB4" w:rsidRDefault="002B6AB4">
      <w:r>
        <w:separator/>
      </w:r>
    </w:p>
  </w:footnote>
  <w:footnote w:type="continuationSeparator" w:id="0">
    <w:p w14:paraId="7E34CAB6" w14:textId="77777777" w:rsidR="002B6AB4" w:rsidRDefault="002B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691A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BA9D245" wp14:editId="6CF482C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F93"/>
    <w:multiLevelType w:val="hybridMultilevel"/>
    <w:tmpl w:val="7882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D26"/>
    <w:rsid w:val="0000713A"/>
    <w:rsid w:val="00007E00"/>
    <w:rsid w:val="00011AF2"/>
    <w:rsid w:val="00023634"/>
    <w:rsid w:val="0003327D"/>
    <w:rsid w:val="00035A7D"/>
    <w:rsid w:val="00042F96"/>
    <w:rsid w:val="00062BC3"/>
    <w:rsid w:val="000651E9"/>
    <w:rsid w:val="00066718"/>
    <w:rsid w:val="00073AA7"/>
    <w:rsid w:val="00094D6E"/>
    <w:rsid w:val="000A74FA"/>
    <w:rsid w:val="000B149D"/>
    <w:rsid w:val="000B1AC5"/>
    <w:rsid w:val="000B6F37"/>
    <w:rsid w:val="000B7247"/>
    <w:rsid w:val="000E6D7B"/>
    <w:rsid w:val="000F4D9B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0AD8"/>
    <w:rsid w:val="001A5F7C"/>
    <w:rsid w:val="001A6E5B"/>
    <w:rsid w:val="001A7451"/>
    <w:rsid w:val="001C18A5"/>
    <w:rsid w:val="001C1FAD"/>
    <w:rsid w:val="001D3177"/>
    <w:rsid w:val="001E188E"/>
    <w:rsid w:val="001E4F92"/>
    <w:rsid w:val="001F1E2F"/>
    <w:rsid w:val="001F4A73"/>
    <w:rsid w:val="00205580"/>
    <w:rsid w:val="002157BB"/>
    <w:rsid w:val="002262B5"/>
    <w:rsid w:val="0023138D"/>
    <w:rsid w:val="00240013"/>
    <w:rsid w:val="0024118E"/>
    <w:rsid w:val="00241BAC"/>
    <w:rsid w:val="00243D43"/>
    <w:rsid w:val="00257FC2"/>
    <w:rsid w:val="00260382"/>
    <w:rsid w:val="00266430"/>
    <w:rsid w:val="00266CB4"/>
    <w:rsid w:val="00267DD1"/>
    <w:rsid w:val="00273D7E"/>
    <w:rsid w:val="002801AA"/>
    <w:rsid w:val="00295B34"/>
    <w:rsid w:val="002A5D69"/>
    <w:rsid w:val="002B1DBF"/>
    <w:rsid w:val="002B6AB4"/>
    <w:rsid w:val="002C0D5D"/>
    <w:rsid w:val="002C254B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332A"/>
    <w:rsid w:val="00377A0D"/>
    <w:rsid w:val="0038677D"/>
    <w:rsid w:val="003D2105"/>
    <w:rsid w:val="003D3FF4"/>
    <w:rsid w:val="003D7161"/>
    <w:rsid w:val="003E3F9D"/>
    <w:rsid w:val="003E69E5"/>
    <w:rsid w:val="003F12EF"/>
    <w:rsid w:val="0040748E"/>
    <w:rsid w:val="00410A92"/>
    <w:rsid w:val="00410CAF"/>
    <w:rsid w:val="00412206"/>
    <w:rsid w:val="004225D9"/>
    <w:rsid w:val="00427E08"/>
    <w:rsid w:val="004349BA"/>
    <w:rsid w:val="0043575C"/>
    <w:rsid w:val="004365C7"/>
    <w:rsid w:val="00437944"/>
    <w:rsid w:val="004425B7"/>
    <w:rsid w:val="00443599"/>
    <w:rsid w:val="00444A85"/>
    <w:rsid w:val="00462CFA"/>
    <w:rsid w:val="0047041F"/>
    <w:rsid w:val="0048082D"/>
    <w:rsid w:val="0048113B"/>
    <w:rsid w:val="00486DB1"/>
    <w:rsid w:val="00493E10"/>
    <w:rsid w:val="004972E8"/>
    <w:rsid w:val="004C0F9E"/>
    <w:rsid w:val="004C1243"/>
    <w:rsid w:val="004C5C26"/>
    <w:rsid w:val="004E72B8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716D8"/>
    <w:rsid w:val="00593935"/>
    <w:rsid w:val="005973FD"/>
    <w:rsid w:val="00597C68"/>
    <w:rsid w:val="005A382B"/>
    <w:rsid w:val="005A4047"/>
    <w:rsid w:val="005A7E03"/>
    <w:rsid w:val="005C0D39"/>
    <w:rsid w:val="005C6232"/>
    <w:rsid w:val="005D6F7A"/>
    <w:rsid w:val="005E16EF"/>
    <w:rsid w:val="005E78EE"/>
    <w:rsid w:val="005F0283"/>
    <w:rsid w:val="005F139F"/>
    <w:rsid w:val="005F1EBD"/>
    <w:rsid w:val="006063D0"/>
    <w:rsid w:val="00613C45"/>
    <w:rsid w:val="00633D4E"/>
    <w:rsid w:val="00633F56"/>
    <w:rsid w:val="0063526F"/>
    <w:rsid w:val="00637E86"/>
    <w:rsid w:val="006422DE"/>
    <w:rsid w:val="006439FA"/>
    <w:rsid w:val="00651B5C"/>
    <w:rsid w:val="0067485D"/>
    <w:rsid w:val="006803AD"/>
    <w:rsid w:val="006810A4"/>
    <w:rsid w:val="00692032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4154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569AF"/>
    <w:rsid w:val="007627D7"/>
    <w:rsid w:val="00776C4F"/>
    <w:rsid w:val="00780A02"/>
    <w:rsid w:val="007838E4"/>
    <w:rsid w:val="007846DC"/>
    <w:rsid w:val="007A0FCD"/>
    <w:rsid w:val="007A19D8"/>
    <w:rsid w:val="007B274C"/>
    <w:rsid w:val="007B62FE"/>
    <w:rsid w:val="007E281E"/>
    <w:rsid w:val="007E36E4"/>
    <w:rsid w:val="007F0ACE"/>
    <w:rsid w:val="00804024"/>
    <w:rsid w:val="00815602"/>
    <w:rsid w:val="0081753E"/>
    <w:rsid w:val="008263B0"/>
    <w:rsid w:val="008419BA"/>
    <w:rsid w:val="0085010E"/>
    <w:rsid w:val="0085454F"/>
    <w:rsid w:val="0087354F"/>
    <w:rsid w:val="00893047"/>
    <w:rsid w:val="00895F52"/>
    <w:rsid w:val="00896985"/>
    <w:rsid w:val="008C4D70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36EE1"/>
    <w:rsid w:val="00940E8F"/>
    <w:rsid w:val="0095309C"/>
    <w:rsid w:val="0095463A"/>
    <w:rsid w:val="009652F2"/>
    <w:rsid w:val="009719ED"/>
    <w:rsid w:val="00975925"/>
    <w:rsid w:val="0097594A"/>
    <w:rsid w:val="00982CC8"/>
    <w:rsid w:val="00986C37"/>
    <w:rsid w:val="00997528"/>
    <w:rsid w:val="0099796A"/>
    <w:rsid w:val="009B4BC9"/>
    <w:rsid w:val="009C1346"/>
    <w:rsid w:val="009D05C8"/>
    <w:rsid w:val="009E3C0B"/>
    <w:rsid w:val="00A03303"/>
    <w:rsid w:val="00A13244"/>
    <w:rsid w:val="00A239AA"/>
    <w:rsid w:val="00A439E8"/>
    <w:rsid w:val="00A45753"/>
    <w:rsid w:val="00A53423"/>
    <w:rsid w:val="00A62659"/>
    <w:rsid w:val="00A65688"/>
    <w:rsid w:val="00A65F20"/>
    <w:rsid w:val="00A72E33"/>
    <w:rsid w:val="00A76293"/>
    <w:rsid w:val="00A77DA2"/>
    <w:rsid w:val="00A85D9D"/>
    <w:rsid w:val="00A92C4C"/>
    <w:rsid w:val="00A951D0"/>
    <w:rsid w:val="00AA26A2"/>
    <w:rsid w:val="00AA2A1A"/>
    <w:rsid w:val="00AA602D"/>
    <w:rsid w:val="00AB0E3B"/>
    <w:rsid w:val="00AB572D"/>
    <w:rsid w:val="00AE2923"/>
    <w:rsid w:val="00AE5DF1"/>
    <w:rsid w:val="00AE7F9D"/>
    <w:rsid w:val="00B028F7"/>
    <w:rsid w:val="00B22863"/>
    <w:rsid w:val="00B31EA2"/>
    <w:rsid w:val="00B372CF"/>
    <w:rsid w:val="00B41502"/>
    <w:rsid w:val="00B51024"/>
    <w:rsid w:val="00B55832"/>
    <w:rsid w:val="00B60CD8"/>
    <w:rsid w:val="00B60F9C"/>
    <w:rsid w:val="00B61504"/>
    <w:rsid w:val="00B6769E"/>
    <w:rsid w:val="00B73F22"/>
    <w:rsid w:val="00B76F9A"/>
    <w:rsid w:val="00B810B2"/>
    <w:rsid w:val="00B92880"/>
    <w:rsid w:val="00B93ED0"/>
    <w:rsid w:val="00BA26F7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EE5"/>
    <w:rsid w:val="00BE68EE"/>
    <w:rsid w:val="00BE7F63"/>
    <w:rsid w:val="00BF45FB"/>
    <w:rsid w:val="00C03493"/>
    <w:rsid w:val="00C11081"/>
    <w:rsid w:val="00C123B1"/>
    <w:rsid w:val="00C21071"/>
    <w:rsid w:val="00C2398C"/>
    <w:rsid w:val="00C25569"/>
    <w:rsid w:val="00C27366"/>
    <w:rsid w:val="00C3054B"/>
    <w:rsid w:val="00C3774C"/>
    <w:rsid w:val="00C51CD3"/>
    <w:rsid w:val="00C5351C"/>
    <w:rsid w:val="00C5600C"/>
    <w:rsid w:val="00C63AA8"/>
    <w:rsid w:val="00C7783C"/>
    <w:rsid w:val="00C92D68"/>
    <w:rsid w:val="00CA6B58"/>
    <w:rsid w:val="00CB04DB"/>
    <w:rsid w:val="00CB1AE6"/>
    <w:rsid w:val="00CB3ED4"/>
    <w:rsid w:val="00CB3F86"/>
    <w:rsid w:val="00CD34F0"/>
    <w:rsid w:val="00CE0102"/>
    <w:rsid w:val="00CE0954"/>
    <w:rsid w:val="00CF11F7"/>
    <w:rsid w:val="00D1323F"/>
    <w:rsid w:val="00D202BA"/>
    <w:rsid w:val="00D251AC"/>
    <w:rsid w:val="00D27994"/>
    <w:rsid w:val="00D370F6"/>
    <w:rsid w:val="00D43766"/>
    <w:rsid w:val="00D47CCF"/>
    <w:rsid w:val="00D56454"/>
    <w:rsid w:val="00D633C9"/>
    <w:rsid w:val="00D6457B"/>
    <w:rsid w:val="00D66DEC"/>
    <w:rsid w:val="00D71A41"/>
    <w:rsid w:val="00D768A4"/>
    <w:rsid w:val="00D84CE4"/>
    <w:rsid w:val="00D92F52"/>
    <w:rsid w:val="00DA1396"/>
    <w:rsid w:val="00DA218C"/>
    <w:rsid w:val="00DA753F"/>
    <w:rsid w:val="00DC182C"/>
    <w:rsid w:val="00DC5754"/>
    <w:rsid w:val="00DD0AF0"/>
    <w:rsid w:val="00DD34A3"/>
    <w:rsid w:val="00DD3FCD"/>
    <w:rsid w:val="00DD48B2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777A8"/>
    <w:rsid w:val="00EB1E87"/>
    <w:rsid w:val="00EE417A"/>
    <w:rsid w:val="00EE4AD8"/>
    <w:rsid w:val="00EF0B1C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C4B57"/>
    <w:rsid w:val="00FD09D8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7A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  <w:style w:type="paragraph" w:customStyle="1" w:styleId="mcntmcntmsonormal">
    <w:name w:val="mcntmcntmsonormal"/>
    <w:basedOn w:val="Normalny"/>
    <w:rsid w:val="00C51CD3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e.uokik.gov.pl/obligacje-korporacyjne/masz-obligacje-getback-informacje-uoki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yzje.uokik.gov.pl/bp/dec_prez.nsf/43104c28a7a1be23c1257eac006d8dd4/72c71c8bafe85b6cc125835300474575/$FILE/Decyzja%20GetBack%20-%20wersja%20bip%2023.11.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56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aktualnosci.php?news_id=15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id=1908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07AE-C231-42E7-8BC6-79FC07A1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2019-03-06T14:11:00Z</cp:lastPrinted>
  <dcterms:created xsi:type="dcterms:W3CDTF">2020-01-16T13:43:00Z</dcterms:created>
  <dcterms:modified xsi:type="dcterms:W3CDTF">2020-01-21T12:32:00Z</dcterms:modified>
</cp:coreProperties>
</file>