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4A10" w14:textId="1A996A15" w:rsidR="0091570B" w:rsidRPr="0091570B" w:rsidRDefault="00E259B4" w:rsidP="0091570B">
      <w:pPr>
        <w:pStyle w:val="NormalnyWeb"/>
        <w:spacing w:before="0" w:beforeAutospacing="0" w:after="240" w:afterAutospacing="0" w:line="360" w:lineRule="auto"/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</w:pPr>
      <w:r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 xml:space="preserve">Zdolność kredytowa </w:t>
      </w:r>
      <w:r w:rsidR="0042544B"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 xml:space="preserve">– </w:t>
      </w:r>
      <w:r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 xml:space="preserve">Prezes UOKiK mówi </w:t>
      </w:r>
      <w:r w:rsidR="00DA61F3"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>„</w:t>
      </w:r>
      <w:r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>sprawdzam</w:t>
      </w:r>
      <w:r w:rsidR="00DA61F3"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>”</w:t>
      </w:r>
      <w:r>
        <w:rPr>
          <w:rFonts w:ascii="Trebuchet MS" w:eastAsiaTheme="minorEastAsia" w:hAnsi="Trebuchet MS" w:cstheme="minorBidi"/>
          <w:bCs/>
          <w:sz w:val="32"/>
          <w:szCs w:val="32"/>
          <w:lang w:eastAsia="en-US"/>
        </w:rPr>
        <w:t xml:space="preserve"> </w:t>
      </w:r>
    </w:p>
    <w:p w14:paraId="6540AA11" w14:textId="11E1117E" w:rsidR="006D5940" w:rsidRPr="00C92A37" w:rsidRDefault="006D5940" w:rsidP="006D5940">
      <w:pPr>
        <w:pStyle w:val="Tekst1"/>
        <w:numPr>
          <w:ilvl w:val="0"/>
          <w:numId w:val="5"/>
        </w:num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 xml:space="preserve">Prezes UOKiK </w:t>
      </w:r>
      <w:r w:rsidRPr="00104AA7">
        <w:rPr>
          <w:rFonts w:ascii="Trebuchet MS" w:hAnsi="Trebuchet MS"/>
          <w:b/>
          <w:lang w:val="pl-PL"/>
        </w:rPr>
        <w:t xml:space="preserve">Tomasz Chróstny </w:t>
      </w:r>
      <w:r>
        <w:rPr>
          <w:rFonts w:ascii="Trebuchet MS" w:hAnsi="Trebuchet MS"/>
          <w:b/>
          <w:lang w:val="pl-PL"/>
        </w:rPr>
        <w:t>wszczął</w:t>
      </w:r>
      <w:r w:rsidRPr="00104AA7">
        <w:rPr>
          <w:rFonts w:ascii="Trebuchet MS" w:hAnsi="Trebuchet MS"/>
          <w:b/>
          <w:lang w:val="pl-PL"/>
        </w:rPr>
        <w:t xml:space="preserve"> postępowanie wyjaśniające, w którym bada czy mogło dojść do ograniczenia konkurencji</w:t>
      </w:r>
      <w:r w:rsidR="00C028EE">
        <w:rPr>
          <w:rFonts w:ascii="Trebuchet MS" w:hAnsi="Trebuchet MS"/>
          <w:b/>
          <w:lang w:val="pl-PL"/>
        </w:rPr>
        <w:t xml:space="preserve"> w sektorze bankowym</w:t>
      </w:r>
      <w:r>
        <w:rPr>
          <w:rFonts w:ascii="Trebuchet MS" w:hAnsi="Trebuchet MS"/>
          <w:b/>
          <w:lang w:val="pl-PL"/>
        </w:rPr>
        <w:t>.</w:t>
      </w:r>
    </w:p>
    <w:p w14:paraId="58C5F3BB" w14:textId="1DCC8F7F" w:rsidR="00C92A37" w:rsidRDefault="00C92A37" w:rsidP="0042544B">
      <w:pPr>
        <w:pStyle w:val="Tekst1"/>
        <w:numPr>
          <w:ilvl w:val="0"/>
          <w:numId w:val="5"/>
        </w:num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 xml:space="preserve">UOKiK </w:t>
      </w:r>
      <w:r w:rsidR="00C028EE">
        <w:rPr>
          <w:rFonts w:ascii="Trebuchet MS" w:hAnsi="Trebuchet MS"/>
          <w:b/>
          <w:lang w:val="pl-PL"/>
        </w:rPr>
        <w:t>weryfikuje</w:t>
      </w:r>
      <w:r w:rsidRPr="00104AA7">
        <w:rPr>
          <w:rFonts w:ascii="Trebuchet MS" w:hAnsi="Trebuchet MS"/>
          <w:b/>
          <w:lang w:val="pl-PL"/>
        </w:rPr>
        <w:t xml:space="preserve"> zasady oceny zdolności kredytowej </w:t>
      </w:r>
      <w:r w:rsidR="006D5940">
        <w:rPr>
          <w:rFonts w:ascii="Trebuchet MS" w:hAnsi="Trebuchet MS"/>
          <w:b/>
          <w:lang w:val="pl-PL"/>
        </w:rPr>
        <w:t>konsumentów</w:t>
      </w:r>
      <w:r w:rsidRPr="00104AA7">
        <w:rPr>
          <w:rFonts w:ascii="Trebuchet MS" w:hAnsi="Trebuchet MS"/>
          <w:b/>
          <w:lang w:val="pl-PL"/>
        </w:rPr>
        <w:t xml:space="preserve"> oraz ich wpływ na warunki udzielania kredytów.</w:t>
      </w:r>
    </w:p>
    <w:p w14:paraId="6D7A8BD8" w14:textId="0A8778A1" w:rsidR="00907F72" w:rsidRDefault="006D5940" w:rsidP="00104AA7">
      <w:pPr>
        <w:spacing w:after="120" w:line="360" w:lineRule="auto"/>
        <w:jc w:val="both"/>
        <w:rPr>
          <w:sz w:val="22"/>
        </w:rPr>
      </w:pPr>
      <w:r w:rsidRPr="00E259B4">
        <w:rPr>
          <w:b/>
          <w:sz w:val="22"/>
          <w:szCs w:val="24"/>
          <w:lang w:eastAsia="x-none"/>
        </w:rPr>
        <w:t xml:space="preserve"> </w:t>
      </w:r>
      <w:r w:rsidR="0042544B" w:rsidRPr="00E259B4">
        <w:rPr>
          <w:b/>
          <w:sz w:val="22"/>
          <w:szCs w:val="24"/>
          <w:lang w:eastAsia="x-none"/>
        </w:rPr>
        <w:t xml:space="preserve">[Warszawa, </w:t>
      </w:r>
      <w:r w:rsidR="00E259B4" w:rsidRPr="00486B64">
        <w:rPr>
          <w:b/>
          <w:sz w:val="22"/>
          <w:szCs w:val="24"/>
          <w:lang w:eastAsia="x-none"/>
        </w:rPr>
        <w:t>10 marca</w:t>
      </w:r>
      <w:r w:rsidR="00E259B4">
        <w:rPr>
          <w:b/>
          <w:sz w:val="22"/>
          <w:szCs w:val="24"/>
          <w:lang w:eastAsia="x-none"/>
        </w:rPr>
        <w:t xml:space="preserve"> </w:t>
      </w:r>
      <w:r w:rsidR="0042544B" w:rsidRPr="00E259B4">
        <w:rPr>
          <w:b/>
          <w:sz w:val="22"/>
          <w:szCs w:val="24"/>
          <w:lang w:eastAsia="x-none"/>
        </w:rPr>
        <w:t>2025 r.]</w:t>
      </w:r>
      <w:r w:rsidR="0042544B">
        <w:t xml:space="preserve"> </w:t>
      </w:r>
      <w:r w:rsidR="0063138C">
        <w:rPr>
          <w:sz w:val="22"/>
        </w:rPr>
        <w:t>Banki</w:t>
      </w:r>
      <w:r w:rsidR="00ED7C41">
        <w:rPr>
          <w:sz w:val="22"/>
        </w:rPr>
        <w:t xml:space="preserve"> i inni kredytodawcy</w:t>
      </w:r>
      <w:r w:rsidR="0063138C">
        <w:rPr>
          <w:sz w:val="22"/>
        </w:rPr>
        <w:t xml:space="preserve"> </w:t>
      </w:r>
      <w:r w:rsidR="0063138C" w:rsidRPr="0063138C">
        <w:rPr>
          <w:sz w:val="22"/>
        </w:rPr>
        <w:t>oceniają zdolność</w:t>
      </w:r>
      <w:r w:rsidR="00ED7C41">
        <w:rPr>
          <w:sz w:val="22"/>
        </w:rPr>
        <w:t xml:space="preserve"> każdego</w:t>
      </w:r>
      <w:r w:rsidR="0063138C" w:rsidRPr="0063138C">
        <w:rPr>
          <w:sz w:val="22"/>
        </w:rPr>
        <w:t xml:space="preserve"> konsumenta</w:t>
      </w:r>
      <w:r w:rsidR="0063138C">
        <w:rPr>
          <w:sz w:val="22"/>
        </w:rPr>
        <w:t xml:space="preserve"> poszukującego odpowiedniego </w:t>
      </w:r>
      <w:r w:rsidR="00A53414">
        <w:rPr>
          <w:sz w:val="22"/>
        </w:rPr>
        <w:t xml:space="preserve">dla siebie </w:t>
      </w:r>
      <w:r w:rsidR="0063138C">
        <w:rPr>
          <w:sz w:val="22"/>
        </w:rPr>
        <w:t>kredytu</w:t>
      </w:r>
      <w:r w:rsidR="00ED7C41">
        <w:rPr>
          <w:sz w:val="22"/>
        </w:rPr>
        <w:t>. Robią to m.in.</w:t>
      </w:r>
      <w:r w:rsidR="0063138C">
        <w:rPr>
          <w:sz w:val="22"/>
        </w:rPr>
        <w:t xml:space="preserve"> </w:t>
      </w:r>
      <w:r w:rsidR="0063138C" w:rsidRPr="00104AA7">
        <w:rPr>
          <w:sz w:val="22"/>
        </w:rPr>
        <w:t>w oparciu o model scoringowy Biura Informacji Kredytowej</w:t>
      </w:r>
      <w:r w:rsidR="0063138C">
        <w:rPr>
          <w:sz w:val="22"/>
        </w:rPr>
        <w:t xml:space="preserve"> (BIK)</w:t>
      </w:r>
      <w:r w:rsidR="0063138C">
        <w:rPr>
          <w:b/>
          <w:sz w:val="22"/>
        </w:rPr>
        <w:t xml:space="preserve">. </w:t>
      </w:r>
      <w:r w:rsidR="0063138C" w:rsidRPr="0063138C">
        <w:rPr>
          <w:sz w:val="22"/>
        </w:rPr>
        <w:t>Oc</w:t>
      </w:r>
      <w:r w:rsidR="00104AA7" w:rsidRPr="00104AA7">
        <w:rPr>
          <w:sz w:val="22"/>
        </w:rPr>
        <w:t xml:space="preserve">ena wiarygodności w systemie BIK odbywa się </w:t>
      </w:r>
      <w:r w:rsidR="00DA61F3">
        <w:rPr>
          <w:sz w:val="22"/>
        </w:rPr>
        <w:t xml:space="preserve">nie tylko </w:t>
      </w:r>
      <w:r w:rsidR="00104AA7" w:rsidRPr="00104AA7">
        <w:rPr>
          <w:sz w:val="22"/>
        </w:rPr>
        <w:t>na podstawie historii spłat kredytów i pożyczek, obecnego zadłużenia, liczby i rodzaju zobowiązań, a</w:t>
      </w:r>
      <w:r w:rsidR="00DA61F3">
        <w:rPr>
          <w:sz w:val="22"/>
        </w:rPr>
        <w:t>le</w:t>
      </w:r>
      <w:r w:rsidR="00104AA7" w:rsidRPr="00104AA7">
        <w:rPr>
          <w:sz w:val="22"/>
        </w:rPr>
        <w:t xml:space="preserve"> także częstotliwości </w:t>
      </w:r>
      <w:r w:rsidR="00C92A37">
        <w:rPr>
          <w:sz w:val="22"/>
        </w:rPr>
        <w:t xml:space="preserve">i liczby </w:t>
      </w:r>
      <w:r w:rsidR="00104AA7" w:rsidRPr="00104AA7">
        <w:rPr>
          <w:sz w:val="22"/>
        </w:rPr>
        <w:t xml:space="preserve">zapytań kredytowych. </w:t>
      </w:r>
      <w:r w:rsidR="00DA61F3">
        <w:rPr>
          <w:sz w:val="22"/>
        </w:rPr>
        <w:t>Oznacza to, że</w:t>
      </w:r>
      <w:r w:rsidR="00B87BAE">
        <w:rPr>
          <w:sz w:val="22"/>
        </w:rPr>
        <w:t xml:space="preserve"> </w:t>
      </w:r>
      <w:r w:rsidR="00DA61F3">
        <w:rPr>
          <w:sz w:val="22"/>
        </w:rPr>
        <w:t xml:space="preserve">same </w:t>
      </w:r>
      <w:r w:rsidR="00B87BAE">
        <w:rPr>
          <w:sz w:val="22"/>
        </w:rPr>
        <w:t>zapytania kredytowe</w:t>
      </w:r>
      <w:r w:rsidR="00DA61F3">
        <w:rPr>
          <w:sz w:val="22"/>
        </w:rPr>
        <w:t xml:space="preserve"> </w:t>
      </w:r>
      <w:r w:rsidR="00ED7C41">
        <w:rPr>
          <w:sz w:val="22"/>
        </w:rPr>
        <w:t>mogą mieć istotny wpływ na</w:t>
      </w:r>
      <w:r w:rsidR="00B87BAE">
        <w:rPr>
          <w:sz w:val="22"/>
        </w:rPr>
        <w:t xml:space="preserve"> ocen</w:t>
      </w:r>
      <w:r w:rsidR="00ED7C41">
        <w:rPr>
          <w:sz w:val="22"/>
        </w:rPr>
        <w:t>ę</w:t>
      </w:r>
      <w:r w:rsidR="00B87BAE">
        <w:rPr>
          <w:sz w:val="22"/>
        </w:rPr>
        <w:t xml:space="preserve"> zdolności kredytowej</w:t>
      </w:r>
      <w:r w:rsidR="00A53414">
        <w:rPr>
          <w:sz w:val="22"/>
        </w:rPr>
        <w:t xml:space="preserve"> konsumenta</w:t>
      </w:r>
      <w:r w:rsidR="00910FB4">
        <w:rPr>
          <w:sz w:val="22"/>
        </w:rPr>
        <w:t xml:space="preserve">, niezależnie od tego </w:t>
      </w:r>
      <w:r w:rsidR="00C028EE">
        <w:rPr>
          <w:sz w:val="22"/>
        </w:rPr>
        <w:t xml:space="preserve">czy </w:t>
      </w:r>
      <w:r w:rsidR="0039533C">
        <w:rPr>
          <w:sz w:val="22"/>
        </w:rPr>
        <w:t>otrzymał</w:t>
      </w:r>
      <w:r w:rsidR="00910FB4">
        <w:rPr>
          <w:sz w:val="22"/>
        </w:rPr>
        <w:t xml:space="preserve"> decyzję</w:t>
      </w:r>
      <w:r w:rsidR="0039533C">
        <w:rPr>
          <w:sz w:val="22"/>
        </w:rPr>
        <w:t xml:space="preserve"> kredytową</w:t>
      </w:r>
      <w:r w:rsidR="00B87BAE">
        <w:rPr>
          <w:sz w:val="22"/>
        </w:rPr>
        <w:t xml:space="preserve">. </w:t>
      </w:r>
      <w:r w:rsidR="000A59D7">
        <w:rPr>
          <w:sz w:val="22"/>
        </w:rPr>
        <w:t xml:space="preserve">Jednocześnie konsumenci nie dysponują </w:t>
      </w:r>
      <w:r>
        <w:rPr>
          <w:sz w:val="22"/>
        </w:rPr>
        <w:t xml:space="preserve">rzetelną </w:t>
      </w:r>
      <w:r w:rsidR="000A59D7">
        <w:rPr>
          <w:sz w:val="22"/>
        </w:rPr>
        <w:t xml:space="preserve">informacją o tym, po jakim czasie model scoringowy przestaje uwzględniać wcześniejsze zapytania w kalkulacji </w:t>
      </w:r>
      <w:r w:rsidR="000A32E6">
        <w:rPr>
          <w:sz w:val="22"/>
        </w:rPr>
        <w:t>oceny punktowej kredytobiorcy</w:t>
      </w:r>
      <w:r w:rsidR="000A59D7">
        <w:rPr>
          <w:sz w:val="22"/>
        </w:rPr>
        <w:t>.</w:t>
      </w:r>
    </w:p>
    <w:p w14:paraId="260343DA" w14:textId="09D6E38C" w:rsidR="003072CC" w:rsidRDefault="003072CC" w:rsidP="00104AA7">
      <w:pPr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- Od </w:t>
      </w:r>
      <w:r w:rsidR="006D5940">
        <w:rPr>
          <w:sz w:val="22"/>
        </w:rPr>
        <w:t>kilku miesięcy</w:t>
      </w:r>
      <w:r>
        <w:rPr>
          <w:sz w:val="22"/>
        </w:rPr>
        <w:t xml:space="preserve"> analizujemy zasady i warunki oceny zdolności kredytowej, mamy bowiem podejrzenia, </w:t>
      </w:r>
      <w:r w:rsidR="00912419">
        <w:rPr>
          <w:sz w:val="22"/>
        </w:rPr>
        <w:t>że</w:t>
      </w:r>
      <w:r>
        <w:rPr>
          <w:sz w:val="22"/>
        </w:rPr>
        <w:t xml:space="preserve"> model scoringowy </w:t>
      </w:r>
      <w:r w:rsidR="000944C5">
        <w:rPr>
          <w:sz w:val="22"/>
        </w:rPr>
        <w:t>BIK</w:t>
      </w:r>
      <w:r>
        <w:rPr>
          <w:sz w:val="22"/>
        </w:rPr>
        <w:t xml:space="preserve"> może ograniczać konkurencję pomiędzy </w:t>
      </w:r>
      <w:r w:rsidR="00441EBA">
        <w:rPr>
          <w:sz w:val="22"/>
        </w:rPr>
        <w:t>bankami</w:t>
      </w:r>
      <w:r>
        <w:rPr>
          <w:sz w:val="22"/>
        </w:rPr>
        <w:t>. Racjonalny konsument, chcący uzyskać najkorzystniejsze warunki</w:t>
      </w:r>
      <w:r w:rsidR="00EA3F19">
        <w:rPr>
          <w:sz w:val="22"/>
        </w:rPr>
        <w:t xml:space="preserve"> </w:t>
      </w:r>
      <w:r w:rsidR="006D5940">
        <w:rPr>
          <w:sz w:val="22"/>
        </w:rPr>
        <w:t xml:space="preserve">np. kredytu hipotecznego </w:t>
      </w:r>
      <w:r w:rsidR="00EA3F19">
        <w:rPr>
          <w:sz w:val="22"/>
        </w:rPr>
        <w:t>składa zapytania kredytowe w kilku bankach. Często konsument nie zdaje jednak sobie sprawy</w:t>
      </w:r>
      <w:r>
        <w:rPr>
          <w:sz w:val="22"/>
        </w:rPr>
        <w:t>,</w:t>
      </w:r>
      <w:r w:rsidR="00EA3F19">
        <w:rPr>
          <w:sz w:val="22"/>
        </w:rPr>
        <w:t xml:space="preserve"> że każde kolejne zapytanie </w:t>
      </w:r>
      <w:r>
        <w:rPr>
          <w:sz w:val="22"/>
        </w:rPr>
        <w:t>może obniż</w:t>
      </w:r>
      <w:r w:rsidR="00EA3F19">
        <w:rPr>
          <w:sz w:val="22"/>
        </w:rPr>
        <w:t>yć jego ocenę punktową w scoringu</w:t>
      </w:r>
      <w:r>
        <w:rPr>
          <w:sz w:val="22"/>
        </w:rPr>
        <w:t xml:space="preserve">, </w:t>
      </w:r>
      <w:r w:rsidR="00EA3F19">
        <w:rPr>
          <w:sz w:val="22"/>
        </w:rPr>
        <w:t xml:space="preserve">i to </w:t>
      </w:r>
      <w:r>
        <w:rPr>
          <w:sz w:val="22"/>
        </w:rPr>
        <w:t xml:space="preserve">niezależnie od tego, czy </w:t>
      </w:r>
      <w:r w:rsidR="00EA3F19">
        <w:rPr>
          <w:sz w:val="22"/>
        </w:rPr>
        <w:t>w którymś z banków</w:t>
      </w:r>
      <w:r>
        <w:rPr>
          <w:sz w:val="22"/>
        </w:rPr>
        <w:t xml:space="preserve"> otrzymał </w:t>
      </w:r>
      <w:r w:rsidR="006D5940">
        <w:rPr>
          <w:sz w:val="22"/>
        </w:rPr>
        <w:t xml:space="preserve">już </w:t>
      </w:r>
      <w:r>
        <w:rPr>
          <w:sz w:val="22"/>
        </w:rPr>
        <w:t>decyzję kredytową. Porównując t</w:t>
      </w:r>
      <w:r w:rsidR="00F205F4">
        <w:rPr>
          <w:sz w:val="22"/>
        </w:rPr>
        <w:t>ą</w:t>
      </w:r>
      <w:r>
        <w:rPr>
          <w:sz w:val="22"/>
        </w:rPr>
        <w:t xml:space="preserve"> sytuację do innych rynków, to tak jakby sam fakt </w:t>
      </w:r>
      <w:r w:rsidR="003C6CE1">
        <w:rPr>
          <w:sz w:val="22"/>
        </w:rPr>
        <w:t xml:space="preserve">zwrócenia się </w:t>
      </w:r>
      <w:r>
        <w:rPr>
          <w:sz w:val="22"/>
        </w:rPr>
        <w:t xml:space="preserve">o </w:t>
      </w:r>
      <w:r w:rsidR="00A53414">
        <w:rPr>
          <w:sz w:val="22"/>
        </w:rPr>
        <w:t>wycenę</w:t>
      </w:r>
      <w:r>
        <w:rPr>
          <w:sz w:val="22"/>
        </w:rPr>
        <w:t xml:space="preserve"> polisy </w:t>
      </w:r>
      <w:r w:rsidR="003C6CE1">
        <w:rPr>
          <w:sz w:val="22"/>
        </w:rPr>
        <w:t xml:space="preserve">do </w:t>
      </w:r>
      <w:r>
        <w:rPr>
          <w:sz w:val="22"/>
        </w:rPr>
        <w:t xml:space="preserve">kilku </w:t>
      </w:r>
      <w:r w:rsidR="003C6CE1">
        <w:rPr>
          <w:sz w:val="22"/>
        </w:rPr>
        <w:t xml:space="preserve">zakładów </w:t>
      </w:r>
      <w:r>
        <w:rPr>
          <w:sz w:val="22"/>
        </w:rPr>
        <w:t>ubezpiecz</w:t>
      </w:r>
      <w:r w:rsidR="003C6CE1">
        <w:rPr>
          <w:sz w:val="22"/>
        </w:rPr>
        <w:t>eń</w:t>
      </w:r>
      <w:r>
        <w:rPr>
          <w:sz w:val="22"/>
        </w:rPr>
        <w:t xml:space="preserve"> jednocześnie</w:t>
      </w:r>
      <w:r w:rsidR="003C6CE1">
        <w:rPr>
          <w:sz w:val="22"/>
        </w:rPr>
        <w:t>,</w:t>
      </w:r>
      <w:r>
        <w:rPr>
          <w:sz w:val="22"/>
        </w:rPr>
        <w:t xml:space="preserve"> bądź skierowania zapytań o ofertę abonamentu telefonicznego do firm telekomunikacyjnych</w:t>
      </w:r>
      <w:r w:rsidR="006D5940">
        <w:rPr>
          <w:sz w:val="22"/>
        </w:rPr>
        <w:t>,</w:t>
      </w:r>
      <w:r>
        <w:rPr>
          <w:sz w:val="22"/>
        </w:rPr>
        <w:t xml:space="preserve"> skutkował wymianą informacji o kliencie i pogorszeniem warunków kolejnych przekazywanych mu </w:t>
      </w:r>
      <w:r w:rsidR="00CC6EFC">
        <w:rPr>
          <w:sz w:val="22"/>
        </w:rPr>
        <w:t>ofert</w:t>
      </w:r>
      <w:r w:rsidR="0061017C">
        <w:rPr>
          <w:sz w:val="22"/>
        </w:rPr>
        <w:t xml:space="preserve"> </w:t>
      </w:r>
      <w:r>
        <w:rPr>
          <w:sz w:val="22"/>
        </w:rPr>
        <w:t>- wyjaśnia Prezes UOKiK Tomasz Chróstny.</w:t>
      </w:r>
    </w:p>
    <w:p w14:paraId="4401BF7E" w14:textId="7661FD89" w:rsidR="000A59D7" w:rsidRDefault="003939DF" w:rsidP="00104AA7">
      <w:pPr>
        <w:spacing w:after="120" w:line="360" w:lineRule="auto"/>
        <w:jc w:val="both"/>
        <w:rPr>
          <w:sz w:val="22"/>
        </w:rPr>
      </w:pPr>
      <w:r w:rsidRPr="003D5B72">
        <w:rPr>
          <w:sz w:val="22"/>
        </w:rPr>
        <w:t xml:space="preserve">Jeśli </w:t>
      </w:r>
      <w:r w:rsidR="00910FB4">
        <w:rPr>
          <w:sz w:val="22"/>
        </w:rPr>
        <w:t xml:space="preserve">zatem </w:t>
      </w:r>
      <w:r>
        <w:rPr>
          <w:sz w:val="22"/>
        </w:rPr>
        <w:t>konsument</w:t>
      </w:r>
      <w:r w:rsidR="00907F72">
        <w:rPr>
          <w:sz w:val="22"/>
        </w:rPr>
        <w:t xml:space="preserve"> złoży wniosk</w:t>
      </w:r>
      <w:r w:rsidR="0096393A">
        <w:rPr>
          <w:sz w:val="22"/>
        </w:rPr>
        <w:t>i</w:t>
      </w:r>
      <w:r w:rsidR="00907F72">
        <w:rPr>
          <w:sz w:val="22"/>
        </w:rPr>
        <w:t xml:space="preserve"> </w:t>
      </w:r>
      <w:r>
        <w:rPr>
          <w:sz w:val="22"/>
        </w:rPr>
        <w:t xml:space="preserve">w </w:t>
      </w:r>
      <w:r w:rsidR="000A59D7">
        <w:rPr>
          <w:sz w:val="22"/>
        </w:rPr>
        <w:t xml:space="preserve">kilku czy kilkunastu </w:t>
      </w:r>
      <w:r>
        <w:rPr>
          <w:sz w:val="22"/>
        </w:rPr>
        <w:t>instytucjach finansowych</w:t>
      </w:r>
      <w:r w:rsidRPr="003D5B72">
        <w:rPr>
          <w:sz w:val="22"/>
        </w:rPr>
        <w:t xml:space="preserve">, </w:t>
      </w:r>
      <w:r w:rsidR="00910FB4">
        <w:rPr>
          <w:sz w:val="22"/>
        </w:rPr>
        <w:t xml:space="preserve">aby porównać </w:t>
      </w:r>
      <w:r w:rsidR="000A59D7">
        <w:rPr>
          <w:sz w:val="22"/>
        </w:rPr>
        <w:t>ich oferty i wybrać</w:t>
      </w:r>
      <w:r w:rsidR="00910FB4">
        <w:rPr>
          <w:sz w:val="22"/>
        </w:rPr>
        <w:t xml:space="preserve"> najlepsz</w:t>
      </w:r>
      <w:r w:rsidR="000A59D7">
        <w:rPr>
          <w:sz w:val="22"/>
        </w:rPr>
        <w:t>ą</w:t>
      </w:r>
      <w:r w:rsidR="00910FB4">
        <w:rPr>
          <w:sz w:val="22"/>
        </w:rPr>
        <w:t xml:space="preserve">, </w:t>
      </w:r>
      <w:r w:rsidR="000A59D7">
        <w:rPr>
          <w:sz w:val="22"/>
        </w:rPr>
        <w:t xml:space="preserve">naraża się na </w:t>
      </w:r>
      <w:r w:rsidR="00907F72">
        <w:rPr>
          <w:sz w:val="22"/>
        </w:rPr>
        <w:t>istotn</w:t>
      </w:r>
      <w:r w:rsidR="000A59D7">
        <w:rPr>
          <w:sz w:val="22"/>
        </w:rPr>
        <w:t>e</w:t>
      </w:r>
      <w:r w:rsidR="00907F72">
        <w:rPr>
          <w:sz w:val="22"/>
        </w:rPr>
        <w:t xml:space="preserve"> </w:t>
      </w:r>
      <w:r w:rsidRPr="003D5B72">
        <w:rPr>
          <w:sz w:val="22"/>
        </w:rPr>
        <w:t>obniżenie oceny punktowej BIK</w:t>
      </w:r>
      <w:r>
        <w:rPr>
          <w:sz w:val="22"/>
        </w:rPr>
        <w:t>, a tym samym negatywn</w:t>
      </w:r>
      <w:r w:rsidR="00910FB4">
        <w:rPr>
          <w:sz w:val="22"/>
        </w:rPr>
        <w:t>ą ocen</w:t>
      </w:r>
      <w:r w:rsidR="00912419">
        <w:rPr>
          <w:sz w:val="22"/>
        </w:rPr>
        <w:t>ę</w:t>
      </w:r>
      <w:r>
        <w:rPr>
          <w:sz w:val="22"/>
        </w:rPr>
        <w:t xml:space="preserve"> jego zdolności kredytowej</w:t>
      </w:r>
      <w:r w:rsidR="00EA3F19">
        <w:rPr>
          <w:sz w:val="22"/>
        </w:rPr>
        <w:t xml:space="preserve"> w </w:t>
      </w:r>
      <w:r w:rsidR="006D5940">
        <w:rPr>
          <w:sz w:val="22"/>
        </w:rPr>
        <w:t>całym sektorze bankowym</w:t>
      </w:r>
      <w:r>
        <w:rPr>
          <w:sz w:val="22"/>
        </w:rPr>
        <w:t xml:space="preserve">. </w:t>
      </w:r>
      <w:r w:rsidR="00EA3F19">
        <w:rPr>
          <w:sz w:val="22"/>
        </w:rPr>
        <w:t>T</w:t>
      </w:r>
      <w:r w:rsidR="00EA3F19" w:rsidRPr="0049317F">
        <w:rPr>
          <w:sz w:val="22"/>
        </w:rPr>
        <w:t xml:space="preserve">aki mechanizm może być już sam w sobie antykonkurencyjny, </w:t>
      </w:r>
      <w:r w:rsidR="006D5940">
        <w:rPr>
          <w:sz w:val="22"/>
        </w:rPr>
        <w:t>bowiem</w:t>
      </w:r>
      <w:r w:rsidR="00EA3F19" w:rsidRPr="0049317F">
        <w:rPr>
          <w:sz w:val="22"/>
        </w:rPr>
        <w:t xml:space="preserve"> zniechęca lub wręcz karze świadomych konsumentów poszukujących najlepszych ofert, </w:t>
      </w:r>
      <w:r w:rsidR="006D5940">
        <w:rPr>
          <w:sz w:val="22"/>
        </w:rPr>
        <w:t>zaś</w:t>
      </w:r>
      <w:r w:rsidR="00EA3F19" w:rsidRPr="0049317F">
        <w:rPr>
          <w:sz w:val="22"/>
        </w:rPr>
        <w:t xml:space="preserve"> przedsiębiorc</w:t>
      </w:r>
      <w:r w:rsidR="00443733">
        <w:rPr>
          <w:sz w:val="22"/>
        </w:rPr>
        <w:t>om umożliwia</w:t>
      </w:r>
      <w:r w:rsidR="00EA3F19" w:rsidRPr="0049317F">
        <w:rPr>
          <w:sz w:val="22"/>
        </w:rPr>
        <w:t xml:space="preserve"> </w:t>
      </w:r>
      <w:r w:rsidR="006D5940">
        <w:rPr>
          <w:sz w:val="22"/>
        </w:rPr>
        <w:t>wymi</w:t>
      </w:r>
      <w:r w:rsidR="00443733">
        <w:rPr>
          <w:sz w:val="22"/>
        </w:rPr>
        <w:t>anę informacji</w:t>
      </w:r>
      <w:r w:rsidR="00EA3F19">
        <w:rPr>
          <w:sz w:val="22"/>
        </w:rPr>
        <w:t xml:space="preserve"> </w:t>
      </w:r>
      <w:r w:rsidR="000A32E6">
        <w:rPr>
          <w:sz w:val="22"/>
        </w:rPr>
        <w:t xml:space="preserve">o tym, że </w:t>
      </w:r>
      <w:r w:rsidR="00EA3F19">
        <w:rPr>
          <w:sz w:val="22"/>
        </w:rPr>
        <w:t>konsument w danym okresie składał zapytania do</w:t>
      </w:r>
      <w:r w:rsidR="00EA3F19" w:rsidRPr="0049317F">
        <w:rPr>
          <w:sz w:val="22"/>
        </w:rPr>
        <w:t xml:space="preserve"> </w:t>
      </w:r>
      <w:r w:rsidR="00EA3F19" w:rsidRPr="0049317F">
        <w:rPr>
          <w:sz w:val="22"/>
        </w:rPr>
        <w:lastRenderedPageBreak/>
        <w:t>innych kredytodawców.</w:t>
      </w:r>
      <w:r w:rsidR="00443733" w:rsidRPr="00443733">
        <w:rPr>
          <w:sz w:val="22"/>
        </w:rPr>
        <w:t xml:space="preserve"> </w:t>
      </w:r>
      <w:r w:rsidR="00443733">
        <w:rPr>
          <w:sz w:val="22"/>
        </w:rPr>
        <w:t>O</w:t>
      </w:r>
      <w:r w:rsidR="00443733" w:rsidRPr="00941B13">
        <w:rPr>
          <w:sz w:val="22"/>
        </w:rPr>
        <w:t>becny model może</w:t>
      </w:r>
      <w:r w:rsidR="00443733">
        <w:rPr>
          <w:sz w:val="22"/>
        </w:rPr>
        <w:t xml:space="preserve"> zatem</w:t>
      </w:r>
      <w:r w:rsidR="00443733" w:rsidRPr="00941B13">
        <w:rPr>
          <w:sz w:val="22"/>
        </w:rPr>
        <w:t xml:space="preserve"> dyskryminować klientów szczególnie aktywnych, którzy chcą poznać i porównać oferty </w:t>
      </w:r>
      <w:r w:rsidR="00443733">
        <w:rPr>
          <w:sz w:val="22"/>
        </w:rPr>
        <w:t xml:space="preserve">produktów finansowych </w:t>
      </w:r>
      <w:r w:rsidR="00443733" w:rsidRPr="00941B13">
        <w:rPr>
          <w:sz w:val="22"/>
        </w:rPr>
        <w:t>z kilku banków</w:t>
      </w:r>
      <w:r w:rsidR="00443733">
        <w:rPr>
          <w:sz w:val="22"/>
        </w:rPr>
        <w:t>, a następnie wybrać tą, która jest dla nich najkorzystniejsza.</w:t>
      </w:r>
    </w:p>
    <w:p w14:paraId="719E5A67" w14:textId="3C9A631F" w:rsidR="0049317F" w:rsidRDefault="00EF4621" w:rsidP="00104AA7">
      <w:pPr>
        <w:spacing w:after="120" w:line="360" w:lineRule="auto"/>
        <w:jc w:val="both"/>
        <w:rPr>
          <w:sz w:val="22"/>
        </w:rPr>
      </w:pPr>
      <w:r w:rsidRPr="0049317F">
        <w:rPr>
          <w:sz w:val="22"/>
        </w:rPr>
        <w:t>Ta kwestia może być szczególnie bolesna dla konsumentów ubiegających się o kredyt hipoteczny</w:t>
      </w:r>
      <w:r w:rsidR="00D63386">
        <w:rPr>
          <w:sz w:val="22"/>
        </w:rPr>
        <w:t xml:space="preserve">, </w:t>
      </w:r>
      <w:r w:rsidR="0010678A">
        <w:rPr>
          <w:sz w:val="22"/>
        </w:rPr>
        <w:t xml:space="preserve">gdyż najczęściej muszą go uzyskać w </w:t>
      </w:r>
      <w:r w:rsidR="006D5940">
        <w:rPr>
          <w:sz w:val="22"/>
        </w:rPr>
        <w:t>relatywnie krótkim</w:t>
      </w:r>
      <w:r w:rsidR="0010678A">
        <w:rPr>
          <w:sz w:val="22"/>
        </w:rPr>
        <w:t xml:space="preserve"> czasie ze względu na </w:t>
      </w:r>
      <w:r w:rsidR="00D63386">
        <w:rPr>
          <w:sz w:val="22"/>
        </w:rPr>
        <w:t>ogr</w:t>
      </w:r>
      <w:r w:rsidR="0010678A">
        <w:rPr>
          <w:sz w:val="22"/>
        </w:rPr>
        <w:t>a</w:t>
      </w:r>
      <w:r w:rsidR="00D63386">
        <w:rPr>
          <w:sz w:val="22"/>
        </w:rPr>
        <w:t>niczony termin</w:t>
      </w:r>
      <w:r w:rsidR="0010678A">
        <w:rPr>
          <w:sz w:val="22"/>
        </w:rPr>
        <w:t xml:space="preserve"> </w:t>
      </w:r>
      <w:r w:rsidR="00D63386">
        <w:rPr>
          <w:sz w:val="22"/>
        </w:rPr>
        <w:t xml:space="preserve">rezerwacji </w:t>
      </w:r>
      <w:r w:rsidR="0010678A">
        <w:rPr>
          <w:sz w:val="22"/>
        </w:rPr>
        <w:t>mieszkania</w:t>
      </w:r>
      <w:r w:rsidRPr="0049317F">
        <w:rPr>
          <w:sz w:val="22"/>
        </w:rPr>
        <w:t>.</w:t>
      </w:r>
      <w:r>
        <w:rPr>
          <w:sz w:val="22"/>
        </w:rPr>
        <w:t xml:space="preserve"> </w:t>
      </w:r>
      <w:r w:rsidR="00443733">
        <w:rPr>
          <w:sz w:val="22"/>
        </w:rPr>
        <w:t xml:space="preserve">Ze względu na charakter produktu zrozumiałe jest, iż racjonalny konsument będzie dążył do </w:t>
      </w:r>
      <w:r w:rsidR="00FB79C5">
        <w:rPr>
          <w:sz w:val="22"/>
        </w:rPr>
        <w:t>pozyskania</w:t>
      </w:r>
      <w:r w:rsidR="00443733">
        <w:rPr>
          <w:sz w:val="22"/>
        </w:rPr>
        <w:t xml:space="preserve"> większej ilości </w:t>
      </w:r>
      <w:r w:rsidR="00FB79C5">
        <w:rPr>
          <w:sz w:val="22"/>
        </w:rPr>
        <w:t xml:space="preserve">wiążących </w:t>
      </w:r>
      <w:r w:rsidR="00443733">
        <w:rPr>
          <w:sz w:val="22"/>
        </w:rPr>
        <w:t xml:space="preserve">ofert, tak aby </w:t>
      </w:r>
      <w:r w:rsidR="00FB79C5">
        <w:rPr>
          <w:sz w:val="22"/>
        </w:rPr>
        <w:t>ostatecznie zaciągnąć kredyt na</w:t>
      </w:r>
      <w:r w:rsidR="00443733">
        <w:rPr>
          <w:sz w:val="22"/>
        </w:rPr>
        <w:t xml:space="preserve"> najkorzystniejsz</w:t>
      </w:r>
      <w:r w:rsidR="00FB79C5">
        <w:rPr>
          <w:sz w:val="22"/>
        </w:rPr>
        <w:t>ych</w:t>
      </w:r>
      <w:r w:rsidR="00443733">
        <w:rPr>
          <w:sz w:val="22"/>
        </w:rPr>
        <w:t xml:space="preserve"> warunk</w:t>
      </w:r>
      <w:r w:rsidR="00FB79C5">
        <w:rPr>
          <w:sz w:val="22"/>
        </w:rPr>
        <w:t>ach</w:t>
      </w:r>
      <w:r w:rsidR="00443733">
        <w:rPr>
          <w:sz w:val="22"/>
        </w:rPr>
        <w:t xml:space="preserve"> finansow</w:t>
      </w:r>
      <w:r w:rsidR="00FB79C5">
        <w:rPr>
          <w:sz w:val="22"/>
        </w:rPr>
        <w:t>ych</w:t>
      </w:r>
      <w:r w:rsidR="00443733">
        <w:rPr>
          <w:sz w:val="22"/>
        </w:rPr>
        <w:t xml:space="preserve">. Tym samym rozsądny konsument może być </w:t>
      </w:r>
      <w:r w:rsidR="00FB79C5">
        <w:rPr>
          <w:sz w:val="22"/>
        </w:rPr>
        <w:t xml:space="preserve">za swoją aktywność </w:t>
      </w:r>
      <w:r w:rsidR="00443733">
        <w:rPr>
          <w:sz w:val="22"/>
        </w:rPr>
        <w:t>karany przez model scoringowy BIK o</w:t>
      </w:r>
      <w:r w:rsidRPr="0049317F">
        <w:rPr>
          <w:sz w:val="22"/>
        </w:rPr>
        <w:t>bniż</w:t>
      </w:r>
      <w:r w:rsidR="00FB79C5">
        <w:rPr>
          <w:sz w:val="22"/>
        </w:rPr>
        <w:t>eniem</w:t>
      </w:r>
      <w:r w:rsidRPr="0049317F">
        <w:rPr>
          <w:sz w:val="22"/>
        </w:rPr>
        <w:t xml:space="preserve"> ocen</w:t>
      </w:r>
      <w:r w:rsidR="00FB79C5">
        <w:rPr>
          <w:sz w:val="22"/>
        </w:rPr>
        <w:t>y</w:t>
      </w:r>
      <w:r w:rsidRPr="0049317F">
        <w:rPr>
          <w:sz w:val="22"/>
        </w:rPr>
        <w:t xml:space="preserve"> </w:t>
      </w:r>
      <w:r w:rsidR="00FB79C5">
        <w:rPr>
          <w:sz w:val="22"/>
        </w:rPr>
        <w:t>kredytowej</w:t>
      </w:r>
      <w:r w:rsidRPr="0049317F">
        <w:rPr>
          <w:sz w:val="22"/>
        </w:rPr>
        <w:t xml:space="preserve">, a co za tym idzie </w:t>
      </w:r>
      <w:r w:rsidR="00FB79C5">
        <w:rPr>
          <w:sz w:val="22"/>
        </w:rPr>
        <w:t xml:space="preserve">otrzymać </w:t>
      </w:r>
      <w:r w:rsidRPr="0049317F">
        <w:rPr>
          <w:sz w:val="22"/>
        </w:rPr>
        <w:t>gorsz</w:t>
      </w:r>
      <w:r w:rsidR="00FB79C5">
        <w:rPr>
          <w:sz w:val="22"/>
        </w:rPr>
        <w:t>e</w:t>
      </w:r>
      <w:r w:rsidRPr="0049317F">
        <w:rPr>
          <w:sz w:val="22"/>
        </w:rPr>
        <w:t xml:space="preserve"> warunki kredytu</w:t>
      </w:r>
      <w:r w:rsidR="00FB79C5">
        <w:rPr>
          <w:sz w:val="22"/>
        </w:rPr>
        <w:t xml:space="preserve"> bądź</w:t>
      </w:r>
      <w:r w:rsidRPr="0049317F">
        <w:rPr>
          <w:sz w:val="22"/>
        </w:rPr>
        <w:t xml:space="preserve"> odmow</w:t>
      </w:r>
      <w:r w:rsidR="00FB79C5">
        <w:rPr>
          <w:sz w:val="22"/>
        </w:rPr>
        <w:t>ę jego</w:t>
      </w:r>
      <w:r w:rsidRPr="0049317F">
        <w:rPr>
          <w:sz w:val="22"/>
        </w:rPr>
        <w:t xml:space="preserve"> udzielenia.</w:t>
      </w:r>
    </w:p>
    <w:p w14:paraId="52D411AA" w14:textId="31890C01" w:rsidR="00104AA7" w:rsidRPr="00104AA7" w:rsidRDefault="003072CC" w:rsidP="00104AA7">
      <w:pPr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F205F4">
        <w:rPr>
          <w:sz w:val="22"/>
        </w:rPr>
        <w:t>Analizowane</w:t>
      </w:r>
      <w:r>
        <w:rPr>
          <w:sz w:val="22"/>
        </w:rPr>
        <w:t xml:space="preserve"> przez nas mechanizmy mogą trwać od lat i mieć </w:t>
      </w:r>
      <w:r w:rsidR="000A32E6">
        <w:rPr>
          <w:sz w:val="22"/>
        </w:rPr>
        <w:t>wymierne konsekwencje</w:t>
      </w:r>
      <w:r w:rsidR="002B7A25">
        <w:rPr>
          <w:sz w:val="22"/>
        </w:rPr>
        <w:t xml:space="preserve">. Przykładowo, jeden z konsumentów skarżących się do UOKiK chciał </w:t>
      </w:r>
      <w:r w:rsidR="00104AA7" w:rsidRPr="00104AA7">
        <w:rPr>
          <w:sz w:val="22"/>
        </w:rPr>
        <w:t xml:space="preserve">zapoznać się z propozycjami kredytu konsolidacyjnego w różnych bankach. W wyniku </w:t>
      </w:r>
      <w:r w:rsidR="00EF4621">
        <w:rPr>
          <w:sz w:val="22"/>
        </w:rPr>
        <w:t xml:space="preserve">złożenia </w:t>
      </w:r>
      <w:r w:rsidR="00104AA7" w:rsidRPr="00104AA7">
        <w:rPr>
          <w:sz w:val="22"/>
        </w:rPr>
        <w:t xml:space="preserve">zapytań kierowanych do BIK </w:t>
      </w:r>
      <w:r w:rsidR="00EF4621">
        <w:rPr>
          <w:sz w:val="22"/>
        </w:rPr>
        <w:t xml:space="preserve">przez kilka banków </w:t>
      </w:r>
      <w:r w:rsidR="00104AA7" w:rsidRPr="00104AA7">
        <w:rPr>
          <w:sz w:val="22"/>
        </w:rPr>
        <w:t>w ciągu miesiąca</w:t>
      </w:r>
      <w:r w:rsidR="001B460B">
        <w:rPr>
          <w:sz w:val="22"/>
        </w:rPr>
        <w:t xml:space="preserve"> istotnie</w:t>
      </w:r>
      <w:r w:rsidR="00104AA7" w:rsidRPr="00104AA7">
        <w:rPr>
          <w:sz w:val="22"/>
        </w:rPr>
        <w:t xml:space="preserve"> obniżono mu scoring. Każde kolejne zapytanie prowadziło do dalszego obniżenia oceny, pomimo że konsument w żadnym z banków nie otrzymał odmowy udzielenia kredytu, a historia kredytowa nie wykazywała zaległości w spłacie zobowiązań. </w:t>
      </w:r>
      <w:r w:rsidR="0063138C">
        <w:rPr>
          <w:sz w:val="22"/>
        </w:rPr>
        <w:t>T</w:t>
      </w:r>
      <w:r w:rsidR="00544022">
        <w:rPr>
          <w:sz w:val="22"/>
        </w:rPr>
        <w:t xml:space="preserve">akie działanie </w:t>
      </w:r>
      <w:r w:rsidR="0024212A">
        <w:rPr>
          <w:sz w:val="22"/>
        </w:rPr>
        <w:t xml:space="preserve">przy </w:t>
      </w:r>
      <w:r w:rsidR="00544022">
        <w:rPr>
          <w:sz w:val="22"/>
        </w:rPr>
        <w:t>ocen</w:t>
      </w:r>
      <w:r w:rsidR="003D5B72">
        <w:rPr>
          <w:sz w:val="22"/>
        </w:rPr>
        <w:t>ie</w:t>
      </w:r>
      <w:r w:rsidR="00544022">
        <w:rPr>
          <w:sz w:val="22"/>
        </w:rPr>
        <w:t xml:space="preserve"> zdolności kredytowej </w:t>
      </w:r>
      <w:r w:rsidR="0063138C">
        <w:rPr>
          <w:sz w:val="22"/>
        </w:rPr>
        <w:t xml:space="preserve">jest </w:t>
      </w:r>
      <w:r w:rsidR="000A32E6">
        <w:rPr>
          <w:sz w:val="22"/>
        </w:rPr>
        <w:t xml:space="preserve">trudne do wytłumaczenia </w:t>
      </w:r>
      <w:r w:rsidR="003C6173">
        <w:rPr>
          <w:sz w:val="22"/>
        </w:rPr>
        <w:t>i może służyć innym celom aniżeli wyłącznie ocena standingu finansowego konsumenta</w:t>
      </w:r>
      <w:r w:rsidR="0063138C">
        <w:rPr>
          <w:sz w:val="22"/>
        </w:rPr>
        <w:t xml:space="preserve"> – </w:t>
      </w:r>
      <w:r>
        <w:rPr>
          <w:sz w:val="22"/>
        </w:rPr>
        <w:t>dodaje</w:t>
      </w:r>
      <w:r w:rsidR="0063138C">
        <w:rPr>
          <w:sz w:val="22"/>
        </w:rPr>
        <w:t xml:space="preserve"> Prezes UOKiK Tomasz Chróstny. </w:t>
      </w:r>
    </w:p>
    <w:p w14:paraId="251770C3" w14:textId="09D96372" w:rsidR="002B7A25" w:rsidRPr="000A59D7" w:rsidRDefault="007C3372" w:rsidP="00104AA7">
      <w:pPr>
        <w:spacing w:after="120" w:line="360" w:lineRule="auto"/>
        <w:jc w:val="both"/>
        <w:rPr>
          <w:sz w:val="22"/>
        </w:rPr>
      </w:pPr>
      <w:r w:rsidRPr="00912419">
        <w:rPr>
          <w:color w:val="000000"/>
          <w:sz w:val="22"/>
        </w:rPr>
        <w:t>W rozpo</w:t>
      </w:r>
      <w:r w:rsidR="00F9701E" w:rsidRPr="00912419">
        <w:rPr>
          <w:color w:val="000000"/>
          <w:sz w:val="22"/>
        </w:rPr>
        <w:t>czętym postępowaniu UOK</w:t>
      </w:r>
      <w:r w:rsidR="003D5B72" w:rsidRPr="00912419">
        <w:rPr>
          <w:color w:val="000000"/>
          <w:sz w:val="22"/>
        </w:rPr>
        <w:t>i</w:t>
      </w:r>
      <w:r w:rsidR="00F9701E" w:rsidRPr="00912419">
        <w:rPr>
          <w:color w:val="000000"/>
          <w:sz w:val="22"/>
        </w:rPr>
        <w:t>K</w:t>
      </w:r>
      <w:r w:rsidRPr="00912419">
        <w:rPr>
          <w:color w:val="000000"/>
          <w:sz w:val="22"/>
        </w:rPr>
        <w:t xml:space="preserve"> sprawdza</w:t>
      </w:r>
      <w:r w:rsidR="002B7A25" w:rsidRPr="00912419">
        <w:rPr>
          <w:color w:val="000000"/>
          <w:sz w:val="22"/>
        </w:rPr>
        <w:t>,</w:t>
      </w:r>
      <w:r w:rsidRPr="00912419">
        <w:rPr>
          <w:color w:val="000000"/>
          <w:sz w:val="22"/>
        </w:rPr>
        <w:t xml:space="preserve"> czy</w:t>
      </w:r>
      <w:r w:rsidR="00EF4621">
        <w:rPr>
          <w:color w:val="000000"/>
          <w:sz w:val="22"/>
        </w:rPr>
        <w:t xml:space="preserve"> taki</w:t>
      </w:r>
      <w:r w:rsidRPr="00912419">
        <w:rPr>
          <w:color w:val="000000"/>
          <w:sz w:val="22"/>
        </w:rPr>
        <w:t xml:space="preserve"> model oceny scoringowej ma charakter praktyki ograniczającej konkurencję</w:t>
      </w:r>
      <w:r w:rsidR="000A59D7" w:rsidRPr="00912419">
        <w:rPr>
          <w:color w:val="000000"/>
          <w:sz w:val="22"/>
        </w:rPr>
        <w:t>. W</w:t>
      </w:r>
      <w:r w:rsidRPr="00912419">
        <w:rPr>
          <w:color w:val="000000"/>
          <w:sz w:val="22"/>
        </w:rPr>
        <w:t xml:space="preserve"> szczególności</w:t>
      </w:r>
      <w:r w:rsidR="000A59D7" w:rsidRPr="00912419">
        <w:rPr>
          <w:color w:val="000000"/>
          <w:sz w:val="22"/>
        </w:rPr>
        <w:t>,</w:t>
      </w:r>
      <w:r w:rsidRPr="00912419">
        <w:rPr>
          <w:color w:val="000000"/>
          <w:sz w:val="22"/>
        </w:rPr>
        <w:t xml:space="preserve"> czy </w:t>
      </w:r>
      <w:r w:rsidR="002B7A25" w:rsidRPr="00912419">
        <w:rPr>
          <w:color w:val="000000"/>
          <w:sz w:val="22"/>
        </w:rPr>
        <w:t xml:space="preserve">za jego pomocą </w:t>
      </w:r>
      <w:r w:rsidRPr="00912419">
        <w:rPr>
          <w:color w:val="000000"/>
          <w:sz w:val="22"/>
        </w:rPr>
        <w:t xml:space="preserve">nie dochodzi do koordynacji i antykonkurencyjnej wymiany informacji </w:t>
      </w:r>
      <w:r w:rsidR="00F9701E" w:rsidRPr="00912419">
        <w:rPr>
          <w:color w:val="000000"/>
          <w:sz w:val="22"/>
        </w:rPr>
        <w:t xml:space="preserve">o zapytaniach ofertowych klientów </w:t>
      </w:r>
      <w:r w:rsidRPr="00912419">
        <w:rPr>
          <w:color w:val="000000"/>
          <w:sz w:val="22"/>
        </w:rPr>
        <w:t>pomiędzy podmiotami działającymi na rynku finansowym.</w:t>
      </w:r>
      <w:r w:rsidR="00F9701E" w:rsidRPr="000A59D7">
        <w:rPr>
          <w:sz w:val="22"/>
        </w:rPr>
        <w:t xml:space="preserve"> </w:t>
      </w:r>
      <w:r w:rsidR="00104AA7" w:rsidRPr="000A59D7">
        <w:rPr>
          <w:sz w:val="22"/>
        </w:rPr>
        <w:t>Problem może dotyczyć zarówno kredytów konsumenckich</w:t>
      </w:r>
      <w:r w:rsidR="002B7A25" w:rsidRPr="000A59D7">
        <w:rPr>
          <w:sz w:val="22"/>
        </w:rPr>
        <w:t>,</w:t>
      </w:r>
      <w:r w:rsidR="00104AA7" w:rsidRPr="000A59D7">
        <w:rPr>
          <w:sz w:val="22"/>
        </w:rPr>
        <w:t xml:space="preserve"> jak i hipotecznych. </w:t>
      </w:r>
    </w:p>
    <w:p w14:paraId="2CB68458" w14:textId="3304B7F9" w:rsidR="00104AA7" w:rsidRPr="00104AA7" w:rsidRDefault="0063138C" w:rsidP="00104AA7">
      <w:pPr>
        <w:spacing w:after="120" w:line="360" w:lineRule="auto"/>
        <w:jc w:val="both"/>
        <w:rPr>
          <w:sz w:val="22"/>
        </w:rPr>
      </w:pPr>
      <w:r>
        <w:rPr>
          <w:sz w:val="22"/>
        </w:rPr>
        <w:t>Postępowanie wyjaśniające prowadzone jest w sprawie</w:t>
      </w:r>
      <w:r w:rsidR="002B7A25">
        <w:rPr>
          <w:sz w:val="22"/>
        </w:rPr>
        <w:t>,</w:t>
      </w:r>
      <w:r w:rsidR="001D1904">
        <w:rPr>
          <w:sz w:val="22"/>
        </w:rPr>
        <w:t xml:space="preserve"> a nie przeciwko konkretnym podmiotom. </w:t>
      </w:r>
      <w:r>
        <w:rPr>
          <w:sz w:val="22"/>
        </w:rPr>
        <w:t>J</w:t>
      </w:r>
      <w:r w:rsidR="00104AA7" w:rsidRPr="00104AA7">
        <w:rPr>
          <w:sz w:val="22"/>
        </w:rPr>
        <w:t>eśli podejrzenia się potwierdzą</w:t>
      </w:r>
      <w:r w:rsidR="002B7A25">
        <w:rPr>
          <w:sz w:val="22"/>
        </w:rPr>
        <w:t>,</w:t>
      </w:r>
      <w:r w:rsidR="00104AA7" w:rsidRPr="00104AA7">
        <w:rPr>
          <w:sz w:val="22"/>
        </w:rPr>
        <w:t xml:space="preserve"> </w:t>
      </w:r>
      <w:r w:rsidR="00B87BAE">
        <w:rPr>
          <w:sz w:val="22"/>
        </w:rPr>
        <w:t>Prezes UOKiK może wszcząć</w:t>
      </w:r>
      <w:r w:rsidR="00B87BAE" w:rsidRPr="00104AA7">
        <w:rPr>
          <w:sz w:val="22"/>
        </w:rPr>
        <w:t xml:space="preserve"> postępowani</w:t>
      </w:r>
      <w:r w:rsidR="00B87BAE">
        <w:rPr>
          <w:sz w:val="22"/>
        </w:rPr>
        <w:t>e</w:t>
      </w:r>
      <w:r w:rsidR="00B87BAE" w:rsidRPr="00104AA7">
        <w:rPr>
          <w:sz w:val="22"/>
        </w:rPr>
        <w:t xml:space="preserve"> antymonopolowe</w:t>
      </w:r>
      <w:r>
        <w:rPr>
          <w:sz w:val="22"/>
        </w:rPr>
        <w:t>, które może zakończyć się sankcją do 10 proc. obrotu</w:t>
      </w:r>
      <w:r w:rsidR="001D1904">
        <w:rPr>
          <w:sz w:val="22"/>
        </w:rPr>
        <w:t xml:space="preserve"> w przypadku stwierdzenia praktyk ograniczających konkurencję. </w:t>
      </w:r>
    </w:p>
    <w:p w14:paraId="591A5773" w14:textId="5F010B2A" w:rsidR="00EB7DD3" w:rsidRDefault="00EB7DD3" w:rsidP="00EB7DD3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Dotkliwych </w:t>
      </w:r>
      <w:r w:rsidR="00FD3289">
        <w:rPr>
          <w:rFonts w:ascii="Trebuchet MS" w:hAnsi="Trebuchet MS" w:cs="Arial"/>
          <w:color w:val="000000"/>
          <w:sz w:val="22"/>
          <w:szCs w:val="22"/>
        </w:rPr>
        <w:t xml:space="preserve">kar </w:t>
      </w:r>
      <w:r>
        <w:rPr>
          <w:rFonts w:ascii="Trebuchet MS" w:hAnsi="Trebuchet MS" w:cs="Arial"/>
          <w:color w:val="000000"/>
          <w:sz w:val="22"/>
          <w:szCs w:val="22"/>
        </w:rPr>
        <w:t>można uniknąć dzięki </w:t>
      </w:r>
      <w:hyperlink r:id="rId9" w:history="1">
        <w:r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</w:t>
      </w:r>
      <w:r w:rsidR="002B7A25">
        <w:rPr>
          <w:rFonts w:ascii="Trebuchet MS" w:hAnsi="Trebuchet MS" w:cs="Arial"/>
          <w:color w:val="000000"/>
          <w:sz w:val="22"/>
          <w:szCs w:val="22"/>
        </w:rPr>
        <w:t>e</w:t>
      </w:r>
      <w:r>
        <w:rPr>
          <w:rFonts w:ascii="Trebuchet MS" w:hAnsi="Trebuchet MS" w:cs="Arial"/>
          <w:color w:val="000000"/>
          <w:sz w:val="22"/>
          <w:szCs w:val="22"/>
        </w:rPr>
        <w:t>dżerom odpowiedzialnym za zmowę szansę obniżenia, a niekiedy uniknięcia</w:t>
      </w:r>
      <w:r w:rsidR="002B7A25">
        <w:rPr>
          <w:rFonts w:ascii="Trebuchet MS" w:hAnsi="Trebuchet MS" w:cs="Arial"/>
          <w:color w:val="000000"/>
          <w:sz w:val="22"/>
          <w:szCs w:val="22"/>
        </w:rPr>
        <w:t>,</w:t>
      </w:r>
      <w:r>
        <w:rPr>
          <w:rFonts w:ascii="Trebuchet MS" w:hAnsi="Trebuchet MS" w:cs="Arial"/>
          <w:color w:val="000000"/>
          <w:sz w:val="22"/>
          <w:szCs w:val="22"/>
        </w:rPr>
        <w:t xml:space="preserve"> sankcji pieniężnej. </w:t>
      </w:r>
      <w:r>
        <w:rPr>
          <w:rFonts w:ascii="Trebuchet MS" w:hAnsi="Trebuchet MS" w:cs="Arial"/>
          <w:color w:val="000000"/>
          <w:sz w:val="22"/>
          <w:szCs w:val="22"/>
        </w:rPr>
        <w:lastRenderedPageBreak/>
        <w:t>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6299C3B9" w14:textId="486771F7" w:rsidR="00EB7DD3" w:rsidRDefault="00EB7DD3" w:rsidP="00EB7DD3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0" w:history="1">
        <w:r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>
        <w:rPr>
          <w:rFonts w:ascii="Trebuchet MS" w:hAnsi="Trebuchet MS" w:cs="Arial"/>
          <w:color w:val="000000"/>
          <w:sz w:val="22"/>
          <w:szCs w:val="22"/>
        </w:rPr>
        <w:t> </w:t>
      </w:r>
      <w:bookmarkStart w:id="0" w:name="_GoBack"/>
      <w:bookmarkEnd w:id="0"/>
      <w:r>
        <w:rPr>
          <w:rFonts w:ascii="Trebuchet MS" w:hAnsi="Trebuchet MS" w:cs="Arial"/>
          <w:color w:val="000000"/>
          <w:sz w:val="22"/>
          <w:szCs w:val="22"/>
        </w:rPr>
        <w:t>i skorzystaj z prostego formularza. Zastosowany system zapewnia całkowitą anonimowość, również wobec Urzędu.</w:t>
      </w:r>
    </w:p>
    <w:p w14:paraId="3FF68518" w14:textId="77777777" w:rsidR="00037E6B" w:rsidRPr="0091570B" w:rsidRDefault="00037E6B" w:rsidP="0091570B">
      <w:pPr>
        <w:spacing w:after="240" w:line="360" w:lineRule="auto"/>
        <w:rPr>
          <w:sz w:val="22"/>
        </w:rPr>
      </w:pPr>
    </w:p>
    <w:sectPr w:rsidR="00037E6B" w:rsidRPr="0091570B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39CD4A" w16cex:dateUtc="2025-03-08T19:37:00Z"/>
  <w16cex:commentExtensible w16cex:durableId="0C2834D2" w16cex:dateUtc="2025-03-08T1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9789E" w14:textId="77777777" w:rsidR="004655DF" w:rsidRDefault="004655DF" w:rsidP="002F3CE9">
      <w:r>
        <w:separator/>
      </w:r>
    </w:p>
  </w:endnote>
  <w:endnote w:type="continuationSeparator" w:id="0">
    <w:p w14:paraId="21FD211D" w14:textId="77777777" w:rsidR="004655DF" w:rsidRDefault="004655DF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C91" w14:textId="77777777" w:rsidR="00037E6B" w:rsidRPr="00B512B5" w:rsidRDefault="00B7786B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0457" wp14:editId="78FE41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E2DBD43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BF3F618" w14:textId="77777777" w:rsidR="00037E6B" w:rsidRPr="00B512B5" w:rsidRDefault="00B7786B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C357" w14:textId="77777777" w:rsidR="004655DF" w:rsidRDefault="004655DF" w:rsidP="002F3CE9">
      <w:r>
        <w:separator/>
      </w:r>
    </w:p>
  </w:footnote>
  <w:footnote w:type="continuationSeparator" w:id="0">
    <w:p w14:paraId="2A935AEA" w14:textId="77777777" w:rsidR="004655DF" w:rsidRDefault="004655DF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8243" w14:textId="77777777" w:rsidR="00037E6B" w:rsidRDefault="00B7786B" w:rsidP="00D51C5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BFDF892" wp14:editId="593600B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0524"/>
    <w:multiLevelType w:val="hybridMultilevel"/>
    <w:tmpl w:val="B0121A32"/>
    <w:lvl w:ilvl="0" w:tplc="3070998A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293C"/>
    <w:multiLevelType w:val="hybridMultilevel"/>
    <w:tmpl w:val="3782094C"/>
    <w:lvl w:ilvl="0" w:tplc="113A486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3D89"/>
    <w:multiLevelType w:val="hybridMultilevel"/>
    <w:tmpl w:val="D244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5360"/>
    <w:multiLevelType w:val="hybridMultilevel"/>
    <w:tmpl w:val="91B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E9"/>
    <w:rsid w:val="00037E6B"/>
    <w:rsid w:val="00054855"/>
    <w:rsid w:val="000944C5"/>
    <w:rsid w:val="00095379"/>
    <w:rsid w:val="000A32E6"/>
    <w:rsid w:val="000A59D7"/>
    <w:rsid w:val="000A70C1"/>
    <w:rsid w:val="00104AA7"/>
    <w:rsid w:val="0010678A"/>
    <w:rsid w:val="00121E9E"/>
    <w:rsid w:val="001222A4"/>
    <w:rsid w:val="00127344"/>
    <w:rsid w:val="00145FC4"/>
    <w:rsid w:val="00153686"/>
    <w:rsid w:val="00163287"/>
    <w:rsid w:val="00173907"/>
    <w:rsid w:val="001761C8"/>
    <w:rsid w:val="00187C32"/>
    <w:rsid w:val="001914EB"/>
    <w:rsid w:val="001936C1"/>
    <w:rsid w:val="001B4521"/>
    <w:rsid w:val="001B460B"/>
    <w:rsid w:val="001D1904"/>
    <w:rsid w:val="001D486B"/>
    <w:rsid w:val="001F192C"/>
    <w:rsid w:val="00212576"/>
    <w:rsid w:val="0021502D"/>
    <w:rsid w:val="00220CEE"/>
    <w:rsid w:val="002275CA"/>
    <w:rsid w:val="0024212A"/>
    <w:rsid w:val="00244E81"/>
    <w:rsid w:val="00285AD1"/>
    <w:rsid w:val="002A2022"/>
    <w:rsid w:val="002A4051"/>
    <w:rsid w:val="002B7A25"/>
    <w:rsid w:val="002D1192"/>
    <w:rsid w:val="002D36A4"/>
    <w:rsid w:val="002D7F50"/>
    <w:rsid w:val="002E11A3"/>
    <w:rsid w:val="002E60E3"/>
    <w:rsid w:val="002F3CE9"/>
    <w:rsid w:val="003072CC"/>
    <w:rsid w:val="00310DEA"/>
    <w:rsid w:val="00311049"/>
    <w:rsid w:val="003230F6"/>
    <w:rsid w:val="00354718"/>
    <w:rsid w:val="00362EE5"/>
    <w:rsid w:val="00366A74"/>
    <w:rsid w:val="003939DF"/>
    <w:rsid w:val="0039533C"/>
    <w:rsid w:val="003B387C"/>
    <w:rsid w:val="003C6173"/>
    <w:rsid w:val="003C6CE1"/>
    <w:rsid w:val="003D1D04"/>
    <w:rsid w:val="003D5B72"/>
    <w:rsid w:val="003F76D5"/>
    <w:rsid w:val="004039FB"/>
    <w:rsid w:val="0042544B"/>
    <w:rsid w:val="00432FDF"/>
    <w:rsid w:val="00434DAE"/>
    <w:rsid w:val="00435E2F"/>
    <w:rsid w:val="00441EBA"/>
    <w:rsid w:val="00443733"/>
    <w:rsid w:val="00453A0A"/>
    <w:rsid w:val="0045441E"/>
    <w:rsid w:val="004655DF"/>
    <w:rsid w:val="0047568A"/>
    <w:rsid w:val="00486B64"/>
    <w:rsid w:val="004879BF"/>
    <w:rsid w:val="0049317F"/>
    <w:rsid w:val="004B3C50"/>
    <w:rsid w:val="004E0181"/>
    <w:rsid w:val="005003E2"/>
    <w:rsid w:val="0050093E"/>
    <w:rsid w:val="00511B60"/>
    <w:rsid w:val="00544022"/>
    <w:rsid w:val="005A4C49"/>
    <w:rsid w:val="005A684E"/>
    <w:rsid w:val="005A7017"/>
    <w:rsid w:val="005A7650"/>
    <w:rsid w:val="005F265B"/>
    <w:rsid w:val="006032A1"/>
    <w:rsid w:val="0061017C"/>
    <w:rsid w:val="0063138C"/>
    <w:rsid w:val="00633BDF"/>
    <w:rsid w:val="00670212"/>
    <w:rsid w:val="00697112"/>
    <w:rsid w:val="006D5940"/>
    <w:rsid w:val="006D7841"/>
    <w:rsid w:val="006E3697"/>
    <w:rsid w:val="007074FF"/>
    <w:rsid w:val="00711FB2"/>
    <w:rsid w:val="00722A98"/>
    <w:rsid w:val="00725ADD"/>
    <w:rsid w:val="0075139D"/>
    <w:rsid w:val="00752964"/>
    <w:rsid w:val="00792ABB"/>
    <w:rsid w:val="007A3226"/>
    <w:rsid w:val="007C3372"/>
    <w:rsid w:val="007E1F93"/>
    <w:rsid w:val="007E24D0"/>
    <w:rsid w:val="007F1B98"/>
    <w:rsid w:val="00820ABA"/>
    <w:rsid w:val="008303AB"/>
    <w:rsid w:val="00890CA7"/>
    <w:rsid w:val="008C0D5B"/>
    <w:rsid w:val="008D35ED"/>
    <w:rsid w:val="008E6E83"/>
    <w:rsid w:val="008E6F0F"/>
    <w:rsid w:val="00901976"/>
    <w:rsid w:val="00907F72"/>
    <w:rsid w:val="00910FB4"/>
    <w:rsid w:val="00912419"/>
    <w:rsid w:val="0091570B"/>
    <w:rsid w:val="009526FD"/>
    <w:rsid w:val="0096393A"/>
    <w:rsid w:val="009722D3"/>
    <w:rsid w:val="00974DB8"/>
    <w:rsid w:val="009A210F"/>
    <w:rsid w:val="009A68FF"/>
    <w:rsid w:val="009C2FF0"/>
    <w:rsid w:val="009D44BC"/>
    <w:rsid w:val="009F5D64"/>
    <w:rsid w:val="00A53414"/>
    <w:rsid w:val="00AA6F1B"/>
    <w:rsid w:val="00AB2614"/>
    <w:rsid w:val="00AE7E38"/>
    <w:rsid w:val="00B008A2"/>
    <w:rsid w:val="00B11EC1"/>
    <w:rsid w:val="00B34661"/>
    <w:rsid w:val="00B7786B"/>
    <w:rsid w:val="00B87BAE"/>
    <w:rsid w:val="00B93A14"/>
    <w:rsid w:val="00BB4F2E"/>
    <w:rsid w:val="00C028EE"/>
    <w:rsid w:val="00C25EA3"/>
    <w:rsid w:val="00C33D40"/>
    <w:rsid w:val="00C34FB5"/>
    <w:rsid w:val="00C759FD"/>
    <w:rsid w:val="00C83C28"/>
    <w:rsid w:val="00C92A37"/>
    <w:rsid w:val="00C94DE2"/>
    <w:rsid w:val="00CA6A63"/>
    <w:rsid w:val="00CC6EFC"/>
    <w:rsid w:val="00CD591A"/>
    <w:rsid w:val="00CF20C2"/>
    <w:rsid w:val="00D05ABB"/>
    <w:rsid w:val="00D63386"/>
    <w:rsid w:val="00DA61F3"/>
    <w:rsid w:val="00DD7B11"/>
    <w:rsid w:val="00E07838"/>
    <w:rsid w:val="00E259B4"/>
    <w:rsid w:val="00E53A18"/>
    <w:rsid w:val="00E60A1B"/>
    <w:rsid w:val="00E6104F"/>
    <w:rsid w:val="00E62E01"/>
    <w:rsid w:val="00E9455E"/>
    <w:rsid w:val="00EA3F19"/>
    <w:rsid w:val="00EB7DD3"/>
    <w:rsid w:val="00ED7C41"/>
    <w:rsid w:val="00EF17DC"/>
    <w:rsid w:val="00EF4621"/>
    <w:rsid w:val="00F14004"/>
    <w:rsid w:val="00F17A77"/>
    <w:rsid w:val="00F205F4"/>
    <w:rsid w:val="00F3314A"/>
    <w:rsid w:val="00F3792C"/>
    <w:rsid w:val="00F47102"/>
    <w:rsid w:val="00F6551B"/>
    <w:rsid w:val="00F91579"/>
    <w:rsid w:val="00F9701E"/>
    <w:rsid w:val="00FB0862"/>
    <w:rsid w:val="00FB79C5"/>
    <w:rsid w:val="00FD3289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C85E29"/>
  <w15:chartTrackingRefBased/>
  <w15:docId w15:val="{BC897E8D-D9FE-4733-A3B0-024C4C67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57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Akapitzlist"/>
    <w:link w:val="TekstNBZnak"/>
    <w:qFormat/>
    <w:rsid w:val="0042544B"/>
    <w:pPr>
      <w:numPr>
        <w:numId w:val="4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lang w:eastAsia="pl-PL"/>
    </w:rPr>
  </w:style>
  <w:style w:type="character" w:customStyle="1" w:styleId="TekstNBZnak">
    <w:name w:val="Tekst_NB Znak"/>
    <w:basedOn w:val="Domylnaczcionkaakapitu"/>
    <w:link w:val="TekstNB"/>
    <w:rsid w:val="0042544B"/>
    <w:rPr>
      <w:rFonts w:ascii="Times New Roman" w:eastAsia="Calibri" w:hAnsi="Times New Roman" w:cs="Times New Roman"/>
      <w:lang w:eastAsia="pl-PL"/>
    </w:rPr>
  </w:style>
  <w:style w:type="paragraph" w:customStyle="1" w:styleId="Tekst1">
    <w:name w:val="Tekst_1"/>
    <w:basedOn w:val="Normalny"/>
    <w:link w:val="Tekst1Znak"/>
    <w:qFormat/>
    <w:rsid w:val="0042544B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42544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3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7838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838"/>
    <w:rPr>
      <w:rFonts w:ascii="Trebuchet MS" w:eastAsia="Times New Roman" w:hAnsi="Trebuchet MS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0CEE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378E-2A1E-429A-B874-8319491602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D4EB3F-0240-4715-A094-37DACF99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Grzegorz Dagis</cp:lastModifiedBy>
  <cp:revision>6</cp:revision>
  <dcterms:created xsi:type="dcterms:W3CDTF">2025-03-09T16:58:00Z</dcterms:created>
  <dcterms:modified xsi:type="dcterms:W3CDTF">2025-03-10T11:05:00Z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b7d74f91-def1-43fd-92ba-88f5b2984a7b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