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FBFA" w14:textId="70DAEEBA" w:rsidR="00D47CCF" w:rsidRPr="0024118E" w:rsidRDefault="00726E0F" w:rsidP="002C0D5D">
      <w:pPr>
        <w:spacing w:line="360" w:lineRule="auto"/>
        <w:jc w:val="both"/>
        <w:rPr>
          <w:sz w:val="32"/>
          <w:szCs w:val="32"/>
        </w:rPr>
      </w:pPr>
      <w:bookmarkStart w:id="0" w:name="_Hlk150497272"/>
      <w:bookmarkStart w:id="1" w:name="_GoBack"/>
      <w:r>
        <w:rPr>
          <w:sz w:val="32"/>
          <w:szCs w:val="32"/>
        </w:rPr>
        <w:t>ZOBOWIĄZANIE I KARA – DWIE DECYZJE PREZESA UOKIK W SPRAWIE EBILET</w:t>
      </w:r>
    </w:p>
    <w:bookmarkEnd w:id="1"/>
    <w:p w14:paraId="7C38577F" w14:textId="6583A219" w:rsidR="00C2398C" w:rsidRPr="00D7606C" w:rsidRDefault="00E4105C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Po decyzji </w:t>
      </w:r>
      <w:r w:rsidR="00E965D2">
        <w:rPr>
          <w:rFonts w:cs="Tahoma"/>
          <w:b/>
          <w:bCs/>
          <w:color w:val="000000" w:themeColor="text1"/>
          <w:sz w:val="22"/>
          <w:lang w:eastAsia="en-GB"/>
        </w:rPr>
        <w:t xml:space="preserve">Prezesa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UOKiK </w:t>
      </w:r>
      <w:r w:rsidR="005A7271">
        <w:rPr>
          <w:rFonts w:cs="Tahoma"/>
          <w:b/>
          <w:bCs/>
          <w:color w:val="000000" w:themeColor="text1"/>
          <w:sz w:val="22"/>
          <w:lang w:eastAsia="en-GB"/>
        </w:rPr>
        <w:t>p</w:t>
      </w:r>
      <w:r w:rsidR="00363029">
        <w:rPr>
          <w:rFonts w:cs="Tahoma"/>
          <w:b/>
          <w:bCs/>
          <w:color w:val="000000" w:themeColor="text1"/>
          <w:sz w:val="22"/>
          <w:lang w:eastAsia="en-GB"/>
        </w:rPr>
        <w:t xml:space="preserve">rezentowane przez eBilet ceny minimalne </w:t>
      </w:r>
      <w:r w:rsidR="00F07ABC">
        <w:rPr>
          <w:rFonts w:cs="Tahoma"/>
          <w:b/>
          <w:bCs/>
          <w:color w:val="000000" w:themeColor="text1"/>
          <w:sz w:val="22"/>
          <w:lang w:eastAsia="en-GB"/>
        </w:rPr>
        <w:t xml:space="preserve">biletów </w:t>
      </w:r>
      <w:r w:rsidR="00363029">
        <w:rPr>
          <w:rFonts w:cs="Tahoma"/>
          <w:b/>
          <w:bCs/>
          <w:color w:val="000000" w:themeColor="text1"/>
          <w:sz w:val="22"/>
          <w:lang w:eastAsia="en-GB"/>
        </w:rPr>
        <w:t>będą zawierać obligatoryjną opłatę serwisową</w:t>
      </w:r>
      <w:r w:rsidR="008A409C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18818D64" w14:textId="0D989B02" w:rsidR="00986C37" w:rsidRPr="00DE0F4E" w:rsidRDefault="00221024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Spółka </w:t>
      </w:r>
      <w:r w:rsidR="00DE0F4E">
        <w:rPr>
          <w:rFonts w:cs="Tahoma"/>
          <w:b/>
          <w:bCs/>
          <w:color w:val="000000" w:themeColor="text1"/>
          <w:sz w:val="22"/>
          <w:lang w:eastAsia="en-GB"/>
        </w:rPr>
        <w:t>zwróci opłatę serwisową klientom, którzy złożyli w tej sprawie reklamacje.</w:t>
      </w:r>
    </w:p>
    <w:p w14:paraId="75384263" w14:textId="416114AB" w:rsidR="00363029" w:rsidRPr="00DE0F4E" w:rsidRDefault="00363029" w:rsidP="00DE0F4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DE0F4E">
        <w:rPr>
          <w:rFonts w:cs="Tahoma"/>
          <w:b/>
          <w:bCs/>
          <w:color w:val="000000" w:themeColor="text1"/>
          <w:sz w:val="22"/>
          <w:lang w:eastAsia="en-GB"/>
        </w:rPr>
        <w:t xml:space="preserve">Ponadto Prezes UOKiK </w:t>
      </w:r>
      <w:r w:rsidR="00A573F0">
        <w:rPr>
          <w:rFonts w:cs="Tahoma"/>
          <w:b/>
          <w:bCs/>
          <w:color w:val="000000" w:themeColor="text1"/>
          <w:sz w:val="22"/>
          <w:lang w:eastAsia="en-GB"/>
        </w:rPr>
        <w:t>nałożył na</w:t>
      </w:r>
      <w:r w:rsidRPr="00DE0F4E">
        <w:rPr>
          <w:rFonts w:cs="Tahoma"/>
          <w:b/>
          <w:bCs/>
          <w:color w:val="000000" w:themeColor="text1"/>
          <w:sz w:val="22"/>
          <w:lang w:eastAsia="en-GB"/>
        </w:rPr>
        <w:t xml:space="preserve"> eBilet </w:t>
      </w:r>
      <w:r w:rsidR="00A573F0">
        <w:rPr>
          <w:rFonts w:cs="Tahoma"/>
          <w:b/>
          <w:bCs/>
          <w:color w:val="000000" w:themeColor="text1"/>
          <w:sz w:val="22"/>
          <w:lang w:eastAsia="en-GB"/>
        </w:rPr>
        <w:t xml:space="preserve">karę w wysokości ponad 1,3 mln złotych </w:t>
      </w:r>
      <w:r w:rsidRPr="00DE0F4E">
        <w:rPr>
          <w:rFonts w:cs="Tahoma"/>
          <w:b/>
          <w:bCs/>
          <w:color w:val="000000" w:themeColor="text1"/>
          <w:sz w:val="22"/>
          <w:lang w:eastAsia="en-GB"/>
        </w:rPr>
        <w:t xml:space="preserve">za </w:t>
      </w:r>
      <w:r w:rsidR="00534BFD" w:rsidRPr="00DE0F4E">
        <w:rPr>
          <w:rFonts w:cs="Tahoma"/>
          <w:b/>
          <w:bCs/>
          <w:color w:val="000000" w:themeColor="text1"/>
          <w:sz w:val="22"/>
          <w:lang w:eastAsia="en-GB"/>
        </w:rPr>
        <w:t>nieuprawni</w:t>
      </w:r>
      <w:r w:rsidR="00534BFD">
        <w:rPr>
          <w:rFonts w:cs="Tahoma"/>
          <w:b/>
          <w:bCs/>
          <w:color w:val="000000" w:themeColor="text1"/>
          <w:sz w:val="22"/>
          <w:lang w:eastAsia="en-GB"/>
        </w:rPr>
        <w:t>o</w:t>
      </w:r>
      <w:r w:rsidR="00534BFD" w:rsidRPr="00DE0F4E">
        <w:rPr>
          <w:rFonts w:cs="Tahoma"/>
          <w:b/>
          <w:bCs/>
          <w:color w:val="000000" w:themeColor="text1"/>
          <w:sz w:val="22"/>
          <w:lang w:eastAsia="en-GB"/>
        </w:rPr>
        <w:t>ne</w:t>
      </w:r>
      <w:r w:rsidRPr="00DE0F4E">
        <w:rPr>
          <w:rFonts w:cs="Tahoma"/>
          <w:b/>
          <w:bCs/>
          <w:color w:val="000000" w:themeColor="text1"/>
          <w:sz w:val="22"/>
          <w:lang w:eastAsia="en-GB"/>
        </w:rPr>
        <w:t xml:space="preserve"> wykorzystywanie przepisów z ustawy antycovidowej. </w:t>
      </w:r>
    </w:p>
    <w:p w14:paraId="3ED6F190" w14:textId="6246540D" w:rsidR="00E4105C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C36310">
        <w:rPr>
          <w:b/>
          <w:sz w:val="22"/>
        </w:rPr>
        <w:t>16</w:t>
      </w:r>
      <w:r w:rsidR="00986C37">
        <w:rPr>
          <w:b/>
          <w:sz w:val="22"/>
        </w:rPr>
        <w:t xml:space="preserve"> </w:t>
      </w:r>
      <w:r w:rsidR="00363029">
        <w:rPr>
          <w:b/>
          <w:sz w:val="22"/>
        </w:rPr>
        <w:t xml:space="preserve">listopada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</w:t>
      </w:r>
      <w:r w:rsidR="002C5AF4">
        <w:rPr>
          <w:b/>
          <w:sz w:val="22"/>
        </w:rPr>
        <w:t>3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bookmarkStart w:id="2" w:name="_Hlk150261386"/>
      <w:r w:rsidR="00DE0F4E">
        <w:rPr>
          <w:sz w:val="22"/>
        </w:rPr>
        <w:t xml:space="preserve">Spółka eBilet </w:t>
      </w:r>
      <w:bookmarkStart w:id="3" w:name="_Hlk150262907"/>
      <w:r w:rsidR="00F07ABC">
        <w:rPr>
          <w:sz w:val="22"/>
        </w:rPr>
        <w:t xml:space="preserve">prowadzi </w:t>
      </w:r>
      <w:r w:rsidR="00DE0F4E">
        <w:rPr>
          <w:sz w:val="22"/>
        </w:rPr>
        <w:t>serwis</w:t>
      </w:r>
      <w:r w:rsidR="002379B9">
        <w:rPr>
          <w:sz w:val="22"/>
        </w:rPr>
        <w:t xml:space="preserve"> </w:t>
      </w:r>
      <w:r w:rsidR="00DE0F4E">
        <w:rPr>
          <w:sz w:val="22"/>
        </w:rPr>
        <w:t>internetowy</w:t>
      </w:r>
      <w:r w:rsidR="00B9278C">
        <w:rPr>
          <w:sz w:val="22"/>
        </w:rPr>
        <w:t xml:space="preserve"> </w:t>
      </w:r>
      <w:r w:rsidR="002379B9">
        <w:rPr>
          <w:sz w:val="22"/>
        </w:rPr>
        <w:t>sprzedając</w:t>
      </w:r>
      <w:r w:rsidR="00DE0F4E">
        <w:rPr>
          <w:sz w:val="22"/>
        </w:rPr>
        <w:t>y</w:t>
      </w:r>
      <w:r w:rsidR="002379B9">
        <w:rPr>
          <w:sz w:val="22"/>
        </w:rPr>
        <w:t xml:space="preserve"> bilety na wydarzenia sportowe, kulturalne i rozrywkowe.</w:t>
      </w:r>
      <w:bookmarkEnd w:id="2"/>
      <w:bookmarkEnd w:id="3"/>
      <w:r w:rsidR="002379B9">
        <w:rPr>
          <w:sz w:val="22"/>
        </w:rPr>
        <w:t xml:space="preserve"> </w:t>
      </w:r>
      <w:r w:rsidR="00DE0F4E">
        <w:rPr>
          <w:sz w:val="22"/>
        </w:rPr>
        <w:t>Każd</w:t>
      </w:r>
      <w:r w:rsidR="005A7271">
        <w:rPr>
          <w:sz w:val="22"/>
        </w:rPr>
        <w:t>emu</w:t>
      </w:r>
      <w:r w:rsidR="00DE0F4E">
        <w:rPr>
          <w:sz w:val="22"/>
        </w:rPr>
        <w:t xml:space="preserve"> odwiedzając</w:t>
      </w:r>
      <w:r w:rsidR="005A7271">
        <w:rPr>
          <w:sz w:val="22"/>
        </w:rPr>
        <w:t>emu stronę</w:t>
      </w:r>
      <w:r w:rsidR="00DE0F4E">
        <w:rPr>
          <w:sz w:val="22"/>
        </w:rPr>
        <w:t xml:space="preserve"> eBilet i sprawdzając</w:t>
      </w:r>
      <w:r w:rsidR="005A7271">
        <w:rPr>
          <w:sz w:val="22"/>
        </w:rPr>
        <w:t>emu</w:t>
      </w:r>
      <w:r w:rsidR="00DE0F4E">
        <w:rPr>
          <w:sz w:val="22"/>
        </w:rPr>
        <w:t xml:space="preserve"> ceny biletów </w:t>
      </w:r>
      <w:r w:rsidR="005A7271">
        <w:rPr>
          <w:sz w:val="22"/>
        </w:rPr>
        <w:t xml:space="preserve">wyświetlały się </w:t>
      </w:r>
      <w:r w:rsidR="00DE0F4E">
        <w:rPr>
          <w:sz w:val="22"/>
        </w:rPr>
        <w:t xml:space="preserve">ceny minimalne (np. </w:t>
      </w:r>
      <w:r w:rsidR="00614EB9">
        <w:rPr>
          <w:sz w:val="22"/>
        </w:rPr>
        <w:t>„</w:t>
      </w:r>
      <w:r w:rsidR="00DE0F4E">
        <w:rPr>
          <w:sz w:val="22"/>
        </w:rPr>
        <w:t>cena od 135 zł</w:t>
      </w:r>
      <w:r w:rsidR="00614EB9">
        <w:rPr>
          <w:sz w:val="22"/>
        </w:rPr>
        <w:t>”</w:t>
      </w:r>
      <w:r w:rsidR="00DE0F4E">
        <w:rPr>
          <w:sz w:val="22"/>
        </w:rPr>
        <w:t xml:space="preserve">), jednak </w:t>
      </w:r>
      <w:r w:rsidR="005A7271">
        <w:rPr>
          <w:sz w:val="22"/>
        </w:rPr>
        <w:t xml:space="preserve">realnie nie było możliwości kupna biletu </w:t>
      </w:r>
      <w:r w:rsidR="00195443">
        <w:rPr>
          <w:sz w:val="22"/>
        </w:rPr>
        <w:t xml:space="preserve">za </w:t>
      </w:r>
      <w:r w:rsidR="00B62C6E">
        <w:rPr>
          <w:sz w:val="22"/>
        </w:rPr>
        <w:t>t</w:t>
      </w:r>
      <w:r w:rsidR="00A56EA8">
        <w:rPr>
          <w:sz w:val="22"/>
        </w:rPr>
        <w:t>aką</w:t>
      </w:r>
      <w:r w:rsidR="00B62C6E">
        <w:rPr>
          <w:sz w:val="22"/>
        </w:rPr>
        <w:t xml:space="preserve"> </w:t>
      </w:r>
      <w:r w:rsidR="00195443">
        <w:rPr>
          <w:sz w:val="22"/>
        </w:rPr>
        <w:t>kwotę</w:t>
      </w:r>
      <w:r w:rsidR="005A7271">
        <w:rPr>
          <w:sz w:val="22"/>
        </w:rPr>
        <w:t>.</w:t>
      </w:r>
      <w:r w:rsidR="00DE0F4E">
        <w:rPr>
          <w:sz w:val="22"/>
        </w:rPr>
        <w:t xml:space="preserve"> Na dalszych etapach transakcji pojawiała się obowiązkowa opłata serwisowa</w:t>
      </w:r>
      <w:r w:rsidR="00E4105C">
        <w:rPr>
          <w:sz w:val="22"/>
        </w:rPr>
        <w:t>. Czyli</w:t>
      </w:r>
      <w:r w:rsidR="00850A00">
        <w:rPr>
          <w:sz w:val="22"/>
        </w:rPr>
        <w:t xml:space="preserve"> </w:t>
      </w:r>
      <w:r w:rsidR="00850A00" w:rsidRPr="00850A00">
        <w:rPr>
          <w:sz w:val="22"/>
        </w:rPr>
        <w:t>początkowo obiecywana cena 135 zł</w:t>
      </w:r>
      <w:r w:rsidR="000B40A7">
        <w:rPr>
          <w:sz w:val="22"/>
        </w:rPr>
        <w:t>,</w:t>
      </w:r>
      <w:r w:rsidR="00850A00" w:rsidRPr="00850A00">
        <w:rPr>
          <w:sz w:val="22"/>
        </w:rPr>
        <w:t xml:space="preserve"> wzrastała do</w:t>
      </w:r>
      <w:r w:rsidR="00E4105C">
        <w:rPr>
          <w:sz w:val="22"/>
        </w:rPr>
        <w:t xml:space="preserve"> 141,75 zł. </w:t>
      </w:r>
      <w:r w:rsidR="00777257">
        <w:rPr>
          <w:sz w:val="22"/>
        </w:rPr>
        <w:t xml:space="preserve">Ten </w:t>
      </w:r>
      <w:r w:rsidR="00E4105C">
        <w:rPr>
          <w:sz w:val="22"/>
        </w:rPr>
        <w:t>sposób prezentacji cen wprowadzał klientów w błąd</w:t>
      </w:r>
      <w:r w:rsidR="00850A00">
        <w:rPr>
          <w:sz w:val="22"/>
        </w:rPr>
        <w:t xml:space="preserve">, </w:t>
      </w:r>
      <w:r w:rsidR="00850A00" w:rsidRPr="00850A00">
        <w:rPr>
          <w:sz w:val="22"/>
        </w:rPr>
        <w:t>bo za podaną cenę minimalną zakup biletu nie był możliwy</w:t>
      </w:r>
      <w:r w:rsidR="00850A00">
        <w:rPr>
          <w:sz w:val="22"/>
        </w:rPr>
        <w:t>.</w:t>
      </w:r>
      <w:r w:rsidR="00E4105C">
        <w:rPr>
          <w:sz w:val="22"/>
        </w:rPr>
        <w:t xml:space="preserve"> </w:t>
      </w:r>
    </w:p>
    <w:p w14:paraId="5D0A4C0D" w14:textId="2AADB1D6" w:rsidR="00B075C5" w:rsidRDefault="00B075C5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A573F0">
        <w:rPr>
          <w:i/>
          <w:sz w:val="22"/>
        </w:rPr>
        <w:t>Zobowiązałem</w:t>
      </w:r>
      <w:r w:rsidR="000A59E1">
        <w:rPr>
          <w:i/>
          <w:sz w:val="22"/>
        </w:rPr>
        <w:t xml:space="preserve"> </w:t>
      </w:r>
      <w:r w:rsidR="00E4105C">
        <w:rPr>
          <w:i/>
          <w:sz w:val="22"/>
        </w:rPr>
        <w:t xml:space="preserve">spółkę eBilet do </w:t>
      </w:r>
      <w:r w:rsidR="009B3709">
        <w:rPr>
          <w:i/>
          <w:sz w:val="22"/>
        </w:rPr>
        <w:t xml:space="preserve">zmiany sposobu informowania konsumentów o minimalnej cenie biletów. Cena ta będzie musiała zawierać opłatę serwisową lub inne opłaty obligatoryjne, jeśli takie zostaną wprowadzone. Od początku </w:t>
      </w:r>
      <w:r w:rsidR="00A51CE5">
        <w:rPr>
          <w:i/>
          <w:sz w:val="22"/>
        </w:rPr>
        <w:t>zapoznawania się z ofertą konsument musi mieć</w:t>
      </w:r>
      <w:r w:rsidR="00B9278C">
        <w:rPr>
          <w:i/>
          <w:sz w:val="22"/>
        </w:rPr>
        <w:t xml:space="preserve"> prawdziwą</w:t>
      </w:r>
      <w:r w:rsidR="00A51CE5">
        <w:rPr>
          <w:i/>
          <w:sz w:val="22"/>
        </w:rPr>
        <w:t xml:space="preserve"> informację o </w:t>
      </w:r>
      <w:r w:rsidR="00195443">
        <w:rPr>
          <w:i/>
          <w:sz w:val="22"/>
        </w:rPr>
        <w:t xml:space="preserve">pełnej </w:t>
      </w:r>
      <w:r w:rsidR="00A51CE5">
        <w:rPr>
          <w:i/>
          <w:sz w:val="22"/>
        </w:rPr>
        <w:t>cenie</w:t>
      </w:r>
      <w:r w:rsidR="00C20E8A" w:rsidRPr="00777257">
        <w:rPr>
          <w:i/>
          <w:sz w:val="22"/>
        </w:rPr>
        <w:t>.</w:t>
      </w:r>
      <w:r w:rsidR="001806F8" w:rsidRPr="00777257">
        <w:rPr>
          <w:i/>
          <w:sz w:val="22"/>
        </w:rPr>
        <w:t xml:space="preserve"> To </w:t>
      </w:r>
      <w:r w:rsidR="00777257" w:rsidRPr="00777257">
        <w:rPr>
          <w:i/>
          <w:sz w:val="22"/>
        </w:rPr>
        <w:t xml:space="preserve">optymalny </w:t>
      </w:r>
      <w:r w:rsidR="001806F8" w:rsidRPr="00777257">
        <w:rPr>
          <w:i/>
          <w:sz w:val="22"/>
        </w:rPr>
        <w:t>sposób prezentowania cen</w:t>
      </w:r>
      <w:r w:rsidR="007A1C3D" w:rsidRPr="00777257">
        <w:rPr>
          <w:i/>
          <w:sz w:val="22"/>
        </w:rPr>
        <w:t xml:space="preserve"> w serwisach internetowych</w:t>
      </w:r>
      <w:r w:rsidR="001806F8" w:rsidRPr="00777257">
        <w:rPr>
          <w:i/>
          <w:sz w:val="22"/>
        </w:rPr>
        <w:t xml:space="preserve">, który powinien być </w:t>
      </w:r>
      <w:r w:rsidR="007A1C3D" w:rsidRPr="00777257">
        <w:rPr>
          <w:i/>
          <w:sz w:val="22"/>
        </w:rPr>
        <w:t>standardem rynkowym</w:t>
      </w:r>
      <w:r w:rsidR="007A1C3D">
        <w:rPr>
          <w:i/>
          <w:sz w:val="22"/>
        </w:rPr>
        <w:t>.</w:t>
      </w:r>
      <w:r w:rsidR="00C20E8A">
        <w:rPr>
          <w:i/>
          <w:sz w:val="22"/>
        </w:rPr>
        <w:t xml:space="preserve"> </w:t>
      </w:r>
      <w:r w:rsidR="007A1C3D">
        <w:rPr>
          <w:i/>
          <w:sz w:val="22"/>
        </w:rPr>
        <w:t xml:space="preserve">Cena jest jednym z najważniejszych </w:t>
      </w:r>
      <w:r w:rsidR="00A51CE5">
        <w:rPr>
          <w:i/>
          <w:sz w:val="22"/>
        </w:rPr>
        <w:t>czynnik</w:t>
      </w:r>
      <w:r w:rsidR="007A1C3D">
        <w:rPr>
          <w:i/>
          <w:sz w:val="22"/>
        </w:rPr>
        <w:t>ów</w:t>
      </w:r>
      <w:r w:rsidR="00A51CE5">
        <w:rPr>
          <w:i/>
          <w:sz w:val="22"/>
        </w:rPr>
        <w:t xml:space="preserve"> w</w:t>
      </w:r>
      <w:r w:rsidR="003B5CDF">
        <w:rPr>
          <w:i/>
          <w:sz w:val="22"/>
        </w:rPr>
        <w:t>pływa</w:t>
      </w:r>
      <w:r w:rsidR="00A51CE5">
        <w:rPr>
          <w:i/>
          <w:sz w:val="22"/>
        </w:rPr>
        <w:t>jący</w:t>
      </w:r>
      <w:r w:rsidR="00777257">
        <w:rPr>
          <w:i/>
          <w:sz w:val="22"/>
        </w:rPr>
        <w:t>ch</w:t>
      </w:r>
      <w:r w:rsidR="00A51CE5">
        <w:rPr>
          <w:i/>
          <w:sz w:val="22"/>
        </w:rPr>
        <w:t xml:space="preserve"> </w:t>
      </w:r>
      <w:r w:rsidR="003B5CDF">
        <w:rPr>
          <w:i/>
          <w:sz w:val="22"/>
        </w:rPr>
        <w:t xml:space="preserve">na </w:t>
      </w:r>
      <w:r w:rsidR="00A51CE5">
        <w:rPr>
          <w:i/>
          <w:sz w:val="22"/>
        </w:rPr>
        <w:t>decyzj</w:t>
      </w:r>
      <w:r w:rsidR="00C20E8A">
        <w:rPr>
          <w:i/>
          <w:sz w:val="22"/>
        </w:rPr>
        <w:t>ę</w:t>
      </w:r>
      <w:r w:rsidR="00A51CE5">
        <w:rPr>
          <w:i/>
          <w:sz w:val="22"/>
        </w:rPr>
        <w:t xml:space="preserve"> o zakupie</w:t>
      </w:r>
      <w:r w:rsidR="009B3709">
        <w:rPr>
          <w:i/>
          <w:sz w:val="22"/>
        </w:rPr>
        <w:t xml:space="preserve">, </w:t>
      </w:r>
      <w:r w:rsidR="00E965D2">
        <w:rPr>
          <w:i/>
          <w:sz w:val="22"/>
        </w:rPr>
        <w:t xml:space="preserve">dlatego </w:t>
      </w:r>
      <w:r w:rsidR="00C20E8A">
        <w:rPr>
          <w:i/>
          <w:sz w:val="22"/>
        </w:rPr>
        <w:t>powinna</w:t>
      </w:r>
      <w:r w:rsidR="00A51CE5">
        <w:rPr>
          <w:i/>
          <w:sz w:val="22"/>
        </w:rPr>
        <w:t xml:space="preserve"> być prezentowana w sposób jasny</w:t>
      </w:r>
      <w:r w:rsidR="00E965D2">
        <w:rPr>
          <w:i/>
          <w:sz w:val="22"/>
        </w:rPr>
        <w:t>,</w:t>
      </w:r>
      <w:r w:rsidR="00A51CE5">
        <w:rPr>
          <w:i/>
          <w:sz w:val="22"/>
        </w:rPr>
        <w:t xml:space="preserve"> czytelny</w:t>
      </w:r>
      <w:r w:rsidR="009B3709">
        <w:rPr>
          <w:i/>
          <w:sz w:val="22"/>
        </w:rPr>
        <w:t xml:space="preserve"> i</w:t>
      </w:r>
      <w:r w:rsidR="00143029">
        <w:rPr>
          <w:i/>
          <w:sz w:val="22"/>
        </w:rPr>
        <w:t xml:space="preserve"> </w:t>
      </w:r>
      <w:r w:rsidR="00A51CE5">
        <w:rPr>
          <w:i/>
          <w:sz w:val="22"/>
        </w:rPr>
        <w:t>nie wprowadza</w:t>
      </w:r>
      <w:r w:rsidR="00A573F0">
        <w:rPr>
          <w:i/>
          <w:sz w:val="22"/>
        </w:rPr>
        <w:t>jący</w:t>
      </w:r>
      <w:r w:rsidR="00A51CE5">
        <w:rPr>
          <w:i/>
          <w:sz w:val="22"/>
        </w:rPr>
        <w:t xml:space="preserve"> w błąd</w:t>
      </w:r>
      <w:r w:rsidR="009B3709">
        <w:rPr>
          <w:i/>
          <w:sz w:val="22"/>
        </w:rPr>
        <w:t xml:space="preserve"> </w:t>
      </w:r>
      <w:r>
        <w:rPr>
          <w:sz w:val="22"/>
        </w:rPr>
        <w:t xml:space="preserve">– mówi </w:t>
      </w:r>
      <w:r w:rsidR="00A573F0">
        <w:rPr>
          <w:sz w:val="22"/>
        </w:rPr>
        <w:t xml:space="preserve">Prezes UOKiK </w:t>
      </w:r>
      <w:r>
        <w:rPr>
          <w:sz w:val="22"/>
        </w:rPr>
        <w:t>Tomasz Chróstny.</w:t>
      </w:r>
    </w:p>
    <w:p w14:paraId="0B565451" w14:textId="08D28FA2" w:rsidR="009B3709" w:rsidRDefault="009B3709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Stosowan</w:t>
      </w:r>
      <w:r w:rsidR="005A7271">
        <w:rPr>
          <w:sz w:val="22"/>
        </w:rPr>
        <w:t>y</w:t>
      </w:r>
      <w:r>
        <w:rPr>
          <w:sz w:val="22"/>
        </w:rPr>
        <w:t xml:space="preserve"> przez eBilet </w:t>
      </w:r>
      <w:r w:rsidR="005A7271">
        <w:rPr>
          <w:sz w:val="22"/>
        </w:rPr>
        <w:t xml:space="preserve">mechanizm </w:t>
      </w:r>
      <w:r w:rsidRPr="009B3709">
        <w:rPr>
          <w:sz w:val="22"/>
        </w:rPr>
        <w:t>dodawani</w:t>
      </w:r>
      <w:r w:rsidR="005A7271">
        <w:rPr>
          <w:sz w:val="22"/>
        </w:rPr>
        <w:t>a</w:t>
      </w:r>
      <w:r w:rsidRPr="009B3709">
        <w:rPr>
          <w:sz w:val="22"/>
        </w:rPr>
        <w:t xml:space="preserve"> </w:t>
      </w:r>
      <w:r w:rsidR="008837D6" w:rsidRPr="009B3709">
        <w:rPr>
          <w:sz w:val="22"/>
        </w:rPr>
        <w:t>niezapowiedzianych wcześniej</w:t>
      </w:r>
      <w:r w:rsidR="000B40A7">
        <w:rPr>
          <w:sz w:val="22"/>
        </w:rPr>
        <w:t>,</w:t>
      </w:r>
      <w:r w:rsidR="008837D6" w:rsidRPr="009B3709">
        <w:rPr>
          <w:sz w:val="22"/>
        </w:rPr>
        <w:t xml:space="preserve"> </w:t>
      </w:r>
      <w:r w:rsidR="000A59E1" w:rsidRPr="009B3709">
        <w:rPr>
          <w:sz w:val="22"/>
        </w:rPr>
        <w:t>dodatkowych oraz obowiązkowych opłat</w:t>
      </w:r>
      <w:r w:rsidR="000A59E1">
        <w:rPr>
          <w:sz w:val="22"/>
        </w:rPr>
        <w:t xml:space="preserve"> </w:t>
      </w:r>
      <w:r w:rsidRPr="009B3709">
        <w:rPr>
          <w:sz w:val="22"/>
        </w:rPr>
        <w:t xml:space="preserve">na ostatnim etapie składania zamówienia, </w:t>
      </w:r>
      <w:r>
        <w:rPr>
          <w:sz w:val="22"/>
        </w:rPr>
        <w:t>to tzw.</w:t>
      </w:r>
      <w:r w:rsidRPr="009B3709">
        <w:rPr>
          <w:sz w:val="22"/>
        </w:rPr>
        <w:t xml:space="preserve"> </w:t>
      </w:r>
      <w:r w:rsidRPr="00B620EB">
        <w:rPr>
          <w:sz w:val="22"/>
        </w:rPr>
        <w:t>drip pricing</w:t>
      </w:r>
      <w:r w:rsidR="005A7271">
        <w:rPr>
          <w:i/>
          <w:sz w:val="22"/>
        </w:rPr>
        <w:t>.</w:t>
      </w:r>
      <w:r w:rsidRPr="009B3709">
        <w:rPr>
          <w:sz w:val="22"/>
        </w:rPr>
        <w:t xml:space="preserve"> Jest to </w:t>
      </w:r>
      <w:r>
        <w:rPr>
          <w:sz w:val="22"/>
        </w:rPr>
        <w:t>przykład</w:t>
      </w:r>
      <w:r w:rsidRPr="009B3709">
        <w:rPr>
          <w:sz w:val="22"/>
        </w:rPr>
        <w:t xml:space="preserve"> tzw. </w:t>
      </w:r>
      <w:hyperlink r:id="rId9" w:history="1">
        <w:r w:rsidRPr="00B620EB">
          <w:rPr>
            <w:rStyle w:val="Hipercze"/>
            <w:sz w:val="22"/>
          </w:rPr>
          <w:t>dark patterns</w:t>
        </w:r>
      </w:hyperlink>
      <w:r w:rsidRPr="009B3709">
        <w:rPr>
          <w:sz w:val="22"/>
        </w:rPr>
        <w:t xml:space="preserve">, czyli praktyk wykorzystujących wiedzę o zachowaniach użytkowników do </w:t>
      </w:r>
      <w:r>
        <w:rPr>
          <w:sz w:val="22"/>
        </w:rPr>
        <w:t>manipulowania procesem decyzy</w:t>
      </w:r>
      <w:r w:rsidR="00390405">
        <w:rPr>
          <w:sz w:val="22"/>
        </w:rPr>
        <w:t xml:space="preserve">jnym. Gdyby klient od początku wiedział </w:t>
      </w:r>
      <w:r w:rsidR="00A573F0">
        <w:rPr>
          <w:sz w:val="22"/>
        </w:rPr>
        <w:t>jaka jest rzeczywista cena</w:t>
      </w:r>
      <w:r w:rsidR="00390405">
        <w:rPr>
          <w:sz w:val="22"/>
        </w:rPr>
        <w:t xml:space="preserve"> biletu, mógłby</w:t>
      </w:r>
      <w:r w:rsidR="008837D6">
        <w:rPr>
          <w:sz w:val="22"/>
        </w:rPr>
        <w:t xml:space="preserve"> wcześniej</w:t>
      </w:r>
      <w:r w:rsidR="00390405">
        <w:rPr>
          <w:sz w:val="22"/>
        </w:rPr>
        <w:t xml:space="preserve"> zrezygnować z jego zakupu lub poszukać korzystniejszej oferty. Dowiadując się o </w:t>
      </w:r>
      <w:r w:rsidR="00E965D2">
        <w:rPr>
          <w:sz w:val="22"/>
        </w:rPr>
        <w:t xml:space="preserve">rzeczywistej </w:t>
      </w:r>
      <w:r w:rsidR="00390405">
        <w:rPr>
          <w:sz w:val="22"/>
        </w:rPr>
        <w:t xml:space="preserve">cenie </w:t>
      </w:r>
      <w:r w:rsidR="005A7271">
        <w:rPr>
          <w:sz w:val="22"/>
        </w:rPr>
        <w:t xml:space="preserve">dopiero </w:t>
      </w:r>
      <w:r w:rsidR="00390405">
        <w:rPr>
          <w:sz w:val="22"/>
        </w:rPr>
        <w:t xml:space="preserve">na końcowym etapie </w:t>
      </w:r>
      <w:r w:rsidR="007F4C3E">
        <w:rPr>
          <w:sz w:val="22"/>
        </w:rPr>
        <w:lastRenderedPageBreak/>
        <w:t>zamówienia</w:t>
      </w:r>
      <w:r w:rsidR="00EE6840">
        <w:rPr>
          <w:sz w:val="22"/>
        </w:rPr>
        <w:t>,</w:t>
      </w:r>
      <w:r w:rsidR="007F4C3E">
        <w:rPr>
          <w:sz w:val="22"/>
        </w:rPr>
        <w:t xml:space="preserve"> </w:t>
      </w:r>
      <w:r w:rsidR="00390405">
        <w:rPr>
          <w:sz w:val="22"/>
        </w:rPr>
        <w:t xml:space="preserve">może dokonać zakupu niezgodnego ze swoimi planami budżetowymi, nie chcąc </w:t>
      </w:r>
      <w:r w:rsidR="00EE6840">
        <w:rPr>
          <w:sz w:val="22"/>
        </w:rPr>
        <w:t xml:space="preserve">poświęcać </w:t>
      </w:r>
      <w:r w:rsidR="00390405">
        <w:rPr>
          <w:sz w:val="22"/>
        </w:rPr>
        <w:t xml:space="preserve">czasu na rozpoczynanie procesu od początku.  </w:t>
      </w:r>
    </w:p>
    <w:p w14:paraId="5D7D61B7" w14:textId="7A84D759" w:rsidR="000913F7" w:rsidRDefault="00430491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Przejrzysty</w:t>
      </w:r>
      <w:r w:rsidR="00390405">
        <w:rPr>
          <w:sz w:val="22"/>
        </w:rPr>
        <w:t xml:space="preserve"> dla konsumentów sposób prezentacji cen minimalnych będzie dotyczył zarówno </w:t>
      </w:r>
      <w:r w:rsidR="00EE6840">
        <w:rPr>
          <w:sz w:val="22"/>
        </w:rPr>
        <w:t>serwisu</w:t>
      </w:r>
      <w:r w:rsidR="00390405">
        <w:rPr>
          <w:sz w:val="22"/>
        </w:rPr>
        <w:t xml:space="preserve"> eBilet</w:t>
      </w:r>
      <w:r w:rsidR="00E965D2">
        <w:rPr>
          <w:sz w:val="22"/>
        </w:rPr>
        <w:t>,</w:t>
      </w:r>
      <w:r w:rsidR="00390405">
        <w:rPr>
          <w:sz w:val="22"/>
        </w:rPr>
        <w:t xml:space="preserve"> jak i wszystkich </w:t>
      </w:r>
      <w:r w:rsidR="00EE6840">
        <w:rPr>
          <w:sz w:val="22"/>
        </w:rPr>
        <w:t xml:space="preserve">przekazów </w:t>
      </w:r>
      <w:r w:rsidR="00390405">
        <w:rPr>
          <w:sz w:val="22"/>
        </w:rPr>
        <w:t>marketingowych.</w:t>
      </w:r>
      <w:r w:rsidR="000913F7">
        <w:rPr>
          <w:sz w:val="22"/>
        </w:rPr>
        <w:t xml:space="preserve"> </w:t>
      </w:r>
      <w:r w:rsidR="00390405">
        <w:rPr>
          <w:sz w:val="22"/>
        </w:rPr>
        <w:t xml:space="preserve">Ponadto eBilet został zobowiązany do zwrotu opłaty serwisowej tym </w:t>
      </w:r>
      <w:r w:rsidRPr="00430491">
        <w:rPr>
          <w:sz w:val="22"/>
        </w:rPr>
        <w:t xml:space="preserve">konsumentom, którzy </w:t>
      </w:r>
      <w:r w:rsidR="00901EDB" w:rsidRPr="006B0249">
        <w:rPr>
          <w:sz w:val="22"/>
        </w:rPr>
        <w:t>złożyli w tej sprawie reklamacje.</w:t>
      </w:r>
    </w:p>
    <w:p w14:paraId="6DE462C8" w14:textId="7E4F0F76" w:rsidR="007A1C3D" w:rsidRDefault="00EE6840" w:rsidP="007A1C3D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W </w:t>
      </w:r>
      <w:r w:rsidR="007A1C3D">
        <w:rPr>
          <w:sz w:val="22"/>
        </w:rPr>
        <w:t xml:space="preserve">oddzielnej decyzji, Prezes UOKiK stwierdził, że spółka eBilet w sposób nieuprawniony informowała konsumentów o wydłużonym do 180 dni terminie zwrotu kwoty zapłaconej za bilet na wydarzenie odwołane lub przełożone </w:t>
      </w:r>
      <w:r w:rsidR="007A1C3D" w:rsidRPr="007A1C3D">
        <w:rPr>
          <w:sz w:val="22"/>
        </w:rPr>
        <w:t>z przyczyn związanych z obostrzeniami epidemiologicznymi</w:t>
      </w:r>
      <w:r w:rsidR="007A1C3D">
        <w:rPr>
          <w:sz w:val="22"/>
        </w:rPr>
        <w:t xml:space="preserve">. Powoływała się przy tym na przepisy ustawy antycovidowej, które nie dotyczyły bileterii. </w:t>
      </w:r>
      <w:r w:rsidR="00A573F0">
        <w:rPr>
          <w:sz w:val="22"/>
        </w:rPr>
        <w:t xml:space="preserve">Tym samym </w:t>
      </w:r>
      <w:r w:rsidR="007A1C3D">
        <w:rPr>
          <w:sz w:val="22"/>
        </w:rPr>
        <w:t xml:space="preserve">klienci powinni byli otrzymać zwrot na standardowych zasadach określonych w </w:t>
      </w:r>
      <w:r w:rsidR="007A1C3D" w:rsidRPr="007A1C3D">
        <w:rPr>
          <w:sz w:val="22"/>
        </w:rPr>
        <w:t>regulaminie</w:t>
      </w:r>
      <w:r w:rsidR="007A1C3D">
        <w:rPr>
          <w:sz w:val="22"/>
        </w:rPr>
        <w:t xml:space="preserve">, czyli w ciągu 14 dni. </w:t>
      </w:r>
      <w:r w:rsidR="007A1C3D" w:rsidRPr="00480FED">
        <w:rPr>
          <w:sz w:val="22"/>
        </w:rPr>
        <w:t>Nieprawdziw</w:t>
      </w:r>
      <w:r w:rsidR="007A1C3D">
        <w:rPr>
          <w:sz w:val="22"/>
        </w:rPr>
        <w:t>ą</w:t>
      </w:r>
      <w:r w:rsidR="007A1C3D" w:rsidRPr="00480FED">
        <w:rPr>
          <w:sz w:val="22"/>
        </w:rPr>
        <w:t xml:space="preserve"> info</w:t>
      </w:r>
      <w:r w:rsidR="007A1C3D">
        <w:rPr>
          <w:sz w:val="22"/>
        </w:rPr>
        <w:t>rmację</w:t>
      </w:r>
      <w:r w:rsidR="00CD1373">
        <w:rPr>
          <w:sz w:val="22"/>
        </w:rPr>
        <w:t>,</w:t>
      </w:r>
      <w:r w:rsidR="007A1C3D">
        <w:rPr>
          <w:sz w:val="22"/>
        </w:rPr>
        <w:t xml:space="preserve"> dotyczącą objęcia spółki eBilet specustawą i wydłużeniem do 180 dni terminu zwrotu</w:t>
      </w:r>
      <w:r w:rsidR="007A1C3D" w:rsidRPr="00480FED">
        <w:rPr>
          <w:sz w:val="22"/>
        </w:rPr>
        <w:t xml:space="preserve"> </w:t>
      </w:r>
      <w:r w:rsidR="007A1C3D">
        <w:rPr>
          <w:sz w:val="22"/>
        </w:rPr>
        <w:t>biletów</w:t>
      </w:r>
      <w:r w:rsidR="00A573F0">
        <w:rPr>
          <w:sz w:val="22"/>
        </w:rPr>
        <w:t>,</w:t>
      </w:r>
      <w:r w:rsidR="007A1C3D">
        <w:rPr>
          <w:sz w:val="22"/>
        </w:rPr>
        <w:t xml:space="preserve"> k</w:t>
      </w:r>
      <w:r w:rsidR="007A1C3D" w:rsidRPr="00480FED">
        <w:rPr>
          <w:sz w:val="22"/>
        </w:rPr>
        <w:t>onsumenci otrzymywali mailem.</w:t>
      </w:r>
      <w:r w:rsidR="007A1C3D">
        <w:rPr>
          <w:sz w:val="22"/>
        </w:rPr>
        <w:t xml:space="preserve"> W wielu przypadkach </w:t>
      </w:r>
      <w:r>
        <w:rPr>
          <w:sz w:val="22"/>
        </w:rPr>
        <w:t xml:space="preserve">spółka </w:t>
      </w:r>
      <w:r w:rsidR="007A1C3D">
        <w:rPr>
          <w:sz w:val="22"/>
        </w:rPr>
        <w:t xml:space="preserve">przedłużała nawet ten </w:t>
      </w:r>
      <w:r w:rsidR="00A573F0">
        <w:rPr>
          <w:sz w:val="22"/>
        </w:rPr>
        <w:t>bezpodstawnie</w:t>
      </w:r>
      <w:r w:rsidR="007A1C3D">
        <w:rPr>
          <w:sz w:val="22"/>
        </w:rPr>
        <w:t xml:space="preserve"> wydłużony 180-dniowy termin zwrotu pieniędzy, uniemożliwiając konsumentom dostęp do własnych środków finansowych. Za stosowanie nieuczciwej praktyki spółka eBilet została ukarana przez Prezesa UOKiK karą finansową w wysokości 1 325 880 zł.</w:t>
      </w:r>
    </w:p>
    <w:p w14:paraId="54E60781" w14:textId="75A29625" w:rsidR="00E02B7B" w:rsidRDefault="00D82622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Obie decyzje dotyczące spółki eBilet nie są prawomocne</w:t>
      </w:r>
      <w:r w:rsidR="00BE1749">
        <w:rPr>
          <w:sz w:val="22"/>
        </w:rPr>
        <w:t>.</w:t>
      </w:r>
    </w:p>
    <w:p w14:paraId="4D97B66B" w14:textId="77777777" w:rsidR="00E965D2" w:rsidRDefault="00E965D2" w:rsidP="00986C37">
      <w:pPr>
        <w:spacing w:after="100" w:afterAutospacing="1" w:line="372" w:lineRule="auto"/>
        <w:jc w:val="both"/>
        <w:rPr>
          <w:sz w:val="22"/>
        </w:rPr>
      </w:pPr>
    </w:p>
    <w:bookmarkEnd w:id="0"/>
    <w:p w14:paraId="65F2C72F" w14:textId="1CA1E478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2DD04C9D" w14:textId="28B629A9" w:rsid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0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1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2" w:history="1">
        <w:r w:rsidR="009D49D9" w:rsidRPr="007E66AA">
          <w:rPr>
            <w:rStyle w:val="Hipercze"/>
            <w:szCs w:val="18"/>
          </w:rPr>
          <w:t>Europejskie Centrum Konsumenckie</w:t>
        </w:r>
      </w:hyperlink>
      <w:r w:rsidR="009D49D9">
        <w:rPr>
          <w:szCs w:val="18"/>
        </w:rPr>
        <w:t xml:space="preserve"> -</w:t>
      </w:r>
      <w:r w:rsidR="009D49D9" w:rsidRPr="007E66AA">
        <w:rPr>
          <w:szCs w:val="18"/>
        </w:rPr>
        <w:t xml:space="preserve"> 22 55 60 600 – w sprawach transgranicznych dotyczących państw UE, Norwegii, Islandii i Wielkiej Brytanii</w:t>
      </w:r>
    </w:p>
    <w:p w14:paraId="2983D029" w14:textId="53B34F68" w:rsidR="006B0249" w:rsidRPr="00B075C5" w:rsidRDefault="006B0249" w:rsidP="007A1C3D">
      <w:pPr>
        <w:spacing w:after="100" w:afterAutospacing="1" w:line="372" w:lineRule="auto"/>
        <w:jc w:val="both"/>
        <w:rPr>
          <w:szCs w:val="18"/>
        </w:rPr>
      </w:pPr>
      <w:r>
        <w:rPr>
          <w:szCs w:val="18"/>
        </w:rPr>
        <w:t xml:space="preserve"> </w:t>
      </w:r>
    </w:p>
    <w:sectPr w:rsidR="006B0249" w:rsidRPr="00B075C5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D000C" w14:textId="77777777" w:rsidR="00F20823" w:rsidRDefault="00F20823">
      <w:r>
        <w:separator/>
      </w:r>
    </w:p>
  </w:endnote>
  <w:endnote w:type="continuationSeparator" w:id="0">
    <w:p w14:paraId="4741CA98" w14:textId="77777777" w:rsidR="00F20823" w:rsidRDefault="00F2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A96AC" w14:textId="77777777" w:rsidR="00F20823" w:rsidRDefault="00F20823">
      <w:r>
        <w:separator/>
      </w:r>
    </w:p>
  </w:footnote>
  <w:footnote w:type="continuationSeparator" w:id="0">
    <w:p w14:paraId="3A0A1A60" w14:textId="77777777" w:rsidR="00F20823" w:rsidRDefault="00F20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546D"/>
    <w:rsid w:val="00023634"/>
    <w:rsid w:val="0002523D"/>
    <w:rsid w:val="00035F7B"/>
    <w:rsid w:val="00042F96"/>
    <w:rsid w:val="000651E9"/>
    <w:rsid w:val="00073AA7"/>
    <w:rsid w:val="000913F7"/>
    <w:rsid w:val="00091801"/>
    <w:rsid w:val="00091FF2"/>
    <w:rsid w:val="000A59E1"/>
    <w:rsid w:val="000A74FA"/>
    <w:rsid w:val="000B149D"/>
    <w:rsid w:val="000B167F"/>
    <w:rsid w:val="000B1AC5"/>
    <w:rsid w:val="000B40A7"/>
    <w:rsid w:val="000B7247"/>
    <w:rsid w:val="00100F7B"/>
    <w:rsid w:val="0010559C"/>
    <w:rsid w:val="00106D3E"/>
    <w:rsid w:val="00107844"/>
    <w:rsid w:val="00116102"/>
    <w:rsid w:val="00120FBD"/>
    <w:rsid w:val="0012424D"/>
    <w:rsid w:val="0013159A"/>
    <w:rsid w:val="00135455"/>
    <w:rsid w:val="00143029"/>
    <w:rsid w:val="00143310"/>
    <w:rsid w:val="00144E9C"/>
    <w:rsid w:val="00161094"/>
    <w:rsid w:val="00163DF9"/>
    <w:rsid w:val="001666D6"/>
    <w:rsid w:val="00166B5D"/>
    <w:rsid w:val="001675EF"/>
    <w:rsid w:val="0017028A"/>
    <w:rsid w:val="001717C7"/>
    <w:rsid w:val="001806F8"/>
    <w:rsid w:val="00190D5A"/>
    <w:rsid w:val="00195443"/>
    <w:rsid w:val="001979B5"/>
    <w:rsid w:val="001A5F7C"/>
    <w:rsid w:val="001A6E5B"/>
    <w:rsid w:val="001A7451"/>
    <w:rsid w:val="001C1FAD"/>
    <w:rsid w:val="001C6E51"/>
    <w:rsid w:val="001E188E"/>
    <w:rsid w:val="001E4F92"/>
    <w:rsid w:val="001F4A73"/>
    <w:rsid w:val="00205580"/>
    <w:rsid w:val="002157BB"/>
    <w:rsid w:val="00221024"/>
    <w:rsid w:val="00225AE6"/>
    <w:rsid w:val="002262B5"/>
    <w:rsid w:val="0023138D"/>
    <w:rsid w:val="002379B9"/>
    <w:rsid w:val="00240013"/>
    <w:rsid w:val="0024118E"/>
    <w:rsid w:val="00241BAC"/>
    <w:rsid w:val="00253E62"/>
    <w:rsid w:val="002548B9"/>
    <w:rsid w:val="0025532A"/>
    <w:rsid w:val="00260382"/>
    <w:rsid w:val="00264D7F"/>
    <w:rsid w:val="00266CB4"/>
    <w:rsid w:val="00267DD1"/>
    <w:rsid w:val="00272E71"/>
    <w:rsid w:val="002774F8"/>
    <w:rsid w:val="002801AA"/>
    <w:rsid w:val="00295B34"/>
    <w:rsid w:val="002A5D69"/>
    <w:rsid w:val="002B1DBF"/>
    <w:rsid w:val="002C0D5D"/>
    <w:rsid w:val="002C1818"/>
    <w:rsid w:val="002C5AF4"/>
    <w:rsid w:val="002C692D"/>
    <w:rsid w:val="002C6ABE"/>
    <w:rsid w:val="002D5EED"/>
    <w:rsid w:val="002E388C"/>
    <w:rsid w:val="002F1BF3"/>
    <w:rsid w:val="002F30D4"/>
    <w:rsid w:val="002F4D43"/>
    <w:rsid w:val="00301A16"/>
    <w:rsid w:val="003056C6"/>
    <w:rsid w:val="00310A95"/>
    <w:rsid w:val="00311B14"/>
    <w:rsid w:val="00324306"/>
    <w:rsid w:val="003278D6"/>
    <w:rsid w:val="003303F0"/>
    <w:rsid w:val="0034059B"/>
    <w:rsid w:val="0035019C"/>
    <w:rsid w:val="00360248"/>
    <w:rsid w:val="00360C66"/>
    <w:rsid w:val="00363029"/>
    <w:rsid w:val="00366A46"/>
    <w:rsid w:val="00377810"/>
    <w:rsid w:val="00377A0D"/>
    <w:rsid w:val="0038677D"/>
    <w:rsid w:val="00390405"/>
    <w:rsid w:val="003A47D6"/>
    <w:rsid w:val="003A6E29"/>
    <w:rsid w:val="003B5CDF"/>
    <w:rsid w:val="003C06A8"/>
    <w:rsid w:val="003D3FF4"/>
    <w:rsid w:val="003D5DCC"/>
    <w:rsid w:val="003D7161"/>
    <w:rsid w:val="003E3F9D"/>
    <w:rsid w:val="003E69E5"/>
    <w:rsid w:val="0040748E"/>
    <w:rsid w:val="00412206"/>
    <w:rsid w:val="00427E08"/>
    <w:rsid w:val="00430491"/>
    <w:rsid w:val="00432A3D"/>
    <w:rsid w:val="004349BA"/>
    <w:rsid w:val="0043575C"/>
    <w:rsid w:val="004365C7"/>
    <w:rsid w:val="004425B7"/>
    <w:rsid w:val="00444A85"/>
    <w:rsid w:val="00462CFA"/>
    <w:rsid w:val="00480FED"/>
    <w:rsid w:val="00486DB1"/>
    <w:rsid w:val="004872FF"/>
    <w:rsid w:val="00493E10"/>
    <w:rsid w:val="004972E8"/>
    <w:rsid w:val="004A2E5C"/>
    <w:rsid w:val="004B4495"/>
    <w:rsid w:val="004C0F9E"/>
    <w:rsid w:val="004C1243"/>
    <w:rsid w:val="004C5C26"/>
    <w:rsid w:val="004D13CB"/>
    <w:rsid w:val="004F493B"/>
    <w:rsid w:val="004F7E99"/>
    <w:rsid w:val="005003F9"/>
    <w:rsid w:val="0050417B"/>
    <w:rsid w:val="005133CE"/>
    <w:rsid w:val="00521BA3"/>
    <w:rsid w:val="00523E0D"/>
    <w:rsid w:val="00525588"/>
    <w:rsid w:val="0052710E"/>
    <w:rsid w:val="00534BFD"/>
    <w:rsid w:val="00536FF2"/>
    <w:rsid w:val="005442FC"/>
    <w:rsid w:val="00544E18"/>
    <w:rsid w:val="005470CA"/>
    <w:rsid w:val="0055631D"/>
    <w:rsid w:val="00563889"/>
    <w:rsid w:val="005645CE"/>
    <w:rsid w:val="00593935"/>
    <w:rsid w:val="005973FD"/>
    <w:rsid w:val="00597C68"/>
    <w:rsid w:val="005A382B"/>
    <w:rsid w:val="005A4047"/>
    <w:rsid w:val="005A7271"/>
    <w:rsid w:val="005B0B48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14EB9"/>
    <w:rsid w:val="00633D4E"/>
    <w:rsid w:val="0063526F"/>
    <w:rsid w:val="00637E86"/>
    <w:rsid w:val="006422DE"/>
    <w:rsid w:val="006439FA"/>
    <w:rsid w:val="0067485D"/>
    <w:rsid w:val="006761B2"/>
    <w:rsid w:val="006A2065"/>
    <w:rsid w:val="006A3D88"/>
    <w:rsid w:val="006A4A7A"/>
    <w:rsid w:val="006A74C3"/>
    <w:rsid w:val="006B0249"/>
    <w:rsid w:val="006B0848"/>
    <w:rsid w:val="006B733D"/>
    <w:rsid w:val="006C34AE"/>
    <w:rsid w:val="006C67AF"/>
    <w:rsid w:val="006D3DC5"/>
    <w:rsid w:val="006E125B"/>
    <w:rsid w:val="006F143B"/>
    <w:rsid w:val="007039EC"/>
    <w:rsid w:val="007074AA"/>
    <w:rsid w:val="00714664"/>
    <w:rsid w:val="0071572D"/>
    <w:rsid w:val="007157BA"/>
    <w:rsid w:val="007169F9"/>
    <w:rsid w:val="007174A6"/>
    <w:rsid w:val="007214F1"/>
    <w:rsid w:val="007224B3"/>
    <w:rsid w:val="00724595"/>
    <w:rsid w:val="00726E0F"/>
    <w:rsid w:val="00730D9B"/>
    <w:rsid w:val="00731303"/>
    <w:rsid w:val="0073172C"/>
    <w:rsid w:val="00740019"/>
    <w:rsid w:val="007402E0"/>
    <w:rsid w:val="0074489D"/>
    <w:rsid w:val="00746549"/>
    <w:rsid w:val="007514AD"/>
    <w:rsid w:val="00754634"/>
    <w:rsid w:val="0075524D"/>
    <w:rsid w:val="007560B0"/>
    <w:rsid w:val="007627D7"/>
    <w:rsid w:val="00763CD0"/>
    <w:rsid w:val="00770A00"/>
    <w:rsid w:val="00773403"/>
    <w:rsid w:val="00776C4F"/>
    <w:rsid w:val="00777257"/>
    <w:rsid w:val="00781261"/>
    <w:rsid w:val="007838E4"/>
    <w:rsid w:val="007846DC"/>
    <w:rsid w:val="00785AF4"/>
    <w:rsid w:val="007A19D8"/>
    <w:rsid w:val="007A1C3D"/>
    <w:rsid w:val="007A4D3C"/>
    <w:rsid w:val="007C2DBF"/>
    <w:rsid w:val="007E36E4"/>
    <w:rsid w:val="007F0ACE"/>
    <w:rsid w:val="007F4C3E"/>
    <w:rsid w:val="007F68F7"/>
    <w:rsid w:val="00800F0E"/>
    <w:rsid w:val="00804024"/>
    <w:rsid w:val="0081753E"/>
    <w:rsid w:val="008274C2"/>
    <w:rsid w:val="0085010E"/>
    <w:rsid w:val="00850A00"/>
    <w:rsid w:val="0085454F"/>
    <w:rsid w:val="0087354F"/>
    <w:rsid w:val="008837D6"/>
    <w:rsid w:val="0089109C"/>
    <w:rsid w:val="00896985"/>
    <w:rsid w:val="008A409C"/>
    <w:rsid w:val="008C28C5"/>
    <w:rsid w:val="008C53D0"/>
    <w:rsid w:val="008D527A"/>
    <w:rsid w:val="008D56DA"/>
    <w:rsid w:val="008D5771"/>
    <w:rsid w:val="008E352A"/>
    <w:rsid w:val="008F472E"/>
    <w:rsid w:val="008F6F5A"/>
    <w:rsid w:val="00901EDB"/>
    <w:rsid w:val="00902556"/>
    <w:rsid w:val="0090338C"/>
    <w:rsid w:val="0091048E"/>
    <w:rsid w:val="00924ABC"/>
    <w:rsid w:val="00940E8F"/>
    <w:rsid w:val="00942392"/>
    <w:rsid w:val="0095309C"/>
    <w:rsid w:val="00954878"/>
    <w:rsid w:val="009652F2"/>
    <w:rsid w:val="009719ED"/>
    <w:rsid w:val="00986C37"/>
    <w:rsid w:val="00997528"/>
    <w:rsid w:val="0099796A"/>
    <w:rsid w:val="009B3709"/>
    <w:rsid w:val="009C1346"/>
    <w:rsid w:val="009D05C8"/>
    <w:rsid w:val="009D49D9"/>
    <w:rsid w:val="009E0F84"/>
    <w:rsid w:val="009E3C0B"/>
    <w:rsid w:val="009E558C"/>
    <w:rsid w:val="009F5610"/>
    <w:rsid w:val="00A13244"/>
    <w:rsid w:val="00A17783"/>
    <w:rsid w:val="00A239AA"/>
    <w:rsid w:val="00A37314"/>
    <w:rsid w:val="00A439E8"/>
    <w:rsid w:val="00A45753"/>
    <w:rsid w:val="00A51CE5"/>
    <w:rsid w:val="00A53423"/>
    <w:rsid w:val="00A56EA8"/>
    <w:rsid w:val="00A573F0"/>
    <w:rsid w:val="00A62659"/>
    <w:rsid w:val="00A65F20"/>
    <w:rsid w:val="00A76293"/>
    <w:rsid w:val="00A77DA2"/>
    <w:rsid w:val="00A85D9D"/>
    <w:rsid w:val="00A92C4C"/>
    <w:rsid w:val="00AA602D"/>
    <w:rsid w:val="00AA66D2"/>
    <w:rsid w:val="00AB572D"/>
    <w:rsid w:val="00AE17B1"/>
    <w:rsid w:val="00AE1F5C"/>
    <w:rsid w:val="00AE2923"/>
    <w:rsid w:val="00AE7F9D"/>
    <w:rsid w:val="00AF1794"/>
    <w:rsid w:val="00B028F7"/>
    <w:rsid w:val="00B048CD"/>
    <w:rsid w:val="00B075C5"/>
    <w:rsid w:val="00B22863"/>
    <w:rsid w:val="00B41502"/>
    <w:rsid w:val="00B51024"/>
    <w:rsid w:val="00B512B5"/>
    <w:rsid w:val="00B55068"/>
    <w:rsid w:val="00B60CD8"/>
    <w:rsid w:val="00B60F9C"/>
    <w:rsid w:val="00B620EB"/>
    <w:rsid w:val="00B62C6E"/>
    <w:rsid w:val="00B6769E"/>
    <w:rsid w:val="00B73F22"/>
    <w:rsid w:val="00B76E1F"/>
    <w:rsid w:val="00B76F9A"/>
    <w:rsid w:val="00B774D3"/>
    <w:rsid w:val="00B810B2"/>
    <w:rsid w:val="00B9278C"/>
    <w:rsid w:val="00BA26F7"/>
    <w:rsid w:val="00BA79F0"/>
    <w:rsid w:val="00BB5068"/>
    <w:rsid w:val="00BB7AE8"/>
    <w:rsid w:val="00BD0481"/>
    <w:rsid w:val="00BD4447"/>
    <w:rsid w:val="00BD4539"/>
    <w:rsid w:val="00BE1749"/>
    <w:rsid w:val="00BE2623"/>
    <w:rsid w:val="00BE3923"/>
    <w:rsid w:val="00BE4BF0"/>
    <w:rsid w:val="00BE5EE5"/>
    <w:rsid w:val="00BE68EE"/>
    <w:rsid w:val="00BE7F63"/>
    <w:rsid w:val="00BF45FB"/>
    <w:rsid w:val="00C123B1"/>
    <w:rsid w:val="00C20E8A"/>
    <w:rsid w:val="00C21071"/>
    <w:rsid w:val="00C2398C"/>
    <w:rsid w:val="00C2549C"/>
    <w:rsid w:val="00C25569"/>
    <w:rsid w:val="00C27366"/>
    <w:rsid w:val="00C36310"/>
    <w:rsid w:val="00C63AA8"/>
    <w:rsid w:val="00C701B4"/>
    <w:rsid w:val="00C7140F"/>
    <w:rsid w:val="00C7783C"/>
    <w:rsid w:val="00C81210"/>
    <w:rsid w:val="00C84994"/>
    <w:rsid w:val="00C853EE"/>
    <w:rsid w:val="00C967B5"/>
    <w:rsid w:val="00CA6B58"/>
    <w:rsid w:val="00CB1AE6"/>
    <w:rsid w:val="00CB3ED4"/>
    <w:rsid w:val="00CB3F86"/>
    <w:rsid w:val="00CB4EC8"/>
    <w:rsid w:val="00CD1373"/>
    <w:rsid w:val="00CD34F0"/>
    <w:rsid w:val="00CE0954"/>
    <w:rsid w:val="00CF11F7"/>
    <w:rsid w:val="00D02D54"/>
    <w:rsid w:val="00D05E94"/>
    <w:rsid w:val="00D1323F"/>
    <w:rsid w:val="00D202BA"/>
    <w:rsid w:val="00D251AC"/>
    <w:rsid w:val="00D43766"/>
    <w:rsid w:val="00D47CCF"/>
    <w:rsid w:val="00D6457B"/>
    <w:rsid w:val="00D66DEC"/>
    <w:rsid w:val="00D70012"/>
    <w:rsid w:val="00D71A41"/>
    <w:rsid w:val="00D74FB6"/>
    <w:rsid w:val="00D7606C"/>
    <w:rsid w:val="00D768A4"/>
    <w:rsid w:val="00D82622"/>
    <w:rsid w:val="00D92F52"/>
    <w:rsid w:val="00DA753F"/>
    <w:rsid w:val="00DC182C"/>
    <w:rsid w:val="00DC5754"/>
    <w:rsid w:val="00DD34A3"/>
    <w:rsid w:val="00DD42B9"/>
    <w:rsid w:val="00DD6056"/>
    <w:rsid w:val="00DE0F4E"/>
    <w:rsid w:val="00DE7C6A"/>
    <w:rsid w:val="00DF2857"/>
    <w:rsid w:val="00DF782B"/>
    <w:rsid w:val="00E02B7B"/>
    <w:rsid w:val="00E03AEF"/>
    <w:rsid w:val="00E06504"/>
    <w:rsid w:val="00E102DE"/>
    <w:rsid w:val="00E24825"/>
    <w:rsid w:val="00E4105C"/>
    <w:rsid w:val="00E42093"/>
    <w:rsid w:val="00E522AD"/>
    <w:rsid w:val="00E63887"/>
    <w:rsid w:val="00E64103"/>
    <w:rsid w:val="00E76CD1"/>
    <w:rsid w:val="00E965D2"/>
    <w:rsid w:val="00ED1EEB"/>
    <w:rsid w:val="00EE4AD8"/>
    <w:rsid w:val="00EE6840"/>
    <w:rsid w:val="00F075E7"/>
    <w:rsid w:val="00F07ABC"/>
    <w:rsid w:val="00F139AC"/>
    <w:rsid w:val="00F20823"/>
    <w:rsid w:val="00F21EAC"/>
    <w:rsid w:val="00F3243D"/>
    <w:rsid w:val="00F4010B"/>
    <w:rsid w:val="00F40C3E"/>
    <w:rsid w:val="00F46D0D"/>
    <w:rsid w:val="00F92B59"/>
    <w:rsid w:val="00F948BC"/>
    <w:rsid w:val="00F94E17"/>
    <w:rsid w:val="00F960CF"/>
    <w:rsid w:val="00FA10A3"/>
    <w:rsid w:val="00FA1226"/>
    <w:rsid w:val="00FA63E9"/>
    <w:rsid w:val="00FB728B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0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019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01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0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konsument.gov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937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C082-BBB7-450A-BF30-35DF410132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1B1A4B7-C781-43E1-B077-86F80A74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4</cp:revision>
  <cp:lastPrinted>2023-11-10T07:24:00Z</cp:lastPrinted>
  <dcterms:created xsi:type="dcterms:W3CDTF">2023-11-16T07:01:00Z</dcterms:created>
  <dcterms:modified xsi:type="dcterms:W3CDTF">2023-11-16T07:18:00Z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32dae5e3-647d-4ea9-9819-f99d2d05690a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