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C01" w:rsidRDefault="004F35E0">
      <w:pPr>
        <w:spacing w:after="72" w:line="259" w:lineRule="auto"/>
        <w:ind w:left="2323" w:right="0" w:firstLine="0"/>
        <w:jc w:val="left"/>
      </w:pPr>
      <w:bookmarkStart w:id="0" w:name="_GoBack"/>
      <w:bookmarkEnd w:id="0"/>
      <w:r>
        <w:rPr>
          <w:noProof/>
        </w:rPr>
        <w:drawing>
          <wp:inline distT="0" distB="0" distL="0" distR="0">
            <wp:extent cx="469900" cy="508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469900" cy="508000"/>
                    </a:xfrm>
                    <a:prstGeom prst="rect">
                      <a:avLst/>
                    </a:prstGeom>
                  </pic:spPr>
                </pic:pic>
              </a:graphicData>
            </a:graphic>
          </wp:inline>
        </w:drawing>
      </w:r>
    </w:p>
    <w:p w:rsidR="00997C01" w:rsidRDefault="004F35E0">
      <w:pPr>
        <w:spacing w:after="0" w:line="259" w:lineRule="auto"/>
        <w:ind w:left="2159" w:right="0"/>
        <w:jc w:val="left"/>
      </w:pPr>
      <w:r>
        <w:rPr>
          <w:rFonts w:ascii="Times New Roman" w:eastAsia="Times New Roman" w:hAnsi="Times New Roman" w:cs="Times New Roman"/>
          <w:b/>
          <w:sz w:val="28"/>
        </w:rPr>
        <w:t>PREZES</w:t>
      </w:r>
    </w:p>
    <w:p w:rsidR="00997C01" w:rsidRDefault="004F35E0">
      <w:pPr>
        <w:spacing w:after="0" w:line="259" w:lineRule="auto"/>
        <w:ind w:left="1346" w:right="0"/>
        <w:jc w:val="left"/>
      </w:pPr>
      <w:r>
        <w:rPr>
          <w:rFonts w:ascii="Times New Roman" w:eastAsia="Times New Roman" w:hAnsi="Times New Roman" w:cs="Times New Roman"/>
          <w:b/>
          <w:sz w:val="28"/>
        </w:rPr>
        <w:t>URZĘDU OCHRONY</w:t>
      </w:r>
    </w:p>
    <w:p w:rsidR="00997C01" w:rsidRDefault="004F35E0">
      <w:pPr>
        <w:spacing w:after="0" w:line="259" w:lineRule="auto"/>
        <w:ind w:left="347" w:right="0"/>
        <w:jc w:val="left"/>
      </w:pPr>
      <w:r>
        <w:rPr>
          <w:rFonts w:ascii="Times New Roman" w:eastAsia="Times New Roman" w:hAnsi="Times New Roman" w:cs="Times New Roman"/>
          <w:b/>
          <w:sz w:val="28"/>
        </w:rPr>
        <w:t>KONKURENCJI I KONSUMENTÓW</w:t>
      </w:r>
    </w:p>
    <w:p w:rsidR="00997C01" w:rsidRDefault="004F35E0">
      <w:pPr>
        <w:spacing w:after="350" w:line="259" w:lineRule="auto"/>
        <w:ind w:left="1633" w:right="0" w:firstLine="0"/>
        <w:jc w:val="left"/>
      </w:pPr>
      <w:r>
        <w:rPr>
          <w:rFonts w:ascii="Times New Roman" w:eastAsia="Times New Roman" w:hAnsi="Times New Roman" w:cs="Times New Roman"/>
          <w:b/>
          <w:i/>
        </w:rPr>
        <w:t>TOMASZ CHRÓSTNY</w:t>
      </w:r>
    </w:p>
    <w:p w:rsidR="00997C01" w:rsidRDefault="004F35E0">
      <w:pPr>
        <w:spacing w:after="105" w:line="259" w:lineRule="auto"/>
        <w:jc w:val="right"/>
      </w:pPr>
      <w:r>
        <w:t>Warszawa, 13 lutego 2026 r.</w:t>
      </w:r>
    </w:p>
    <w:p w:rsidR="00997C01" w:rsidRDefault="004F35E0">
      <w:pPr>
        <w:spacing w:after="685"/>
        <w:ind w:left="260" w:right="0"/>
      </w:pPr>
      <w:r>
        <w:t>DOZIK-5.053.1.2026.BK</w:t>
      </w:r>
    </w:p>
    <w:p w:rsidR="00997C01" w:rsidRDefault="00997C01">
      <w:pPr>
        <w:spacing w:after="10" w:line="265" w:lineRule="auto"/>
        <w:ind w:left="2446" w:right="0"/>
        <w:jc w:val="center"/>
      </w:pPr>
    </w:p>
    <w:p w:rsidR="00997C01" w:rsidRDefault="00997C01">
      <w:pPr>
        <w:spacing w:after="1190" w:line="265" w:lineRule="auto"/>
        <w:ind w:left="3393" w:right="0"/>
        <w:jc w:val="center"/>
      </w:pPr>
    </w:p>
    <w:p w:rsidR="00997C01" w:rsidRDefault="004F35E0">
      <w:pPr>
        <w:spacing w:after="225" w:line="259" w:lineRule="auto"/>
        <w:ind w:left="137" w:right="0" w:firstLine="0"/>
        <w:jc w:val="left"/>
      </w:pPr>
      <w:r>
        <w:rPr>
          <w:i/>
        </w:rPr>
        <w:t>Szanowny Panie,</w:t>
      </w:r>
    </w:p>
    <w:p w:rsidR="00997C01" w:rsidRDefault="004F35E0">
      <w:pPr>
        <w:ind w:left="137" w:right="0"/>
      </w:pPr>
      <w:r>
        <w:t xml:space="preserve">W odpowiedzi na Pańską petycję z dnia 3 grudnia 2025 r. skierowaną do Prezesa UOKiK, dotyczącą ograniczenia kosztów pożyczek krótkoterminowych i problemu nadmiernego zadłużenia konsumentów, przekazaną mi również przez Ministra Sprawiedliwości (pismo z dnia 22 grudnia 2025 r., znak: DPCiG-VII.070.6.2025), proszę przyjąć następujące wyjaśnienia wobec przedstawianych postulatów. </w:t>
      </w:r>
    </w:p>
    <w:p w:rsidR="00997C01" w:rsidRDefault="004F35E0">
      <w:pPr>
        <w:ind w:left="137" w:right="0"/>
      </w:pPr>
      <w:r>
        <w:t xml:space="preserve">W swoich petycjach zawarł Pan postulat wprowadzenia ustawowego ograniczenia kosztów kredytu takich jak limit RRSO lub limit opłat i prowizji. W tym zakresie należy wyjaśnić, że ograniczenia tego rodzaju funkcjonują już na gruncie aktualnie obowiązujących przepisów. </w:t>
      </w:r>
    </w:p>
    <w:p w:rsidR="00997C01" w:rsidRDefault="004F35E0">
      <w:pPr>
        <w:ind w:left="137" w:right="0"/>
      </w:pPr>
      <w:r>
        <w:t>Po pierwsze, art. 359 par. 2</w:t>
      </w:r>
      <w:r>
        <w:rPr>
          <w:vertAlign w:val="superscript"/>
        </w:rPr>
        <w:t>1</w:t>
      </w:r>
      <w:r>
        <w:t xml:space="preserve"> Kodeksu cywilnego reguluje instytucję odsetek maksymalnych. Zgodnie z tym przepisem wierzyciel może zastrzec w umowie odsetki w kwocie, która nie jest wyższa niż dwukrotność odsetek ustawowych. Zgodnie z tą regulacją obecnie odsetki zastrzeżone w umowie, w tym w umowie kredytu, mogą wynosić maksymalnie 15% w skali roku. W przypadku naruszenia tej zasady, odsetki przewyższające próg odsetek maksymalnych nie mogą być skutecznie dochodzone przez wierzyciela, a sąd z urzędu oddali żądanie odsetek, w części niezgodnej z art. 359 par. 2</w:t>
      </w:r>
      <w:r>
        <w:rPr>
          <w:vertAlign w:val="superscript"/>
        </w:rPr>
        <w:t>1</w:t>
      </w:r>
      <w:r>
        <w:t xml:space="preserve"> Kodeksu cywilnego.</w:t>
      </w:r>
    </w:p>
    <w:p w:rsidR="00997C01" w:rsidRDefault="004F35E0">
      <w:pPr>
        <w:ind w:left="137" w:right="0"/>
      </w:pPr>
      <w:r>
        <w:t xml:space="preserve">Po drugie, art. 36a ustawy z dnia 12 maja 2011 r. </w:t>
      </w:r>
      <w:r>
        <w:rPr>
          <w:i/>
        </w:rPr>
        <w:t>o kredycie konsumenckim</w:t>
      </w:r>
      <w:r>
        <w:t xml:space="preserve"> ogranicza wysokość pozaodsetkowych kosztów kredytu, czyli opłat pobieranych przez kredytodawcę, innych niż odsetki, takich jak np. prowizja czy opłaty administracyjne. Zgodnie z tym przepisem w przypadku kredytów krótkoterminowych, o okresie spłaty krótszym niż 30 dni, suma maksymalnych opłat pozaodsetkowych nie może przekroczyć 5% całkowitej kwoty kredytu.</w:t>
      </w:r>
    </w:p>
    <w:p w:rsidR="00997C01" w:rsidRDefault="004F35E0">
      <w:pPr>
        <w:ind w:left="137" w:right="0"/>
      </w:pPr>
      <w:r>
        <w:t>Z kolei dla kredytów o okresie spłaty wynoszącym 30 dni lub więcej suma opłat innych niż odsetki (MPKK) nie może przekroczyć progu obliczonego według wzoru:</w:t>
      </w:r>
    </w:p>
    <w:p w:rsidR="00997C01" w:rsidRDefault="004F35E0">
      <w:pPr>
        <w:spacing w:after="136" w:line="259" w:lineRule="auto"/>
        <w:ind w:left="152" w:right="0"/>
        <w:jc w:val="center"/>
      </w:pPr>
      <w:r>
        <w:t>MPKK = (K x 10%) + (K x n/R x 10%)</w:t>
      </w:r>
    </w:p>
    <w:p w:rsidR="00997C01" w:rsidRDefault="004F35E0">
      <w:pPr>
        <w:spacing w:after="136" w:line="259" w:lineRule="auto"/>
        <w:ind w:left="152" w:right="0"/>
        <w:jc w:val="center"/>
      </w:pPr>
      <w:r>
        <w:t>gdzie K oznacza całkowitą kwotę kredytu</w:t>
      </w:r>
    </w:p>
    <w:p w:rsidR="00997C01" w:rsidRDefault="004F35E0">
      <w:pPr>
        <w:spacing w:after="136" w:line="259" w:lineRule="auto"/>
        <w:ind w:left="152" w:right="0"/>
        <w:jc w:val="center"/>
      </w:pPr>
      <w:r>
        <w:lastRenderedPageBreak/>
        <w:t>n – okres spłaty wyrażony w dniach</w:t>
      </w:r>
    </w:p>
    <w:p w:rsidR="00997C01" w:rsidRDefault="004F35E0">
      <w:pPr>
        <w:spacing w:after="136" w:line="259" w:lineRule="auto"/>
        <w:ind w:left="152" w:right="0"/>
        <w:jc w:val="center"/>
      </w:pPr>
      <w:r>
        <w:t>R – liczbę dni w roku</w:t>
      </w:r>
    </w:p>
    <w:p w:rsidR="00997C01" w:rsidRDefault="004F35E0">
      <w:pPr>
        <w:ind w:left="137" w:right="0"/>
      </w:pPr>
      <w:r>
        <w:t>Jednocześnie pozaodsetkowe koszty kredytu, niezależnie od tego ile wynosi okres spłaty, nigdy nie mogą być wyższe niż 45% całkowitej kwoty kredytu.</w:t>
      </w:r>
    </w:p>
    <w:p w:rsidR="00997C01" w:rsidRDefault="004F35E0">
      <w:pPr>
        <w:ind w:left="137" w:right="0"/>
      </w:pPr>
      <w:r>
        <w:t xml:space="preserve">Aktualnie trwają prace nad </w:t>
      </w:r>
      <w:r>
        <w:rPr>
          <w:i/>
        </w:rPr>
        <w:t>projektem ustawy o kredycie konsumenckim</w:t>
      </w:r>
      <w:r>
        <w:t xml:space="preserve"> (UC82), który wdraża dyrektywę 2023/2225 </w:t>
      </w:r>
      <w:r>
        <w:rPr>
          <w:i/>
        </w:rPr>
        <w:t>w sprawie umów o kredyt konsumencki</w:t>
      </w:r>
      <w:r>
        <w:t>. Projekt ten znajduje się na etapie uzgodnień międzyresortowych, konsultacji i opiniowania, i jest dostępny na stronach Rządowego Centrum Legislacji</w:t>
      </w:r>
      <w:r>
        <w:rPr>
          <w:vertAlign w:val="superscript"/>
        </w:rPr>
        <w:footnoteReference w:id="1"/>
      </w:r>
      <w:r>
        <w:t xml:space="preserve">. Procedowany projekt utrzymuje rozwiązania w zakresie maksymalnych pozaodsetkowych kosztów kredytu, w tym limity określone w obowiązującej ustawie, przytoczone powyżej, uzupełniając je o ograniczenia dotyczące pozaodsetkowych kosztów kredytu w rachunku oszczędnościowo-rozliczeniowym oraz związanych z umową o limit na karcie kredytowej. </w:t>
      </w:r>
    </w:p>
    <w:p w:rsidR="00997C01" w:rsidRDefault="004F35E0">
      <w:pPr>
        <w:ind w:left="137" w:right="0"/>
      </w:pPr>
      <w:r>
        <w:t>Zgodnie z projektowanymi przepisami maksymalne pozaodsetkowe koszty kredytu dla kredytu w rachunku i karty kredytowej nie mogłyby przekroczyć określonego w ustawie limitu zadłużenia. Planuje się, by limit ten wynosił 24% rocznie i dotyczył opłat, które mają związek z kredytem. Kształt przepisów jest obecnie przedmiotem uzgodnień międzyresortowych, więc szczegóły tego rozwiązania mogą ulec zmianom. Dyrektywa 2023/2225 wymaga jednak ustanowienia maksymalnych pułapów odsetek i kosztów pozaodsetkowych dla kredytów, w tym kart kredytowych i kredytu w rachunku oszczędnościowo-rozliczeniowym, stąd nowa ustawa o kredycie konsumenckim będzie zawierała rozwiązania limitujące w tym zakresie.</w:t>
      </w:r>
    </w:p>
    <w:p w:rsidR="00997C01" w:rsidRDefault="004F35E0">
      <w:pPr>
        <w:ind w:left="137" w:right="0"/>
      </w:pPr>
      <w:r>
        <w:t xml:space="preserve">Odnosząc się do opisanego problemu nadmiernego zadłużenia konsumentów należy wskazać, że projektowana ustawa wprowadza nowe przepisy dotyczące badania zdolności kredytowej konsumentów zaciągających kredyty konsumenckie. </w:t>
      </w:r>
    </w:p>
    <w:p w:rsidR="00997C01" w:rsidRDefault="004F35E0">
      <w:pPr>
        <w:ind w:left="137" w:right="0"/>
      </w:pPr>
      <w:r>
        <w:t xml:space="preserve">Projektowane przepisy wskażą w pierwszej kolejności, że badanie zdolności kredytowej będzie dokonywane w interesie konsumenta, w celu zapobiegania nadmiernemu zadłużeniu. Badanie zdolności kredytowej ma być dokonywane na podstawie informacji o dochodach i wydatkach konsumenta oraz innych informacji o jego sytuacji finansowej. Jednocześnie kredytodawca będzie zobligowany do uwzględniania w ocenie zdolności kredytowej informacji o konsumencie, pochodzących z co najmniej dwóch baz danych wykorzystywanych do badania zdolności, takich jak Biuro Informacji Kredytowej oraz biura informacji gospodarczej, m. in. w celu weryfikacji czy konsument nie doświadcza trudności w regulowaniu swoich zobowiązań. Projektowane przepisy określą również, że kredytodawca będzie mógł udzielić kredyt jedynie w sytuacji, gdy wynik badania zdolności kredytowej wskaże, że wykonanie przez konsumenta zobowiązań wynikających z umowy o kredyt zgodnie z jej warunkami jest prawdopodobne. </w:t>
      </w:r>
    </w:p>
    <w:p w:rsidR="00997C01" w:rsidRDefault="004F35E0">
      <w:pPr>
        <w:ind w:left="137" w:right="0"/>
      </w:pPr>
      <w:r>
        <w:t xml:space="preserve">Projektowana ustawa zawiera też przepisy dotyczące poradnictwa w zakresie oddłużenia. Poradnictwo to będzie świadczone przez Rzecznika Finansowego i ma polegać na udzielaniu konsumentom doświadczającym na trudności w spłacie zobowiązań i narażonym na takie trudności, specjalistycznej i spersonalizowanej pomocy o charakterze technicznym, prawnym i psychologicznym. Kredytodawcy będą musieli informować konsumentów o poradnictwie, a w przypadkach określonych w ustawie takich jak m. in. odrzucenie wniosku kredytowego, czy problemy ze spłatą, również kierowania do poradnictwa. To rozwiązanie </w:t>
      </w:r>
      <w:r>
        <w:lastRenderedPageBreak/>
        <w:t xml:space="preserve">będzie stanowiło wsparcie konsumentów mających trudności w spłacie zobowiązań, w wyjściu z tej sytuacji. </w:t>
      </w:r>
    </w:p>
    <w:p w:rsidR="00997C01" w:rsidRDefault="004F35E0">
      <w:pPr>
        <w:ind w:left="137" w:right="0"/>
      </w:pPr>
      <w:r>
        <w:t xml:space="preserve">Odnosząc się natomiast do postulatu wzmocnienia nadzoru i wprowadzenia obowiązku raportowania kluczowych danych przez firmy pożyczkowe (np. liczba umów, opóźnienia w spłacie), pragnę wyjaśnić, że takie rozwiązanie zostało przewidziane w art. 59dg aktualnie obowiązującej ustawy o kredycie konsumenckim, i zostanie utrzymane w projekcie nowej ustawy. Zgodnie z przywołanym przepisem instytucje pożyczkowe zobligowane są do przekazywania Komisji Nadzoru Finansowego kwartalnych i rocznych sprawozdań z działalności obejmujących m. in. informacje o udzielonych kredytach konsumenckich, w tym ich liczbie, wartości, strukturze terminowej oraz opóźnieniach w spłatach. Instytucje pożyczkowe będą podlegać nadzorowi KNF również w odniesieniu do realizacji obowiązków związanych z badaniem zdolności kredytowej. </w:t>
      </w:r>
    </w:p>
    <w:p w:rsidR="00997C01" w:rsidRDefault="004F35E0">
      <w:pPr>
        <w:ind w:left="137" w:right="0"/>
      </w:pPr>
      <w:r>
        <w:t xml:space="preserve">W swoich petycjach podkreśla Pan również zasadność prowadzenia działań edukacyjnych i ostrzegawczych dotyczących kosztów wiążących się z zaciąganiem kredytów, skierowanych do konsumentów. Również te postulaty zostaną zrealizowane w projektowanej ustawie wdrażając w ty zakresie . </w:t>
      </w:r>
    </w:p>
    <w:p w:rsidR="00997C01" w:rsidRDefault="004F35E0">
      <w:pPr>
        <w:ind w:left="137" w:right="0"/>
      </w:pPr>
      <w:r>
        <w:t>Po pierwsze, nowe przepisy nałożą na kredytodawców obowiązek zamieszczania w każdej reklamie kredytu konsumenckiego wyraźnego ostrzeżenia, że pożyczanie pieniędzy wiąże się z ponoszeniem kosztów rzez konsumenta. Po drugie, w projekcie ustawy wprowadzono zmiany dotyczące sposobu przekazywania informacji przedumownych. Celem tych zmian jest ułatwienie konsumentowi zapoznania się z najistotniejszymi informacjami i jednocześnie uniknięcie przeładowania informacjami, które nie są potrzebne do oceny zakresu zobowiązania. Stąd też przewidziano, że najważniejsze informacje dotyczące kosztów kredytu, takie jak całkowita kwota kredytu, całkowita kwota do zapłaty, oprocentowanie, RRSO, koszty związane z brakiem terminowej spłaty, powinny znaleźć się na pierwszej stronie formularza informacyjnego. Spełnianie tych wymogów będzie podlegać, podobnie jak w aktualnym stanie prawnym, kontroli Prezesa UOKiK.</w:t>
      </w:r>
    </w:p>
    <w:p w:rsidR="00997C01" w:rsidRDefault="004F35E0">
      <w:pPr>
        <w:spacing w:after="381"/>
        <w:ind w:left="137" w:right="0"/>
      </w:pPr>
      <w:r>
        <w:t>Niezależnie od powyższego, należy zastrzec, że z uwagi na trwający proces legislacyjny, szczegóły rozwiązań opisane powyżej mogą podlegać zmianom. Niemniej jednak, cel i główne zasady dotyczące badania zdolności kredytowej, poradnictwo w zakresie oddłużenia, obowiązki informacyjne czy obowiązek ustanowienia maksymalnych limitów opłat związanych z kredytem wynikają wprost z dyrektywy 2023/2225, stąd też ewentualne zmiany w tym zakresie nie mogą naruszać istoty tych rozwiązań.</w:t>
      </w:r>
    </w:p>
    <w:p w:rsidR="00997C01" w:rsidRDefault="004F35E0">
      <w:pPr>
        <w:spacing w:after="327" w:line="259" w:lineRule="auto"/>
        <w:ind w:left="6185" w:right="0" w:firstLine="0"/>
        <w:jc w:val="left"/>
      </w:pPr>
      <w:r>
        <w:rPr>
          <w:i/>
        </w:rPr>
        <w:t>Z poważaniem</w:t>
      </w:r>
    </w:p>
    <w:p w:rsidR="00997C01" w:rsidRDefault="004F35E0">
      <w:pPr>
        <w:spacing w:after="0"/>
        <w:ind w:left="6070" w:right="0"/>
      </w:pPr>
      <w:r>
        <w:t>Tomasz Chróstny</w:t>
      </w:r>
    </w:p>
    <w:p w:rsidR="00997C01" w:rsidRDefault="004F35E0">
      <w:pPr>
        <w:spacing w:after="0" w:line="259" w:lineRule="auto"/>
        <w:ind w:left="4580" w:right="0"/>
        <w:jc w:val="center"/>
      </w:pPr>
      <w:r>
        <w:t>Prezes</w:t>
      </w:r>
    </w:p>
    <w:p w:rsidR="00997C01" w:rsidRDefault="004F35E0">
      <w:pPr>
        <w:spacing w:after="176" w:line="259" w:lineRule="auto"/>
        <w:ind w:right="121"/>
        <w:jc w:val="right"/>
      </w:pPr>
      <w:r>
        <w:t>Urzędu Ochrony Konkurencji i Konsumentów</w:t>
      </w:r>
    </w:p>
    <w:p w:rsidR="00EC1395" w:rsidRDefault="00EC1395">
      <w:pPr>
        <w:spacing w:after="211" w:line="259" w:lineRule="auto"/>
        <w:ind w:left="0" w:right="325" w:firstLine="0"/>
        <w:jc w:val="right"/>
        <w:rPr>
          <w:i/>
          <w:sz w:val="16"/>
        </w:rPr>
      </w:pPr>
    </w:p>
    <w:p w:rsidR="00EC1395" w:rsidRDefault="00EC1395">
      <w:pPr>
        <w:spacing w:after="211" w:line="259" w:lineRule="auto"/>
        <w:ind w:left="0" w:right="325" w:firstLine="0"/>
        <w:jc w:val="right"/>
        <w:rPr>
          <w:i/>
          <w:sz w:val="16"/>
        </w:rPr>
      </w:pPr>
    </w:p>
    <w:p w:rsidR="00EC1395" w:rsidRDefault="00EC1395">
      <w:pPr>
        <w:spacing w:after="211" w:line="259" w:lineRule="auto"/>
        <w:ind w:left="0" w:right="325" w:firstLine="0"/>
        <w:jc w:val="right"/>
        <w:rPr>
          <w:i/>
          <w:sz w:val="16"/>
        </w:rPr>
      </w:pPr>
    </w:p>
    <w:p w:rsidR="00997C01" w:rsidRDefault="004F35E0">
      <w:pPr>
        <w:spacing w:after="211" w:line="259" w:lineRule="auto"/>
        <w:ind w:left="0" w:right="325" w:firstLine="0"/>
        <w:jc w:val="right"/>
      </w:pPr>
      <w:r>
        <w:rPr>
          <w:i/>
          <w:sz w:val="16"/>
        </w:rPr>
        <w:t>/podpisano kwalifikowanym podpisem elektronicznym/</w:t>
      </w:r>
    </w:p>
    <w:p w:rsidR="00997C01" w:rsidRDefault="004F35E0">
      <w:pPr>
        <w:spacing w:after="0" w:line="259" w:lineRule="auto"/>
        <w:ind w:left="142" w:right="0" w:firstLine="0"/>
        <w:jc w:val="left"/>
      </w:pPr>
      <w:r>
        <w:t xml:space="preserve"> </w:t>
      </w:r>
    </w:p>
    <w:p w:rsidR="00997C01" w:rsidRDefault="004F35E0">
      <w:pPr>
        <w:spacing w:after="464" w:line="265" w:lineRule="auto"/>
        <w:ind w:left="2446" w:right="2295"/>
        <w:jc w:val="center"/>
      </w:pPr>
      <w:r>
        <w:rPr>
          <w:b/>
        </w:rPr>
        <w:lastRenderedPageBreak/>
        <w:t>KLAUZULA INFORMACYJNA</w:t>
      </w:r>
    </w:p>
    <w:p w:rsidR="00997C01" w:rsidRDefault="004F35E0">
      <w:pPr>
        <w:spacing w:after="135" w:line="259" w:lineRule="auto"/>
        <w:ind w:left="0" w:right="0" w:firstLine="0"/>
        <w:jc w:val="left"/>
      </w:pPr>
      <w:r>
        <w:rPr>
          <w:b/>
          <w:sz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sz w:val="20"/>
        </w:rPr>
        <w:t xml:space="preserve"> informujemy, że:</w:t>
      </w:r>
    </w:p>
    <w:tbl>
      <w:tblPr>
        <w:tblStyle w:val="TableGrid"/>
        <w:tblW w:w="9782" w:type="dxa"/>
        <w:tblInd w:w="-142" w:type="dxa"/>
        <w:tblCellMar>
          <w:top w:w="45" w:type="dxa"/>
          <w:left w:w="108" w:type="dxa"/>
          <w:right w:w="55" w:type="dxa"/>
        </w:tblCellMar>
        <w:tblLook w:val="04A0" w:firstRow="1" w:lastRow="0" w:firstColumn="1" w:lastColumn="0" w:noHBand="0" w:noVBand="1"/>
      </w:tblPr>
      <w:tblGrid>
        <w:gridCol w:w="2269"/>
        <w:gridCol w:w="7513"/>
      </w:tblGrid>
      <w:tr w:rsidR="00997C01">
        <w:trPr>
          <w:trHeight w:val="787"/>
        </w:trPr>
        <w:tc>
          <w:tcPr>
            <w:tcW w:w="2269"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 xml:space="preserve">Administrator Danych </w:t>
            </w:r>
          </w:p>
          <w:p w:rsidR="00997C01" w:rsidRDefault="004F35E0">
            <w:pPr>
              <w:spacing w:after="0" w:line="259" w:lineRule="auto"/>
              <w:ind w:left="0" w:right="0" w:firstLine="0"/>
              <w:jc w:val="left"/>
            </w:pPr>
            <w:r>
              <w:rPr>
                <w:sz w:val="20"/>
              </w:rPr>
              <w:t>Osobowych</w:t>
            </w:r>
          </w:p>
        </w:tc>
        <w:tc>
          <w:tcPr>
            <w:tcW w:w="7513"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 xml:space="preserve">Administratorem Państwa danych osobowych jest Prezes Urzędu Ochrony </w:t>
            </w:r>
          </w:p>
          <w:p w:rsidR="00997C01" w:rsidRDefault="004F35E0">
            <w:pPr>
              <w:spacing w:after="0" w:line="259" w:lineRule="auto"/>
              <w:ind w:left="0" w:right="0" w:firstLine="0"/>
              <w:jc w:val="left"/>
            </w:pPr>
            <w:r>
              <w:rPr>
                <w:sz w:val="20"/>
              </w:rPr>
              <w:t>Konkurencji i Konsumentów, pl. Powstańców Warszawy 1, 00-950 Warszawa.</w:t>
            </w:r>
          </w:p>
        </w:tc>
      </w:tr>
      <w:tr w:rsidR="00997C01">
        <w:trPr>
          <w:trHeight w:val="922"/>
        </w:trPr>
        <w:tc>
          <w:tcPr>
            <w:tcW w:w="2269"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 xml:space="preserve">Dane kontaktowe </w:t>
            </w:r>
          </w:p>
          <w:p w:rsidR="00997C01" w:rsidRDefault="004F35E0">
            <w:pPr>
              <w:spacing w:after="0" w:line="259" w:lineRule="auto"/>
              <w:ind w:left="0" w:right="0" w:firstLine="0"/>
              <w:jc w:val="left"/>
            </w:pPr>
            <w:r>
              <w:rPr>
                <w:sz w:val="20"/>
              </w:rPr>
              <w:t xml:space="preserve">Inspektora Ochrony </w:t>
            </w:r>
          </w:p>
          <w:p w:rsidR="00997C01" w:rsidRDefault="004F35E0">
            <w:pPr>
              <w:spacing w:after="0" w:line="259" w:lineRule="auto"/>
              <w:ind w:left="0" w:right="0" w:firstLine="0"/>
              <w:jc w:val="left"/>
            </w:pPr>
            <w:r>
              <w:rPr>
                <w:sz w:val="20"/>
              </w:rPr>
              <w:t>Danych UOKiK</w:t>
            </w:r>
          </w:p>
        </w:tc>
        <w:tc>
          <w:tcPr>
            <w:tcW w:w="7513"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 xml:space="preserve">Dane kontaktowe Inspektora Ochrony Danych: </w:t>
            </w:r>
            <w:r>
              <w:rPr>
                <w:color w:val="0563C1"/>
                <w:sz w:val="20"/>
                <w:u w:val="single" w:color="0563C1"/>
              </w:rPr>
              <w:t>iod@uokik.gov.pl</w:t>
            </w:r>
            <w:r>
              <w:rPr>
                <w:sz w:val="20"/>
              </w:rPr>
              <w:t xml:space="preserve">. </w:t>
            </w:r>
          </w:p>
        </w:tc>
      </w:tr>
      <w:tr w:rsidR="00997C01">
        <w:trPr>
          <w:trHeight w:val="1172"/>
        </w:trPr>
        <w:tc>
          <w:tcPr>
            <w:tcW w:w="2269"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Cele przetwarzania danych osobowych</w:t>
            </w:r>
          </w:p>
        </w:tc>
        <w:tc>
          <w:tcPr>
            <w:tcW w:w="7513"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Dane osobowe są przetwarzane w celu analizy sygnału, zapytania z możliwością załączenia go do wystąpienia do przedsiębiorcy w trybie art. 49a ustawy o ochronie konkurencji i konsumentów lub do akt postępowania administracyjnego oraz w celu wypełnienia obowiązku archiwizacyjnego.</w:t>
            </w:r>
          </w:p>
        </w:tc>
      </w:tr>
      <w:tr w:rsidR="00997C01">
        <w:trPr>
          <w:trHeight w:val="1423"/>
        </w:trPr>
        <w:tc>
          <w:tcPr>
            <w:tcW w:w="2269"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Podstawa prawna przetwarzania danych osobowych</w:t>
            </w:r>
          </w:p>
        </w:tc>
        <w:tc>
          <w:tcPr>
            <w:tcW w:w="7513"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Dane osobowe są przetwarzane na podstawie art. 6 ust. 1 lit. c) i e) rozporządzenia Parlamentu Europejskiego i Rady (UE) 2016/679 z dnia 27 kwietnia 2016 r. w sprawie ochrony osób fizycznych w związku z przetwarzaniem danych osobowych i w sprawie swobodnego przepływu takich danych oraz uchylenia dyrektywy 95/46/WE (RODO).</w:t>
            </w:r>
          </w:p>
        </w:tc>
      </w:tr>
      <w:tr w:rsidR="00997C01">
        <w:trPr>
          <w:trHeight w:val="1423"/>
        </w:trPr>
        <w:tc>
          <w:tcPr>
            <w:tcW w:w="2269"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Informacja o odbiorcach danych osobowych</w:t>
            </w:r>
          </w:p>
        </w:tc>
        <w:tc>
          <w:tcPr>
            <w:tcW w:w="7513"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 xml:space="preserve">Dane osobowe mogą być przekazywane innym podmiotom zgodnie z prawem Unii Europejskiej lub prawem krajowym, np. do rzecznika konsumentów, do sądu ochrony konkurencji i konsumentów, uprawnionych organów ścigania. Odbiorcą danych osobowych mogą być organizacje konsumenckie udzielające porad w sprawach indywidualnych. </w:t>
            </w:r>
          </w:p>
        </w:tc>
      </w:tr>
      <w:tr w:rsidR="00997C01">
        <w:trPr>
          <w:trHeight w:val="1172"/>
        </w:trPr>
        <w:tc>
          <w:tcPr>
            <w:tcW w:w="2269"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Okres przechowywania danych osobowych</w:t>
            </w:r>
          </w:p>
        </w:tc>
        <w:tc>
          <w:tcPr>
            <w:tcW w:w="7513"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Okres przechowywania danych osobowych reguluje instrukcja kancelaryjna UOKiK ustalana zgodnie z ustawą z dnia 14 lipca 1983 r. o narodowym zasobie archiwalnym i archiwach (Dz. U. z 2018 r., poz. 217 z późn. zm.), według której okres ten wynosi 5 lat od końca roku, w którym zakończono sprawę.</w:t>
            </w:r>
          </w:p>
        </w:tc>
      </w:tr>
      <w:tr w:rsidR="00997C01">
        <w:trPr>
          <w:trHeight w:val="2676"/>
        </w:trPr>
        <w:tc>
          <w:tcPr>
            <w:tcW w:w="2269"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7" w:lineRule="auto"/>
              <w:ind w:left="0" w:right="0" w:firstLine="0"/>
              <w:jc w:val="left"/>
            </w:pPr>
            <w:r>
              <w:rPr>
                <w:sz w:val="20"/>
              </w:rPr>
              <w:t xml:space="preserve">Uprawnienia z art. 1519 i 21 ogólnego rozporządzenia </w:t>
            </w:r>
          </w:p>
          <w:p w:rsidR="00997C01" w:rsidRDefault="004F35E0">
            <w:pPr>
              <w:spacing w:after="0" w:line="259" w:lineRule="auto"/>
              <w:ind w:left="0" w:right="0" w:firstLine="0"/>
              <w:jc w:val="left"/>
            </w:pPr>
            <w:r>
              <w:rPr>
                <w:sz w:val="20"/>
              </w:rPr>
              <w:t xml:space="preserve">Parlamentu </w:t>
            </w:r>
          </w:p>
          <w:p w:rsidR="00997C01" w:rsidRDefault="004F35E0">
            <w:pPr>
              <w:spacing w:after="0" w:line="259" w:lineRule="auto"/>
              <w:ind w:left="0" w:right="0" w:firstLine="0"/>
              <w:jc w:val="left"/>
            </w:pPr>
            <w:r>
              <w:rPr>
                <w:sz w:val="20"/>
              </w:rPr>
              <w:t xml:space="preserve">Europejskiego i Rady </w:t>
            </w:r>
          </w:p>
          <w:p w:rsidR="00997C01" w:rsidRDefault="004F35E0">
            <w:pPr>
              <w:spacing w:after="0" w:line="259" w:lineRule="auto"/>
              <w:ind w:left="0" w:right="0" w:firstLine="0"/>
              <w:jc w:val="left"/>
            </w:pPr>
            <w:r>
              <w:rPr>
                <w:sz w:val="20"/>
              </w:rPr>
              <w:t>(UE) 2016/679</w:t>
            </w:r>
          </w:p>
        </w:tc>
        <w:tc>
          <w:tcPr>
            <w:tcW w:w="7513"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7" w:firstLine="0"/>
              <w:jc w:val="left"/>
            </w:pPr>
            <w:r>
              <w:rPr>
                <w:sz w:val="20"/>
              </w:rPr>
              <w:t>Mają Państwo prawo do dostępu, sprostowania swoich danych osobowych, ograniczenia przetwarzania oraz prawo do usunięcia danych osobowych jeśli dane nie są już niezbędne do celów, w których zostały zebrane lub dane osobowe były przetwarzane niezgodnie z prawem lub dane osobowe muszą zostać usunięte w celu wywiązania się z obowiązku prawnego przewidzianego w prawie Unii lub prawie krajowym. Mogą Państwo w dowolnym momencie wnieść sprzeciw, skutkujący zaniechaniem przetwarzania danych osobowych, chyba że Urząd Ochrony Konkurencji i Konsumentów wykaże istnienie ważnych prawnie uzasadnionych podstaw do przetwarzania, nadrzędnych wobec interesów, praw i wolności osoby, której dane dotyczą.</w:t>
            </w:r>
          </w:p>
        </w:tc>
      </w:tr>
      <w:tr w:rsidR="00997C01">
        <w:trPr>
          <w:trHeight w:val="1172"/>
        </w:trPr>
        <w:tc>
          <w:tcPr>
            <w:tcW w:w="2269"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Prawo do wniesienia skargi</w:t>
            </w:r>
          </w:p>
        </w:tc>
        <w:tc>
          <w:tcPr>
            <w:tcW w:w="7513"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Mają Państwo prawo do wniesienia skargi do Prezesa Urzędu Ochrony Danych Osobowych, ul. Stawki 2, 00-193 Warszawa, gdy uznają Państwo, iż przetwarzanie danych osobowych przez administratora narusza przepisy rozporządzenia Parlamentu Europejskiego i Rady (UE) 2016/679.</w:t>
            </w:r>
          </w:p>
        </w:tc>
      </w:tr>
    </w:tbl>
    <w:p w:rsidR="00997C01" w:rsidRDefault="00997C01">
      <w:pPr>
        <w:spacing w:after="0" w:line="259" w:lineRule="auto"/>
        <w:ind w:left="-1275" w:right="10489" w:firstLine="0"/>
        <w:jc w:val="left"/>
      </w:pPr>
    </w:p>
    <w:tbl>
      <w:tblPr>
        <w:tblStyle w:val="TableGrid"/>
        <w:tblW w:w="9782" w:type="dxa"/>
        <w:tblInd w:w="-142" w:type="dxa"/>
        <w:tblCellMar>
          <w:top w:w="45" w:type="dxa"/>
          <w:left w:w="108" w:type="dxa"/>
          <w:right w:w="115" w:type="dxa"/>
        </w:tblCellMar>
        <w:tblLook w:val="04A0" w:firstRow="1" w:lastRow="0" w:firstColumn="1" w:lastColumn="0" w:noHBand="0" w:noVBand="1"/>
      </w:tblPr>
      <w:tblGrid>
        <w:gridCol w:w="2269"/>
        <w:gridCol w:w="7513"/>
      </w:tblGrid>
      <w:tr w:rsidR="00997C01">
        <w:trPr>
          <w:trHeight w:val="1198"/>
        </w:trPr>
        <w:tc>
          <w:tcPr>
            <w:tcW w:w="2269"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lastRenderedPageBreak/>
              <w:t>Informacja o dobrowolności lub obowiązku podania danych osobowych</w:t>
            </w:r>
          </w:p>
        </w:tc>
        <w:tc>
          <w:tcPr>
            <w:tcW w:w="7513" w:type="dxa"/>
            <w:tcBorders>
              <w:top w:val="single" w:sz="4" w:space="0" w:color="000000"/>
              <w:left w:val="single" w:sz="4" w:space="0" w:color="000000"/>
              <w:bottom w:val="single" w:sz="4" w:space="0" w:color="000000"/>
              <w:right w:val="single" w:sz="4" w:space="0" w:color="000000"/>
            </w:tcBorders>
          </w:tcPr>
          <w:p w:rsidR="00997C01" w:rsidRDefault="004F35E0">
            <w:pPr>
              <w:spacing w:after="0" w:line="259" w:lineRule="auto"/>
              <w:ind w:left="0" w:right="0" w:firstLine="0"/>
              <w:jc w:val="left"/>
            </w:pPr>
            <w:r>
              <w:rPr>
                <w:sz w:val="20"/>
              </w:rPr>
              <w:t>Podanie danych osobowych jest dobrowolne.</w:t>
            </w:r>
          </w:p>
        </w:tc>
      </w:tr>
    </w:tbl>
    <w:p w:rsidR="00857880" w:rsidRDefault="00857880"/>
    <w:sectPr w:rsidR="00857880">
      <w:footerReference w:type="even" r:id="rId8"/>
      <w:footerReference w:type="default" r:id="rId9"/>
      <w:footerReference w:type="first" r:id="rId10"/>
      <w:footnotePr>
        <w:numRestart w:val="eachPage"/>
      </w:footnotePr>
      <w:pgSz w:w="11906" w:h="16838"/>
      <w:pgMar w:top="1417" w:right="1417" w:bottom="1418" w:left="1275" w:header="708" w:footer="3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37C" w:rsidRDefault="00E2537C">
      <w:pPr>
        <w:spacing w:after="0" w:line="240" w:lineRule="auto"/>
      </w:pPr>
      <w:r>
        <w:separator/>
      </w:r>
    </w:p>
  </w:endnote>
  <w:endnote w:type="continuationSeparator" w:id="0">
    <w:p w:rsidR="00E2537C" w:rsidRDefault="00E2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C01" w:rsidRDefault="004F35E0">
    <w:pPr>
      <w:spacing w:after="141" w:line="255" w:lineRule="auto"/>
      <w:ind w:left="1187" w:right="118" w:firstLine="20"/>
      <w:jc w:val="left"/>
    </w:pPr>
    <w:r>
      <w:rPr>
        <w:noProof/>
      </w:rPr>
      <w:drawing>
        <wp:anchor distT="0" distB="0" distL="114300" distR="114300" simplePos="0" relativeHeight="251658240" behindDoc="0" locked="0" layoutInCell="1" allowOverlap="0">
          <wp:simplePos x="0" y="0"/>
          <wp:positionH relativeFrom="page">
            <wp:posOffset>3294367</wp:posOffset>
          </wp:positionH>
          <wp:positionV relativeFrom="page">
            <wp:posOffset>9840595</wp:posOffset>
          </wp:positionV>
          <wp:extent cx="968400" cy="5400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68400" cy="540000"/>
                  </a:xfrm>
                  <a:prstGeom prst="rect">
                    <a:avLst/>
                  </a:prstGeom>
                </pic:spPr>
              </pic:pic>
            </a:graphicData>
          </a:graphic>
        </wp:anchor>
      </w:drawing>
    </w:r>
    <w:r>
      <w:rPr>
        <w:b/>
        <w:sz w:val="13"/>
      </w:rPr>
      <w:t>Urząd Ochrony Konkurencji i Konsumentów</w:t>
    </w:r>
    <w:r>
      <w:rPr>
        <w:color w:val="666666"/>
        <w:sz w:val="13"/>
      </w:rPr>
      <w:t xml:space="preserve"> tel.22 556 04 24 pl. Powstańców Warszawy 1 00-950 Warszawa</w:t>
    </w:r>
    <w:r>
      <w:rPr>
        <w:rFonts w:ascii="Arial" w:eastAsia="Arial" w:hAnsi="Arial" w:cs="Arial"/>
        <w:color w:val="666666"/>
        <w:sz w:val="13"/>
      </w:rPr>
      <w:t xml:space="preserve"> dozik@uokik.gov.pl   www.uokik.gov.pl</w:t>
    </w:r>
    <w:r>
      <w:rPr>
        <w:rFonts w:ascii="Arial" w:eastAsia="Arial" w:hAnsi="Arial" w:cs="Arial"/>
        <w:color w:val="666666"/>
        <w:sz w:val="13"/>
      </w:rPr>
      <w:tab/>
    </w:r>
    <w:r>
      <w:fldChar w:fldCharType="begin"/>
    </w:r>
    <w:r>
      <w:instrText xml:space="preserve"> PAGE   \* MERGEFORMAT </w:instrText>
    </w:r>
    <w:r>
      <w:fldChar w:fldCharType="separate"/>
    </w:r>
    <w:r>
      <w:rPr>
        <w:b/>
        <w:sz w:val="13"/>
      </w:rPr>
      <w:t>1</w:t>
    </w:r>
    <w:r>
      <w:rPr>
        <w:b/>
        <w:sz w:val="13"/>
      </w:rPr>
      <w:fldChar w:fldCharType="end"/>
    </w:r>
  </w:p>
  <w:p w:rsidR="00997C01" w:rsidRDefault="004F35E0">
    <w:pPr>
      <w:spacing w:after="0" w:line="259" w:lineRule="auto"/>
      <w:ind w:left="141" w:right="0" w:firstLine="0"/>
      <w:jc w:val="center"/>
    </w:pPr>
    <w:r>
      <w:rPr>
        <w:sz w:val="16"/>
      </w:rPr>
      <w:t>1454184.4349782.4325401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C01" w:rsidRDefault="004F35E0">
    <w:pPr>
      <w:spacing w:after="141" w:line="255" w:lineRule="auto"/>
      <w:ind w:left="1187" w:right="118" w:firstLine="20"/>
      <w:jc w:val="left"/>
    </w:pPr>
    <w:r>
      <w:rPr>
        <w:noProof/>
      </w:rPr>
      <w:drawing>
        <wp:anchor distT="0" distB="0" distL="114300" distR="114300" simplePos="0" relativeHeight="251659264" behindDoc="0" locked="0" layoutInCell="1" allowOverlap="0">
          <wp:simplePos x="0" y="0"/>
          <wp:positionH relativeFrom="page">
            <wp:posOffset>3294367</wp:posOffset>
          </wp:positionH>
          <wp:positionV relativeFrom="page">
            <wp:posOffset>9840595</wp:posOffset>
          </wp:positionV>
          <wp:extent cx="968400" cy="5400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68400" cy="540000"/>
                  </a:xfrm>
                  <a:prstGeom prst="rect">
                    <a:avLst/>
                  </a:prstGeom>
                </pic:spPr>
              </pic:pic>
            </a:graphicData>
          </a:graphic>
        </wp:anchor>
      </w:drawing>
    </w:r>
    <w:r>
      <w:rPr>
        <w:b/>
        <w:sz w:val="13"/>
      </w:rPr>
      <w:t>Urząd Ochrony Konkurencji i Konsumentów</w:t>
    </w:r>
    <w:r>
      <w:rPr>
        <w:color w:val="666666"/>
        <w:sz w:val="13"/>
      </w:rPr>
      <w:t xml:space="preserve"> tel.22 556 04 24 pl. Powstańców Warszawy 1 00-950 Warszawa</w:t>
    </w:r>
    <w:r>
      <w:rPr>
        <w:rFonts w:ascii="Arial" w:eastAsia="Arial" w:hAnsi="Arial" w:cs="Arial"/>
        <w:color w:val="666666"/>
        <w:sz w:val="13"/>
      </w:rPr>
      <w:t xml:space="preserve"> dozik@uokik.gov.pl   www.uokik.gov.pl</w:t>
    </w:r>
    <w:r>
      <w:rPr>
        <w:rFonts w:ascii="Arial" w:eastAsia="Arial" w:hAnsi="Arial" w:cs="Arial"/>
        <w:color w:val="666666"/>
        <w:sz w:val="13"/>
      </w:rPr>
      <w:tab/>
    </w:r>
    <w:r>
      <w:fldChar w:fldCharType="begin"/>
    </w:r>
    <w:r>
      <w:instrText xml:space="preserve"> PAGE   \* MERGEFORMAT </w:instrText>
    </w:r>
    <w:r>
      <w:fldChar w:fldCharType="separate"/>
    </w:r>
    <w:r>
      <w:rPr>
        <w:b/>
        <w:sz w:val="13"/>
      </w:rPr>
      <w:t>1</w:t>
    </w:r>
    <w:r>
      <w:rPr>
        <w:b/>
        <w:sz w:val="13"/>
      </w:rPr>
      <w:fldChar w:fldCharType="end"/>
    </w:r>
  </w:p>
  <w:p w:rsidR="00997C01" w:rsidRDefault="004F35E0">
    <w:pPr>
      <w:spacing w:after="0" w:line="259" w:lineRule="auto"/>
      <w:ind w:left="141" w:right="0" w:firstLine="0"/>
      <w:jc w:val="center"/>
    </w:pPr>
    <w:r>
      <w:rPr>
        <w:sz w:val="16"/>
      </w:rPr>
      <w:t>1454184.4349782.4325401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C01" w:rsidRDefault="004F35E0">
    <w:pPr>
      <w:spacing w:after="141" w:line="255" w:lineRule="auto"/>
      <w:ind w:left="1187" w:right="118" w:firstLine="20"/>
      <w:jc w:val="left"/>
    </w:pPr>
    <w:r>
      <w:rPr>
        <w:noProof/>
      </w:rPr>
      <w:drawing>
        <wp:anchor distT="0" distB="0" distL="114300" distR="114300" simplePos="0" relativeHeight="251660288" behindDoc="0" locked="0" layoutInCell="1" allowOverlap="0">
          <wp:simplePos x="0" y="0"/>
          <wp:positionH relativeFrom="page">
            <wp:posOffset>3294367</wp:posOffset>
          </wp:positionH>
          <wp:positionV relativeFrom="page">
            <wp:posOffset>9840595</wp:posOffset>
          </wp:positionV>
          <wp:extent cx="968400" cy="5400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68400" cy="540000"/>
                  </a:xfrm>
                  <a:prstGeom prst="rect">
                    <a:avLst/>
                  </a:prstGeom>
                </pic:spPr>
              </pic:pic>
            </a:graphicData>
          </a:graphic>
        </wp:anchor>
      </w:drawing>
    </w:r>
    <w:r>
      <w:rPr>
        <w:b/>
        <w:sz w:val="13"/>
      </w:rPr>
      <w:t>Urząd Ochrony Konkurencji i Konsumentów</w:t>
    </w:r>
    <w:r>
      <w:rPr>
        <w:color w:val="666666"/>
        <w:sz w:val="13"/>
      </w:rPr>
      <w:t xml:space="preserve"> tel.22 556 04 24 pl. Powstańców Warszawy 1 00-950 Warszawa</w:t>
    </w:r>
    <w:r>
      <w:rPr>
        <w:rFonts w:ascii="Arial" w:eastAsia="Arial" w:hAnsi="Arial" w:cs="Arial"/>
        <w:color w:val="666666"/>
        <w:sz w:val="13"/>
      </w:rPr>
      <w:t xml:space="preserve"> dozik@uokik.gov.pl   www.uokik.gov.pl</w:t>
    </w:r>
    <w:r>
      <w:rPr>
        <w:rFonts w:ascii="Arial" w:eastAsia="Arial" w:hAnsi="Arial" w:cs="Arial"/>
        <w:color w:val="666666"/>
        <w:sz w:val="13"/>
      </w:rPr>
      <w:tab/>
    </w:r>
    <w:r>
      <w:fldChar w:fldCharType="begin"/>
    </w:r>
    <w:r>
      <w:instrText xml:space="preserve"> PAGE   \* MERGEFORMAT </w:instrText>
    </w:r>
    <w:r>
      <w:fldChar w:fldCharType="separate"/>
    </w:r>
    <w:r>
      <w:rPr>
        <w:b/>
        <w:sz w:val="13"/>
      </w:rPr>
      <w:t>1</w:t>
    </w:r>
    <w:r>
      <w:rPr>
        <w:b/>
        <w:sz w:val="13"/>
      </w:rPr>
      <w:fldChar w:fldCharType="end"/>
    </w:r>
  </w:p>
  <w:p w:rsidR="00997C01" w:rsidRDefault="004F35E0">
    <w:pPr>
      <w:spacing w:after="0" w:line="259" w:lineRule="auto"/>
      <w:ind w:left="141" w:right="0" w:firstLine="0"/>
      <w:jc w:val="center"/>
    </w:pPr>
    <w:r>
      <w:rPr>
        <w:sz w:val="16"/>
      </w:rPr>
      <w:t>1454184.4349782.4325401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37C" w:rsidRDefault="00E2537C">
      <w:pPr>
        <w:spacing w:after="0" w:line="259" w:lineRule="auto"/>
        <w:ind w:left="142" w:right="0" w:firstLine="0"/>
        <w:jc w:val="left"/>
      </w:pPr>
      <w:r>
        <w:separator/>
      </w:r>
    </w:p>
  </w:footnote>
  <w:footnote w:type="continuationSeparator" w:id="0">
    <w:p w:rsidR="00E2537C" w:rsidRDefault="00E2537C">
      <w:pPr>
        <w:spacing w:after="0" w:line="259" w:lineRule="auto"/>
        <w:ind w:left="142" w:right="0" w:firstLine="0"/>
        <w:jc w:val="left"/>
      </w:pPr>
      <w:r>
        <w:continuationSeparator/>
      </w:r>
    </w:p>
  </w:footnote>
  <w:footnote w:id="1">
    <w:p w:rsidR="00997C01" w:rsidRDefault="004F35E0">
      <w:pPr>
        <w:pStyle w:val="footnotedescription"/>
      </w:pPr>
      <w:r>
        <w:rPr>
          <w:rStyle w:val="footnotemark"/>
        </w:rPr>
        <w:footnoteRef/>
      </w:r>
      <w:r>
        <w:t xml:space="preserve"> </w:t>
      </w:r>
      <w:hyperlink r:id="rId1">
        <w:r>
          <w:t>https://legislacja.rcl.gov.pl/projekt/12399650</w:t>
        </w:r>
      </w:hyperlink>
      <w:hyperlink r:id="rId2">
        <w:r>
          <w:rPr>
            <w:color w:val="000000"/>
            <w:u w:val="none" w:color="000000"/>
          </w:rPr>
          <w:t xml:space="preserve"> </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C01"/>
    <w:rsid w:val="004D1744"/>
    <w:rsid w:val="004F35E0"/>
    <w:rsid w:val="007F75D3"/>
    <w:rsid w:val="00857880"/>
    <w:rsid w:val="00997C01"/>
    <w:rsid w:val="00CD26D9"/>
    <w:rsid w:val="00E2537C"/>
    <w:rsid w:val="00EC1395"/>
    <w:rsid w:val="00EF7E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E67F54-0FD3-46FD-9ED3-E8334DCE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23" w:line="267" w:lineRule="auto"/>
      <w:ind w:left="10" w:right="887" w:hanging="10"/>
      <w:jc w:val="both"/>
    </w:pPr>
    <w:rPr>
      <w:rFonts w:ascii="Trebuchet MS" w:eastAsia="Trebuchet MS" w:hAnsi="Trebuchet MS" w:cs="Trebuchet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ind w:left="142"/>
    </w:pPr>
    <w:rPr>
      <w:rFonts w:ascii="Trebuchet MS" w:eastAsia="Trebuchet MS" w:hAnsi="Trebuchet MS" w:cs="Trebuchet MS"/>
      <w:color w:val="0563C1"/>
      <w:sz w:val="20"/>
      <w:u w:val="single" w:color="0563C1"/>
    </w:rPr>
  </w:style>
  <w:style w:type="character" w:customStyle="1" w:styleId="footnotedescriptionChar">
    <w:name w:val="footnote description Char"/>
    <w:link w:val="footnotedescription"/>
    <w:rPr>
      <w:rFonts w:ascii="Trebuchet MS" w:eastAsia="Trebuchet MS" w:hAnsi="Trebuchet MS" w:cs="Trebuchet MS"/>
      <w:color w:val="0563C1"/>
      <w:sz w:val="20"/>
      <w:u w:val="single" w:color="0563C1"/>
    </w:rPr>
  </w:style>
  <w:style w:type="character" w:customStyle="1" w:styleId="footnotemark">
    <w:name w:val="footnote mark"/>
    <w:hidden/>
    <w:rPr>
      <w:rFonts w:ascii="Trebuchet MS" w:eastAsia="Trebuchet MS" w:hAnsi="Trebuchet MS" w:cs="Trebuchet MS"/>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4D17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1744"/>
    <w:rPr>
      <w:rFonts w:ascii="Trebuchet MS" w:eastAsia="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legislacja.rcl.gov.pl/projekt/12399650" TargetMode="External"/><Relationship Id="rId1" Type="http://schemas.openxmlformats.org/officeDocument/2006/relationships/hyperlink" Target="https://legislacja.rcl.gov.pl/projekt/1239965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105F799B-95A7-466F-ACED-D2655D81690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9661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Petycja nr 53</dc:title>
  <dc:subject/>
  <dc:creator>UOKiK</dc:creator>
  <cp:keywords>petycja</cp:keywords>
  <cp:lastModifiedBy>Grzegorz Dagis</cp:lastModifiedBy>
  <cp:revision>2</cp:revision>
  <dcterms:created xsi:type="dcterms:W3CDTF">2026-02-17T14:06:00Z</dcterms:created>
  <dcterms:modified xsi:type="dcterms:W3CDTF">2026-02-17T14:06:00Z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f96b701c-63e4-4281-9fe3-9de77b92eec3</vt:lpwstr>
  </property>
  <property fmtid="{D5CDD505-2E9C-101B-9397-08002B2CF9AE}" pid="3" name="bjSaver">
    <vt:lpwstr>Zw27kD+/GIfiqrjmv1POs1K40k+qaDJK</vt:lpwstr>
  </property>
  <property fmtid="{D5CDD505-2E9C-101B-9397-08002B2CF9AE}" pid="4"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5" name="bjDocumentLabelXML-0">
    <vt:lpwstr>ames.com/2008/01/sie/internal/label"&gt;&lt;element uid="89790441-96e2-477c-afd4-1e96c2fd8935" value="" /&gt;&lt;/sisl&gt;</vt:lpwstr>
  </property>
  <property fmtid="{D5CDD505-2E9C-101B-9397-08002B2CF9AE}" pid="6" name="bjDocumentSecurityLabel">
    <vt:lpwstr>JAWNE</vt:lpwstr>
  </property>
  <property fmtid="{D5CDD505-2E9C-101B-9397-08002B2CF9AE}" pid="7" name="bjClsUserRVM">
    <vt:lpwstr>[]</vt:lpwstr>
  </property>
</Properties>
</file>