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FBFA" w14:textId="7629CD6C" w:rsidR="00D47CCF" w:rsidRPr="00AF4023" w:rsidRDefault="00AF4023" w:rsidP="002C0D5D">
      <w:pPr>
        <w:spacing w:line="360" w:lineRule="auto"/>
        <w:jc w:val="both"/>
        <w:rPr>
          <w:b/>
          <w:color w:val="000000" w:themeColor="text1"/>
          <w:sz w:val="32"/>
          <w:szCs w:val="32"/>
        </w:rPr>
      </w:pPr>
      <w:r>
        <w:rPr>
          <w:rFonts w:cs="Tahoma"/>
          <w:b/>
          <w:bCs/>
          <w:color w:val="000000" w:themeColor="text1"/>
          <w:sz w:val="32"/>
          <w:szCs w:val="32"/>
          <w:lang w:eastAsia="en-GB"/>
        </w:rPr>
        <w:t>G</w:t>
      </w:r>
      <w:r w:rsidRPr="00AF4023">
        <w:rPr>
          <w:rFonts w:cs="Tahoma"/>
          <w:b/>
          <w:bCs/>
          <w:color w:val="000000" w:themeColor="text1"/>
          <w:sz w:val="32"/>
          <w:szCs w:val="32"/>
          <w:lang w:eastAsia="en-GB"/>
        </w:rPr>
        <w:t>rup</w:t>
      </w:r>
      <w:r>
        <w:rPr>
          <w:rFonts w:cs="Tahoma"/>
          <w:b/>
          <w:bCs/>
          <w:color w:val="000000" w:themeColor="text1"/>
          <w:sz w:val="32"/>
          <w:szCs w:val="32"/>
          <w:lang w:eastAsia="en-GB"/>
        </w:rPr>
        <w:t>a</w:t>
      </w:r>
      <w:r w:rsidRPr="00AF4023">
        <w:rPr>
          <w:rFonts w:cs="Tahoma"/>
          <w:b/>
          <w:bCs/>
          <w:color w:val="000000" w:themeColor="text1"/>
          <w:sz w:val="32"/>
          <w:szCs w:val="32"/>
          <w:lang w:eastAsia="en-GB"/>
        </w:rPr>
        <w:t xml:space="preserve"> kapitałow</w:t>
      </w:r>
      <w:r>
        <w:rPr>
          <w:rFonts w:cs="Tahoma"/>
          <w:b/>
          <w:bCs/>
          <w:color w:val="000000" w:themeColor="text1"/>
          <w:sz w:val="32"/>
          <w:szCs w:val="32"/>
          <w:lang w:eastAsia="en-GB"/>
        </w:rPr>
        <w:t>a</w:t>
      </w:r>
      <w:r w:rsidRPr="00AF4023">
        <w:rPr>
          <w:rFonts w:cs="Tahoma"/>
          <w:b/>
          <w:bCs/>
          <w:color w:val="000000" w:themeColor="text1"/>
          <w:sz w:val="32"/>
          <w:szCs w:val="32"/>
          <w:lang w:eastAsia="en-GB"/>
        </w:rPr>
        <w:t xml:space="preserve"> HRE Investments </w:t>
      </w:r>
      <w:r w:rsidRPr="00AF4023">
        <w:rPr>
          <w:b/>
          <w:color w:val="000000" w:themeColor="text1"/>
          <w:sz w:val="32"/>
          <w:szCs w:val="32"/>
        </w:rPr>
        <w:t xml:space="preserve">– decyzja Prezesa </w:t>
      </w:r>
      <w:r>
        <w:rPr>
          <w:b/>
          <w:color w:val="000000" w:themeColor="text1"/>
          <w:sz w:val="32"/>
          <w:szCs w:val="32"/>
        </w:rPr>
        <w:t>UOKiK</w:t>
      </w:r>
    </w:p>
    <w:p w14:paraId="2BED16A3" w14:textId="312EE557" w:rsidR="00440B8F" w:rsidRPr="00440B8F" w:rsidRDefault="00E4105C" w:rsidP="00440B8F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color w:val="000000"/>
          <w:sz w:val="22"/>
        </w:rPr>
      </w:pPr>
      <w:bookmarkStart w:id="0" w:name="_GoBack"/>
      <w:r w:rsidRPr="004E7BD4">
        <w:rPr>
          <w:rFonts w:cs="Tahoma"/>
          <w:b/>
          <w:bCs/>
          <w:color w:val="000000" w:themeColor="text1"/>
          <w:sz w:val="22"/>
          <w:lang w:eastAsia="en-GB"/>
        </w:rPr>
        <w:t>P</w:t>
      </w:r>
      <w:r w:rsidR="00824E82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rezes UOKiK 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>Tomasz Chró</w:t>
      </w:r>
      <w:r w:rsidR="00DB3985" w:rsidRPr="004E7BD4">
        <w:rPr>
          <w:rFonts w:cs="Tahoma"/>
          <w:b/>
          <w:bCs/>
          <w:color w:val="000000" w:themeColor="text1"/>
          <w:sz w:val="22"/>
          <w:lang w:eastAsia="en-GB"/>
        </w:rPr>
        <w:t>s</w:t>
      </w:r>
      <w:r w:rsidR="00487364" w:rsidRPr="004E7BD4">
        <w:rPr>
          <w:rFonts w:cs="Tahoma"/>
          <w:b/>
          <w:bCs/>
          <w:color w:val="000000" w:themeColor="text1"/>
          <w:sz w:val="22"/>
          <w:lang w:eastAsia="en-GB"/>
        </w:rPr>
        <w:t xml:space="preserve">tny </w:t>
      </w:r>
      <w:r w:rsidR="0045167F">
        <w:rPr>
          <w:rFonts w:cs="Tahoma"/>
          <w:b/>
          <w:bCs/>
          <w:color w:val="000000" w:themeColor="text1"/>
          <w:sz w:val="22"/>
          <w:lang w:eastAsia="en-GB"/>
        </w:rPr>
        <w:t>wydał decyzję dotyczącą grupy kapitałowej HRE</w:t>
      </w:r>
      <w:r w:rsidR="00D60206">
        <w:rPr>
          <w:rFonts w:cs="Tahoma"/>
          <w:b/>
          <w:bCs/>
          <w:color w:val="000000" w:themeColor="text1"/>
          <w:sz w:val="22"/>
          <w:lang w:eastAsia="en-GB"/>
        </w:rPr>
        <w:t xml:space="preserve"> Investments</w:t>
      </w:r>
      <w:r w:rsidR="005A4AC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983208">
        <w:rPr>
          <w:rFonts w:cs="Tahoma"/>
          <w:b/>
          <w:bCs/>
          <w:color w:val="000000" w:themeColor="text1"/>
          <w:sz w:val="22"/>
          <w:lang w:eastAsia="en-GB"/>
        </w:rPr>
        <w:t xml:space="preserve"> - </w:t>
      </w:r>
      <w:r w:rsidR="005A4ACD">
        <w:rPr>
          <w:rFonts w:cs="Tahoma"/>
          <w:b/>
          <w:bCs/>
          <w:color w:val="000000" w:themeColor="text1"/>
          <w:sz w:val="22"/>
          <w:lang w:eastAsia="en-GB"/>
        </w:rPr>
        <w:t>na spółki wchodzące w jej skład nałożył kar</w:t>
      </w:r>
      <w:r w:rsidR="00F225A0">
        <w:rPr>
          <w:rFonts w:cs="Tahoma"/>
          <w:b/>
          <w:bCs/>
          <w:color w:val="000000" w:themeColor="text1"/>
          <w:sz w:val="22"/>
          <w:lang w:eastAsia="en-GB"/>
        </w:rPr>
        <w:t>y</w:t>
      </w:r>
      <w:r w:rsidR="005A4AC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D2307D">
        <w:rPr>
          <w:rFonts w:cs="Tahoma"/>
          <w:b/>
          <w:bCs/>
          <w:color w:val="000000" w:themeColor="text1"/>
          <w:sz w:val="22"/>
          <w:lang w:eastAsia="en-GB"/>
        </w:rPr>
        <w:t>blisko 12 mln</w:t>
      </w:r>
      <w:r w:rsidR="005A4ACD">
        <w:rPr>
          <w:rFonts w:cs="Tahoma"/>
          <w:b/>
          <w:bCs/>
          <w:color w:val="000000" w:themeColor="text1"/>
          <w:sz w:val="22"/>
          <w:lang w:eastAsia="en-GB"/>
        </w:rPr>
        <w:t xml:space="preserve"> zł.</w:t>
      </w:r>
    </w:p>
    <w:bookmarkEnd w:id="0"/>
    <w:p w14:paraId="5BCCF2AC" w14:textId="2FEE5044" w:rsidR="00387C1A" w:rsidRPr="005A4ACD" w:rsidRDefault="00387C1A" w:rsidP="00387C1A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b/>
          <w:color w:val="000000"/>
          <w:sz w:val="22"/>
        </w:rPr>
      </w:pPr>
      <w:r w:rsidRPr="005A4ACD">
        <w:rPr>
          <w:b/>
          <w:color w:val="000000"/>
          <w:sz w:val="22"/>
        </w:rPr>
        <w:t>Kary</w:t>
      </w:r>
      <w:r>
        <w:rPr>
          <w:b/>
          <w:color w:val="000000"/>
          <w:sz w:val="22"/>
        </w:rPr>
        <w:t xml:space="preserve"> w łącznej wysokości 1,</w:t>
      </w:r>
      <w:r w:rsidR="00F225A0">
        <w:rPr>
          <w:b/>
          <w:color w:val="000000"/>
          <w:sz w:val="22"/>
        </w:rPr>
        <w:t>4</w:t>
      </w:r>
      <w:r>
        <w:rPr>
          <w:b/>
          <w:color w:val="000000"/>
          <w:sz w:val="22"/>
        </w:rPr>
        <w:t xml:space="preserve"> mln zł</w:t>
      </w:r>
      <w:r w:rsidRPr="005A4ACD">
        <w:rPr>
          <w:b/>
          <w:color w:val="000000"/>
          <w:sz w:val="22"/>
        </w:rPr>
        <w:t xml:space="preserve"> zostały nałożone na dwie osoby zarządzające.</w:t>
      </w:r>
    </w:p>
    <w:p w14:paraId="7374A466" w14:textId="3420520D" w:rsidR="009F12E8" w:rsidRPr="009F12E8" w:rsidRDefault="009F12E8" w:rsidP="00440B8F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9F12E8">
        <w:rPr>
          <w:rFonts w:cs="Tahoma"/>
          <w:b/>
          <w:bCs/>
          <w:color w:val="000000" w:themeColor="text1"/>
          <w:sz w:val="22"/>
          <w:lang w:eastAsia="en-GB"/>
        </w:rPr>
        <w:t>Konsumenci byli wprowadzani w błąd co do gwarancji zwrotu inwestycji w przedsięwzięcia deweloperskie</w:t>
      </w:r>
      <w:r w:rsidR="0063152C">
        <w:rPr>
          <w:rFonts w:cs="Tahoma"/>
          <w:b/>
          <w:bCs/>
          <w:color w:val="000000" w:themeColor="text1"/>
          <w:sz w:val="22"/>
          <w:lang w:eastAsia="en-GB"/>
        </w:rPr>
        <w:t xml:space="preserve"> i związanego z nim ryzyka</w:t>
      </w:r>
      <w:r w:rsidRPr="009F12E8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6B05560D" w14:textId="38B1656E" w:rsidR="006C58A0" w:rsidRPr="00A96585" w:rsidRDefault="0010559C" w:rsidP="005A4ACD">
      <w:pPr>
        <w:shd w:val="clear" w:color="auto" w:fill="FFFFFF"/>
        <w:spacing w:after="240" w:line="360" w:lineRule="auto"/>
        <w:jc w:val="both"/>
        <w:rPr>
          <w:sz w:val="22"/>
        </w:rPr>
      </w:pPr>
      <w:r w:rsidRPr="00440B8F">
        <w:rPr>
          <w:b/>
          <w:color w:val="000000" w:themeColor="text1"/>
          <w:sz w:val="22"/>
        </w:rPr>
        <w:t>[</w:t>
      </w:r>
      <w:r w:rsidRPr="00C6404D">
        <w:rPr>
          <w:b/>
          <w:color w:val="000000" w:themeColor="text1"/>
          <w:sz w:val="22"/>
        </w:rPr>
        <w:t>Wa</w:t>
      </w:r>
      <w:r w:rsidR="00A65F20" w:rsidRPr="00C6404D">
        <w:rPr>
          <w:b/>
          <w:color w:val="000000" w:themeColor="text1"/>
          <w:sz w:val="22"/>
        </w:rPr>
        <w:t>rszawa,</w:t>
      </w:r>
      <w:r w:rsidR="005814D1" w:rsidRPr="00C6404D">
        <w:rPr>
          <w:b/>
          <w:color w:val="000000" w:themeColor="text1"/>
          <w:sz w:val="22"/>
        </w:rPr>
        <w:t xml:space="preserve"> 4</w:t>
      </w:r>
      <w:r w:rsidR="001359C6" w:rsidRPr="00C6404D">
        <w:rPr>
          <w:b/>
          <w:color w:val="000000" w:themeColor="text1"/>
          <w:sz w:val="22"/>
        </w:rPr>
        <w:t xml:space="preserve"> stycznia 2024</w:t>
      </w:r>
      <w:r w:rsidR="006422DE" w:rsidRPr="00C6404D">
        <w:rPr>
          <w:b/>
          <w:color w:val="000000" w:themeColor="text1"/>
          <w:sz w:val="22"/>
        </w:rPr>
        <w:t xml:space="preserve"> </w:t>
      </w:r>
      <w:r w:rsidRPr="00C6404D">
        <w:rPr>
          <w:b/>
          <w:color w:val="000000" w:themeColor="text1"/>
          <w:sz w:val="22"/>
        </w:rPr>
        <w:t>r.]</w:t>
      </w:r>
      <w:r w:rsidR="001A6E5B" w:rsidRPr="00440B8F">
        <w:rPr>
          <w:color w:val="000000" w:themeColor="text1"/>
          <w:sz w:val="22"/>
        </w:rPr>
        <w:t xml:space="preserve"> </w:t>
      </w:r>
      <w:r w:rsidR="00EE5F9F" w:rsidRPr="00440B8F">
        <w:rPr>
          <w:color w:val="000000" w:themeColor="text1"/>
          <w:sz w:val="22"/>
        </w:rPr>
        <w:t>Prezes UOKiK Tomasz Chróstny wydał decyzję dotyczą</w:t>
      </w:r>
      <w:r w:rsidR="008836EF" w:rsidRPr="00440B8F">
        <w:rPr>
          <w:color w:val="000000" w:themeColor="text1"/>
          <w:sz w:val="22"/>
        </w:rPr>
        <w:t xml:space="preserve">cą </w:t>
      </w:r>
      <w:bookmarkStart w:id="1" w:name="_Hlk153876481"/>
      <w:r w:rsidR="005A4ACD">
        <w:rPr>
          <w:color w:val="000000" w:themeColor="text1"/>
          <w:sz w:val="22"/>
        </w:rPr>
        <w:t>grupy kapitałowej HRE</w:t>
      </w:r>
      <w:r w:rsidR="00DC40F2">
        <w:rPr>
          <w:color w:val="000000" w:themeColor="text1"/>
          <w:sz w:val="22"/>
        </w:rPr>
        <w:t xml:space="preserve"> Investments</w:t>
      </w:r>
      <w:r w:rsidR="005A4ACD">
        <w:rPr>
          <w:color w:val="000000" w:themeColor="text1"/>
          <w:sz w:val="22"/>
        </w:rPr>
        <w:t xml:space="preserve">. </w:t>
      </w:r>
      <w:r w:rsidR="005A4ACD" w:rsidRPr="007D738A">
        <w:rPr>
          <w:color w:val="000000" w:themeColor="text1"/>
          <w:sz w:val="22"/>
        </w:rPr>
        <w:t xml:space="preserve">W jej </w:t>
      </w:r>
      <w:r w:rsidR="005A4ACD" w:rsidRPr="00107AAC">
        <w:rPr>
          <w:color w:val="000000" w:themeColor="text1"/>
          <w:sz w:val="22"/>
        </w:rPr>
        <w:t xml:space="preserve">skład wchodzą </w:t>
      </w:r>
      <w:r w:rsidR="00D2307D" w:rsidRPr="00107AAC">
        <w:rPr>
          <w:color w:val="000000" w:themeColor="text1"/>
          <w:sz w:val="22"/>
        </w:rPr>
        <w:t xml:space="preserve">m.in. </w:t>
      </w:r>
      <w:r w:rsidR="005A4ACD" w:rsidRPr="00107AAC">
        <w:rPr>
          <w:color w:val="000000" w:themeColor="text1"/>
          <w:sz w:val="22"/>
        </w:rPr>
        <w:t xml:space="preserve">spółki: </w:t>
      </w:r>
      <w:bookmarkEnd w:id="1"/>
      <w:r w:rsidR="005A4ACD" w:rsidRPr="00107AAC">
        <w:rPr>
          <w:sz w:val="22"/>
        </w:rPr>
        <w:t>HRE Investments</w:t>
      </w:r>
      <w:r w:rsidR="00680EB5" w:rsidRPr="00107AAC">
        <w:rPr>
          <w:sz w:val="22"/>
        </w:rPr>
        <w:t xml:space="preserve"> Sp. z o.o. Sp. K.</w:t>
      </w:r>
      <w:r w:rsidR="005A4ACD" w:rsidRPr="00107AAC">
        <w:rPr>
          <w:sz w:val="22"/>
        </w:rPr>
        <w:t xml:space="preserve">, HREIT </w:t>
      </w:r>
      <w:r w:rsidR="00680EB5" w:rsidRPr="00107AAC">
        <w:rPr>
          <w:sz w:val="22"/>
        </w:rPr>
        <w:t>SA</w:t>
      </w:r>
      <w:r w:rsidR="001359C6" w:rsidRPr="00107AAC">
        <w:rPr>
          <w:sz w:val="22"/>
        </w:rPr>
        <w:t xml:space="preserve"> </w:t>
      </w:r>
      <w:r w:rsidR="00D2307D" w:rsidRPr="00107AAC">
        <w:rPr>
          <w:sz w:val="22"/>
        </w:rPr>
        <w:t xml:space="preserve">oraz </w:t>
      </w:r>
      <w:r w:rsidR="005A4ACD" w:rsidRPr="00107AAC">
        <w:rPr>
          <w:sz w:val="22"/>
        </w:rPr>
        <w:t>Heritage Real Estate</w:t>
      </w:r>
      <w:r w:rsidR="00680EB5" w:rsidRPr="00107AAC">
        <w:rPr>
          <w:sz w:val="22"/>
        </w:rPr>
        <w:t xml:space="preserve"> SA</w:t>
      </w:r>
      <w:r w:rsidR="00387C1A" w:rsidRPr="00107AAC">
        <w:rPr>
          <w:sz w:val="22"/>
        </w:rPr>
        <w:t>.</w:t>
      </w:r>
      <w:r w:rsidR="005A4ACD" w:rsidRPr="00107AAC">
        <w:rPr>
          <w:sz w:val="22"/>
        </w:rPr>
        <w:t xml:space="preserve"> </w:t>
      </w:r>
      <w:r w:rsidR="00F225A0" w:rsidRPr="00107AAC">
        <w:rPr>
          <w:sz w:val="22"/>
        </w:rPr>
        <w:t>Decyzje</w:t>
      </w:r>
      <w:r w:rsidR="00F225A0">
        <w:rPr>
          <w:sz w:val="22"/>
        </w:rPr>
        <w:t xml:space="preserve"> Prezesa</w:t>
      </w:r>
      <w:r w:rsidR="00C7190B">
        <w:rPr>
          <w:sz w:val="22"/>
        </w:rPr>
        <w:t xml:space="preserve"> UOKiK dotyczą wymienionych wyżej trzech spółek z grupy kapitałowej HRE i dwóch osób zarządzających. </w:t>
      </w:r>
      <w:r w:rsidR="005A4ACD" w:rsidRPr="00A96585">
        <w:rPr>
          <w:sz w:val="22"/>
        </w:rPr>
        <w:t>Postępowanie zostało wszczęte na podstawie sygnał</w:t>
      </w:r>
      <w:r w:rsidR="00A024C4" w:rsidRPr="00A96585">
        <w:rPr>
          <w:sz w:val="22"/>
        </w:rPr>
        <w:t>ów</w:t>
      </w:r>
      <w:r w:rsidR="005A4ACD" w:rsidRPr="00A96585">
        <w:rPr>
          <w:sz w:val="22"/>
        </w:rPr>
        <w:t xml:space="preserve"> od konsument</w:t>
      </w:r>
      <w:r w:rsidR="00A024C4" w:rsidRPr="00A96585">
        <w:rPr>
          <w:sz w:val="22"/>
        </w:rPr>
        <w:t>ów</w:t>
      </w:r>
      <w:r w:rsidR="00C7190B" w:rsidRPr="00A96585">
        <w:rPr>
          <w:sz w:val="22"/>
        </w:rPr>
        <w:t>.</w:t>
      </w:r>
    </w:p>
    <w:p w14:paraId="560A9498" w14:textId="3D786765" w:rsidR="00A024C4" w:rsidRDefault="00A024C4" w:rsidP="00A024C4">
      <w:pPr>
        <w:spacing w:after="240" w:line="360" w:lineRule="auto"/>
        <w:jc w:val="both"/>
        <w:rPr>
          <w:sz w:val="22"/>
        </w:rPr>
      </w:pPr>
      <w:r w:rsidRPr="00A96585">
        <w:rPr>
          <w:sz w:val="22"/>
        </w:rPr>
        <w:t>Spółki z grupy HRE Investments do 8 listopada 2023 r. prowadziły działalność inwestycyjną i deweloperską. Proponowały nabywcom, w tym konsumentom</w:t>
      </w:r>
      <w:r w:rsidR="00F225A0">
        <w:rPr>
          <w:sz w:val="22"/>
        </w:rPr>
        <w:t>,</w:t>
      </w:r>
      <w:r w:rsidR="00724C10" w:rsidRPr="00A96585">
        <w:rPr>
          <w:sz w:val="22"/>
        </w:rPr>
        <w:t xml:space="preserve"> </w:t>
      </w:r>
      <w:r w:rsidR="00F225A0">
        <w:rPr>
          <w:sz w:val="22"/>
        </w:rPr>
        <w:t>zakup</w:t>
      </w:r>
      <w:r w:rsidRPr="00A96585">
        <w:rPr>
          <w:sz w:val="22"/>
        </w:rPr>
        <w:t xml:space="preserve"> udziałów w spółkach celowych powołanych przez grupę kapitałową HRE dla realizacji różnych inwestycji deweloperskich. Udziały te po upływie z góry określonego czasu według modelu biznesowego miały podlegać wykupowi przez podmioty z grupy po konkretnej cenie i z uwzględnieniem st</w:t>
      </w:r>
      <w:r w:rsidR="00F225A0">
        <w:rPr>
          <w:sz w:val="22"/>
        </w:rPr>
        <w:t>óp</w:t>
      </w:r>
      <w:r w:rsidRPr="00A96585">
        <w:rPr>
          <w:sz w:val="22"/>
        </w:rPr>
        <w:t xml:space="preserve"> zwrotu.</w:t>
      </w:r>
      <w:r w:rsidR="00724C10" w:rsidRPr="00A96585">
        <w:rPr>
          <w:sz w:val="22"/>
        </w:rPr>
        <w:t xml:space="preserve"> </w:t>
      </w:r>
      <w:r w:rsidR="00F225A0">
        <w:rPr>
          <w:sz w:val="22"/>
        </w:rPr>
        <w:t>W modelu tym k</w:t>
      </w:r>
      <w:r w:rsidR="00724C10" w:rsidRPr="00A96585">
        <w:rPr>
          <w:sz w:val="22"/>
        </w:rPr>
        <w:t>onsumen</w:t>
      </w:r>
      <w:r w:rsidR="00F225A0">
        <w:rPr>
          <w:sz w:val="22"/>
        </w:rPr>
        <w:t xml:space="preserve">tów obarczano ryzykiem właściwym dla udziałowców spółki, </w:t>
      </w:r>
      <w:r w:rsidR="0063152C">
        <w:rPr>
          <w:sz w:val="22"/>
        </w:rPr>
        <w:t xml:space="preserve">czyli </w:t>
      </w:r>
      <w:r w:rsidR="00F225A0">
        <w:rPr>
          <w:sz w:val="22"/>
        </w:rPr>
        <w:t xml:space="preserve">dużo wyższym aniżeli w przypadku osób </w:t>
      </w:r>
      <w:r w:rsidR="00724C10" w:rsidRPr="00A96585">
        <w:rPr>
          <w:sz w:val="22"/>
        </w:rPr>
        <w:t>lokujący</w:t>
      </w:r>
      <w:r w:rsidR="00F225A0">
        <w:rPr>
          <w:sz w:val="22"/>
        </w:rPr>
        <w:t>ch</w:t>
      </w:r>
      <w:r w:rsidR="00724C10" w:rsidRPr="00A96585">
        <w:rPr>
          <w:sz w:val="22"/>
        </w:rPr>
        <w:t xml:space="preserve"> oszczędności w banku czy</w:t>
      </w:r>
      <w:r w:rsidR="0057559F" w:rsidRPr="00A96585">
        <w:rPr>
          <w:sz w:val="22"/>
        </w:rPr>
        <w:t xml:space="preserve"> nabywc</w:t>
      </w:r>
      <w:r w:rsidR="00F225A0">
        <w:rPr>
          <w:sz w:val="22"/>
        </w:rPr>
        <w:t>ów</w:t>
      </w:r>
      <w:r w:rsidR="0057559F" w:rsidRPr="00A96585">
        <w:rPr>
          <w:sz w:val="22"/>
        </w:rPr>
        <w:t xml:space="preserve"> obligacji Skarbu Państwa. W przypadku ewentualnych trudności spółki celowej</w:t>
      </w:r>
      <w:r w:rsidR="00710383" w:rsidRPr="00A96585">
        <w:rPr>
          <w:sz w:val="22"/>
        </w:rPr>
        <w:t xml:space="preserve"> lub podmiotu zobowiązanego do odkupu instrumentów udziałowych</w:t>
      </w:r>
      <w:r w:rsidR="0057559F" w:rsidRPr="00A96585">
        <w:rPr>
          <w:sz w:val="22"/>
        </w:rPr>
        <w:t xml:space="preserve">, utraty </w:t>
      </w:r>
      <w:r w:rsidR="00710383" w:rsidRPr="00A96585">
        <w:rPr>
          <w:sz w:val="22"/>
        </w:rPr>
        <w:t>ich</w:t>
      </w:r>
      <w:r w:rsidR="0057559F" w:rsidRPr="00A96585">
        <w:rPr>
          <w:sz w:val="22"/>
        </w:rPr>
        <w:t xml:space="preserve"> płynności czy </w:t>
      </w:r>
      <w:r w:rsidR="00710383" w:rsidRPr="00A96585">
        <w:rPr>
          <w:sz w:val="22"/>
        </w:rPr>
        <w:t xml:space="preserve">ogłoszenia </w:t>
      </w:r>
      <w:r w:rsidR="0057559F" w:rsidRPr="00A96585">
        <w:rPr>
          <w:sz w:val="22"/>
        </w:rPr>
        <w:t>upadłości</w:t>
      </w:r>
      <w:r w:rsidR="00107AAC">
        <w:rPr>
          <w:sz w:val="22"/>
        </w:rPr>
        <w:t>,</w:t>
      </w:r>
      <w:r w:rsidR="0057559F" w:rsidRPr="00A96585">
        <w:rPr>
          <w:sz w:val="22"/>
        </w:rPr>
        <w:t xml:space="preserve"> osoby takie</w:t>
      </w:r>
      <w:r w:rsidR="0063152C">
        <w:rPr>
          <w:sz w:val="22"/>
        </w:rPr>
        <w:t xml:space="preserve"> – jako udziałowcy – </w:t>
      </w:r>
      <w:r w:rsidR="0057559F" w:rsidRPr="00A96585">
        <w:rPr>
          <w:sz w:val="22"/>
        </w:rPr>
        <w:t xml:space="preserve">mają </w:t>
      </w:r>
      <w:r w:rsidR="00F225A0">
        <w:rPr>
          <w:sz w:val="22"/>
        </w:rPr>
        <w:t>niewielkie możliwości odzyskania jakichkolwiek środków finansowych</w:t>
      </w:r>
      <w:r w:rsidR="0057559F" w:rsidRPr="00A96585">
        <w:rPr>
          <w:sz w:val="22"/>
        </w:rPr>
        <w:t>.</w:t>
      </w:r>
      <w:r w:rsidR="00237D03" w:rsidRPr="00A96585">
        <w:rPr>
          <w:sz w:val="22"/>
        </w:rPr>
        <w:t xml:space="preserve"> Ewentualne trudności w funkcjonowaniu komponentu inwestycyjnego mogą przy tym negatywnie rzutować na komponent deweloperski przedsięwzięcia, co może wpływać nie tylko na konsumentów – </w:t>
      </w:r>
      <w:r w:rsidR="00F225A0">
        <w:rPr>
          <w:sz w:val="22"/>
        </w:rPr>
        <w:t>udziałowców</w:t>
      </w:r>
      <w:r w:rsidR="00237D03" w:rsidRPr="00A96585">
        <w:rPr>
          <w:sz w:val="22"/>
        </w:rPr>
        <w:t>, ale i konsumentów - nabywców mieszkań od spółek celowych.</w:t>
      </w:r>
      <w:r w:rsidR="0057559F" w:rsidRPr="00A96585">
        <w:rPr>
          <w:sz w:val="22"/>
        </w:rPr>
        <w:t xml:space="preserve"> </w:t>
      </w:r>
      <w:r w:rsidRPr="00A96585">
        <w:rPr>
          <w:sz w:val="22"/>
        </w:rPr>
        <w:t>Od 10 listopada</w:t>
      </w:r>
      <w:r w:rsidRPr="00A024C4">
        <w:rPr>
          <w:sz w:val="22"/>
        </w:rPr>
        <w:t xml:space="preserve"> 2023 r.</w:t>
      </w:r>
      <w:r w:rsidR="00107AAC">
        <w:rPr>
          <w:sz w:val="22"/>
        </w:rPr>
        <w:t>, tj.</w:t>
      </w:r>
      <w:r w:rsidRPr="00A024C4">
        <w:rPr>
          <w:sz w:val="22"/>
        </w:rPr>
        <w:t xml:space="preserve"> po zmianach przepisów w zakresie finansowania społecznościowego</w:t>
      </w:r>
      <w:r w:rsidR="00107AAC">
        <w:rPr>
          <w:sz w:val="22"/>
        </w:rPr>
        <w:t>,</w:t>
      </w:r>
      <w:r w:rsidRPr="00A024C4">
        <w:rPr>
          <w:sz w:val="22"/>
        </w:rPr>
        <w:t xml:space="preserve"> zakazane jest oferowanie i promowanie nabywania udziałów w spółkach z ograniczoną odpowiedzialnością, które byłyby skierowane do nieoznaczonego adresata. </w:t>
      </w:r>
    </w:p>
    <w:p w14:paraId="02912D55" w14:textId="3C3046FF" w:rsidR="00506EB4" w:rsidRPr="0057559F" w:rsidRDefault="00545DA0" w:rsidP="00A024C4">
      <w:pPr>
        <w:spacing w:after="120" w:line="360" w:lineRule="auto"/>
        <w:jc w:val="both"/>
        <w:rPr>
          <w:b/>
          <w:sz w:val="22"/>
        </w:rPr>
      </w:pPr>
      <w:r>
        <w:rPr>
          <w:sz w:val="22"/>
        </w:rPr>
        <w:t xml:space="preserve">Wątpliwości </w:t>
      </w:r>
      <w:r w:rsidR="00DB129B">
        <w:rPr>
          <w:sz w:val="22"/>
        </w:rPr>
        <w:t xml:space="preserve">Prezesa </w:t>
      </w:r>
      <w:r>
        <w:rPr>
          <w:sz w:val="22"/>
        </w:rPr>
        <w:t xml:space="preserve">UOKiK wzbudziła </w:t>
      </w:r>
      <w:r w:rsidR="00340735">
        <w:rPr>
          <w:sz w:val="22"/>
        </w:rPr>
        <w:t xml:space="preserve">m.in. </w:t>
      </w:r>
      <w:r>
        <w:rPr>
          <w:sz w:val="22"/>
        </w:rPr>
        <w:t xml:space="preserve">treść </w:t>
      </w:r>
      <w:r w:rsidR="00340735">
        <w:rPr>
          <w:sz w:val="22"/>
        </w:rPr>
        <w:t xml:space="preserve">materiałów ofertowych przygotowywanych przez grupę HRE czy informacji </w:t>
      </w:r>
      <w:r>
        <w:rPr>
          <w:sz w:val="22"/>
        </w:rPr>
        <w:t xml:space="preserve">zachęcających konsumentów do zakupu udziałów w spółkach </w:t>
      </w:r>
      <w:r>
        <w:rPr>
          <w:sz w:val="22"/>
        </w:rPr>
        <w:lastRenderedPageBreak/>
        <w:t xml:space="preserve">celowych. </w:t>
      </w:r>
      <w:r w:rsidR="00506EB4">
        <w:rPr>
          <w:sz w:val="22"/>
        </w:rPr>
        <w:t>Ukazywały się one na popularnych portalach</w:t>
      </w:r>
      <w:r w:rsidR="00D72B2C">
        <w:rPr>
          <w:sz w:val="22"/>
        </w:rPr>
        <w:t xml:space="preserve"> internetowych</w:t>
      </w:r>
      <w:r w:rsidR="00506EB4">
        <w:rPr>
          <w:sz w:val="22"/>
        </w:rPr>
        <w:t xml:space="preserve">. </w:t>
      </w:r>
      <w:r w:rsidR="00506EB4" w:rsidRPr="00E14E97">
        <w:rPr>
          <w:b/>
          <w:sz w:val="22"/>
        </w:rPr>
        <w:t>Zastrzeżenia dotycz</w:t>
      </w:r>
      <w:r w:rsidR="00340735">
        <w:rPr>
          <w:b/>
          <w:sz w:val="22"/>
        </w:rPr>
        <w:t>yły</w:t>
      </w:r>
      <w:r w:rsidRPr="00E14E97">
        <w:rPr>
          <w:b/>
          <w:sz w:val="22"/>
        </w:rPr>
        <w:t xml:space="preserve"> obietnic wypłaty </w:t>
      </w:r>
      <w:r w:rsidR="00E14E97" w:rsidRPr="00E14E97">
        <w:rPr>
          <w:b/>
          <w:sz w:val="22"/>
        </w:rPr>
        <w:t xml:space="preserve">wysokiego </w:t>
      </w:r>
      <w:r w:rsidRPr="00E14E97">
        <w:rPr>
          <w:b/>
          <w:sz w:val="22"/>
        </w:rPr>
        <w:t xml:space="preserve">zysku, </w:t>
      </w:r>
      <w:r w:rsidR="00506EB4" w:rsidRPr="00E14E97">
        <w:rPr>
          <w:b/>
          <w:sz w:val="22"/>
        </w:rPr>
        <w:t xml:space="preserve">podkreślania bezpieczeństwa inwestycji i </w:t>
      </w:r>
      <w:r w:rsidR="00E14E97" w:rsidRPr="00E14E97">
        <w:rPr>
          <w:b/>
          <w:sz w:val="22"/>
        </w:rPr>
        <w:t xml:space="preserve">jej </w:t>
      </w:r>
      <w:r w:rsidR="00D72B2C">
        <w:rPr>
          <w:b/>
          <w:sz w:val="22"/>
        </w:rPr>
        <w:t xml:space="preserve">rzekomej </w:t>
      </w:r>
      <w:r w:rsidR="00506EB4" w:rsidRPr="00E14E97">
        <w:rPr>
          <w:b/>
          <w:sz w:val="22"/>
        </w:rPr>
        <w:t xml:space="preserve">rentowności w kontrze do innych form inwestowania. </w:t>
      </w:r>
      <w:r w:rsidR="00A024C4" w:rsidRPr="00A024C4">
        <w:rPr>
          <w:b/>
          <w:sz w:val="22"/>
        </w:rPr>
        <w:t>W komunikatach podkreślano korzyści z pominięciem istotnych informacji o ryzyku</w:t>
      </w:r>
      <w:r w:rsidR="0036659E">
        <w:rPr>
          <w:b/>
          <w:sz w:val="22"/>
        </w:rPr>
        <w:t xml:space="preserve"> -</w:t>
      </w:r>
      <w:r w:rsidR="00A024C4" w:rsidRPr="00A024C4">
        <w:rPr>
          <w:b/>
          <w:sz w:val="22"/>
        </w:rPr>
        <w:t xml:space="preserve"> przez to wprowadzano konsumentów w błąd co do gwarantowanego wyniku z inwestycji.</w:t>
      </w:r>
      <w:r w:rsidR="00506EB4" w:rsidRPr="00A024C4">
        <w:rPr>
          <w:sz w:val="22"/>
        </w:rPr>
        <w:t xml:space="preserve"> </w:t>
      </w:r>
    </w:p>
    <w:p w14:paraId="2D595A4C" w14:textId="4DE308B6" w:rsidR="00545DA0" w:rsidRPr="00EC0226" w:rsidRDefault="00506EB4" w:rsidP="006966FE">
      <w:pPr>
        <w:spacing w:after="120" w:line="360" w:lineRule="auto"/>
        <w:jc w:val="both"/>
        <w:rPr>
          <w:sz w:val="22"/>
        </w:rPr>
      </w:pPr>
      <w:r>
        <w:rPr>
          <w:bCs/>
          <w:sz w:val="22"/>
        </w:rPr>
        <w:t xml:space="preserve">W </w:t>
      </w:r>
      <w:r w:rsidR="00340735">
        <w:rPr>
          <w:bCs/>
          <w:sz w:val="22"/>
        </w:rPr>
        <w:t xml:space="preserve">przekazach kierowanych do konsumentów </w:t>
      </w:r>
      <w:r>
        <w:rPr>
          <w:bCs/>
          <w:sz w:val="22"/>
        </w:rPr>
        <w:t xml:space="preserve">użyto słów m.in. </w:t>
      </w:r>
      <w:r w:rsidRPr="00506EB4">
        <w:rPr>
          <w:bCs/>
          <w:sz w:val="22"/>
        </w:rPr>
        <w:t>„maksimum bezpieczeństwa”, wskazując że inwestycje są przeznaczone dla konsumentów „którzy cenią bezpieczeństwo inwestycji”, eksponując nie tylko bezpieczeństwo ekonomiczne, ale i „bezpieczeństwo prawne (akt notarialny)”.</w:t>
      </w:r>
      <w:r>
        <w:rPr>
          <w:bCs/>
          <w:sz w:val="22"/>
        </w:rPr>
        <w:t xml:space="preserve"> </w:t>
      </w:r>
      <w:r w:rsidRPr="00A96585">
        <w:rPr>
          <w:bCs/>
          <w:sz w:val="22"/>
        </w:rPr>
        <w:t>Informowano o „stabilnym rozwoju”, „bezpiecznej, wysokiej” stopie zwrotu, czy „jednej z bezpieczniejszych przystani dla inwestorów”.</w:t>
      </w:r>
      <w:r w:rsidR="00E14E97" w:rsidRPr="00A96585">
        <w:rPr>
          <w:bCs/>
          <w:sz w:val="22"/>
        </w:rPr>
        <w:t xml:space="preserve"> </w:t>
      </w:r>
      <w:r w:rsidR="00086CD9" w:rsidRPr="00A96585">
        <w:rPr>
          <w:bCs/>
          <w:sz w:val="22"/>
        </w:rPr>
        <w:t>M</w:t>
      </w:r>
      <w:r w:rsidR="0057559F" w:rsidRPr="00A96585">
        <w:rPr>
          <w:bCs/>
          <w:sz w:val="22"/>
        </w:rPr>
        <w:t xml:space="preserve">odel biznesowy </w:t>
      </w:r>
      <w:r w:rsidR="00086CD9" w:rsidRPr="00A96585">
        <w:rPr>
          <w:bCs/>
          <w:sz w:val="22"/>
        </w:rPr>
        <w:t xml:space="preserve">polegający na niekonwencjonalnym systemie inwestowania w </w:t>
      </w:r>
      <w:r w:rsidR="0057559F" w:rsidRPr="00A96585">
        <w:rPr>
          <w:bCs/>
          <w:sz w:val="22"/>
        </w:rPr>
        <w:t>zakup udziałów w należąc</w:t>
      </w:r>
      <w:r w:rsidR="00086CD9" w:rsidRPr="00A96585">
        <w:rPr>
          <w:bCs/>
          <w:sz w:val="22"/>
        </w:rPr>
        <w:t>e</w:t>
      </w:r>
      <w:r w:rsidR="0057559F" w:rsidRPr="00A96585">
        <w:rPr>
          <w:bCs/>
          <w:sz w:val="22"/>
        </w:rPr>
        <w:t xml:space="preserve"> do grupy kapitałowej spół</w:t>
      </w:r>
      <w:r w:rsidR="00086CD9" w:rsidRPr="00A96585">
        <w:rPr>
          <w:bCs/>
          <w:sz w:val="22"/>
        </w:rPr>
        <w:t xml:space="preserve">ki </w:t>
      </w:r>
      <w:r w:rsidR="0057559F" w:rsidRPr="00A96585">
        <w:rPr>
          <w:bCs/>
          <w:sz w:val="22"/>
        </w:rPr>
        <w:t>celow</w:t>
      </w:r>
      <w:r w:rsidR="00086CD9" w:rsidRPr="00A96585">
        <w:rPr>
          <w:bCs/>
          <w:sz w:val="22"/>
        </w:rPr>
        <w:t>e (których liczba w grupie wynosiła</w:t>
      </w:r>
      <w:r w:rsidR="00D6727F" w:rsidRPr="00A96585">
        <w:rPr>
          <w:bCs/>
          <w:sz w:val="22"/>
        </w:rPr>
        <w:t xml:space="preserve"> co najmniej </w:t>
      </w:r>
      <w:r w:rsidR="00710383" w:rsidRPr="00A96585">
        <w:rPr>
          <w:bCs/>
          <w:sz w:val="22"/>
        </w:rPr>
        <w:t>kilkadziesiąt</w:t>
      </w:r>
      <w:r w:rsidR="00086CD9" w:rsidRPr="00A96585">
        <w:rPr>
          <w:bCs/>
          <w:sz w:val="22"/>
        </w:rPr>
        <w:t>)</w:t>
      </w:r>
      <w:r w:rsidR="0057559F" w:rsidRPr="00A96585">
        <w:rPr>
          <w:bCs/>
          <w:sz w:val="22"/>
        </w:rPr>
        <w:t>,</w:t>
      </w:r>
      <w:r w:rsidR="00086CD9" w:rsidRPr="00A96585">
        <w:rPr>
          <w:bCs/>
          <w:sz w:val="22"/>
        </w:rPr>
        <w:t xml:space="preserve"> nieprzejrzysta struktura tych spółek</w:t>
      </w:r>
      <w:r w:rsidR="00710383" w:rsidRPr="00A96585">
        <w:rPr>
          <w:bCs/>
          <w:sz w:val="22"/>
        </w:rPr>
        <w:t xml:space="preserve"> oraz pozostałych spółek grupy</w:t>
      </w:r>
      <w:r w:rsidR="00086CD9" w:rsidRPr="00A96585">
        <w:rPr>
          <w:bCs/>
          <w:sz w:val="22"/>
        </w:rPr>
        <w:t xml:space="preserve">, brak sektorowego nadzoru </w:t>
      </w:r>
      <w:r w:rsidR="0057559F" w:rsidRPr="00A96585">
        <w:rPr>
          <w:bCs/>
          <w:sz w:val="22"/>
        </w:rPr>
        <w:t xml:space="preserve">i </w:t>
      </w:r>
      <w:r w:rsidR="00086CD9" w:rsidRPr="00A96585">
        <w:rPr>
          <w:bCs/>
          <w:sz w:val="22"/>
        </w:rPr>
        <w:t xml:space="preserve">jednoczesne </w:t>
      </w:r>
      <w:r w:rsidR="0057559F" w:rsidRPr="00A96585">
        <w:rPr>
          <w:bCs/>
          <w:sz w:val="22"/>
        </w:rPr>
        <w:t xml:space="preserve">podkreślanie bezpieczeństwa </w:t>
      </w:r>
      <w:r w:rsidR="00086CD9" w:rsidRPr="00A96585">
        <w:rPr>
          <w:bCs/>
          <w:sz w:val="22"/>
        </w:rPr>
        <w:t>tego rodzaju rozwiązań</w:t>
      </w:r>
      <w:r w:rsidR="00D554CC">
        <w:rPr>
          <w:bCs/>
          <w:sz w:val="22"/>
        </w:rPr>
        <w:t>,</w:t>
      </w:r>
      <w:r w:rsidR="00086CD9" w:rsidRPr="00A96585">
        <w:rPr>
          <w:bCs/>
          <w:sz w:val="22"/>
        </w:rPr>
        <w:t xml:space="preserve"> utrudniało konsumentom ocenę istniejącego ryzyka i weryfikację prawdziwości deklaracji o osiągnięciu zakładanych celów.</w:t>
      </w:r>
      <w:r w:rsidR="0057559F" w:rsidRPr="00A96585">
        <w:rPr>
          <w:bCs/>
          <w:sz w:val="22"/>
        </w:rPr>
        <w:t xml:space="preserve"> </w:t>
      </w:r>
      <w:r w:rsidR="00E14E97" w:rsidRPr="00A96585">
        <w:rPr>
          <w:bCs/>
          <w:sz w:val="22"/>
        </w:rPr>
        <w:t>Warto</w:t>
      </w:r>
      <w:r w:rsidR="00086CD9" w:rsidRPr="00A96585">
        <w:rPr>
          <w:bCs/>
          <w:sz w:val="22"/>
        </w:rPr>
        <w:t xml:space="preserve"> przy tym</w:t>
      </w:r>
      <w:r w:rsidR="00E14E97" w:rsidRPr="00A96585">
        <w:rPr>
          <w:bCs/>
          <w:sz w:val="22"/>
        </w:rPr>
        <w:t xml:space="preserve"> dodać, że </w:t>
      </w:r>
      <w:r w:rsidR="00D72B2C" w:rsidRPr="00A96585">
        <w:rPr>
          <w:bCs/>
          <w:sz w:val="22"/>
        </w:rPr>
        <w:t xml:space="preserve">w </w:t>
      </w:r>
      <w:r w:rsidR="00BF0AFA" w:rsidRPr="00A96585">
        <w:rPr>
          <w:bCs/>
          <w:sz w:val="22"/>
        </w:rPr>
        <w:t>t</w:t>
      </w:r>
      <w:r w:rsidR="00D554CC">
        <w:rPr>
          <w:bCs/>
          <w:sz w:val="22"/>
        </w:rPr>
        <w:t>oku</w:t>
      </w:r>
      <w:r w:rsidR="00BF0AFA" w:rsidRPr="00A96585">
        <w:rPr>
          <w:bCs/>
          <w:sz w:val="22"/>
        </w:rPr>
        <w:t xml:space="preserve"> </w:t>
      </w:r>
      <w:r w:rsidR="00E14E97" w:rsidRPr="00A96585">
        <w:rPr>
          <w:bCs/>
          <w:sz w:val="22"/>
        </w:rPr>
        <w:t xml:space="preserve">postępowania </w:t>
      </w:r>
      <w:r w:rsidR="00D554CC">
        <w:rPr>
          <w:bCs/>
          <w:sz w:val="22"/>
        </w:rPr>
        <w:t>uzyskano</w:t>
      </w:r>
      <w:r w:rsidR="00E14E97" w:rsidRPr="00A96585">
        <w:rPr>
          <w:bCs/>
          <w:sz w:val="22"/>
        </w:rPr>
        <w:t xml:space="preserve"> informacje od </w:t>
      </w:r>
      <w:r w:rsidR="009F12E8" w:rsidRPr="00A96585">
        <w:rPr>
          <w:bCs/>
          <w:sz w:val="22"/>
        </w:rPr>
        <w:t>nabywców lokali mieszkalnych realizowanych przez spółki</w:t>
      </w:r>
      <w:r w:rsidR="009F12E8" w:rsidRPr="00A96585">
        <w:t xml:space="preserve"> </w:t>
      </w:r>
      <w:r w:rsidR="009F12E8" w:rsidRPr="00A96585">
        <w:rPr>
          <w:bCs/>
          <w:sz w:val="22"/>
        </w:rPr>
        <w:t>celowe</w:t>
      </w:r>
      <w:r w:rsidR="00D2323A" w:rsidRPr="00A96585">
        <w:rPr>
          <w:bCs/>
          <w:sz w:val="22"/>
        </w:rPr>
        <w:t>,</w:t>
      </w:r>
      <w:r w:rsidR="009F12E8" w:rsidRPr="00A96585">
        <w:rPr>
          <w:bCs/>
          <w:sz w:val="22"/>
        </w:rPr>
        <w:t xml:space="preserve"> </w:t>
      </w:r>
      <w:r w:rsidR="00E14E97" w:rsidRPr="00A96585">
        <w:rPr>
          <w:bCs/>
          <w:sz w:val="22"/>
        </w:rPr>
        <w:t xml:space="preserve">o </w:t>
      </w:r>
      <w:r w:rsidR="00E14E97" w:rsidRPr="00EC0226">
        <w:rPr>
          <w:bCs/>
          <w:sz w:val="22"/>
        </w:rPr>
        <w:t>opóźnieniu w</w:t>
      </w:r>
      <w:r w:rsidR="006410A4" w:rsidRPr="00EC0226">
        <w:rPr>
          <w:bCs/>
          <w:sz w:val="22"/>
        </w:rPr>
        <w:t xml:space="preserve"> wykonaniu </w:t>
      </w:r>
      <w:r w:rsidR="00E14E97" w:rsidRPr="00EC0226">
        <w:rPr>
          <w:bCs/>
          <w:sz w:val="22"/>
        </w:rPr>
        <w:t xml:space="preserve"> inwestycji deweloperskich przez grupę HRE</w:t>
      </w:r>
      <w:r w:rsidR="00DC40F2" w:rsidRPr="00EC0226">
        <w:rPr>
          <w:bCs/>
          <w:sz w:val="22"/>
        </w:rPr>
        <w:t xml:space="preserve"> </w:t>
      </w:r>
      <w:r w:rsidR="00DC40F2" w:rsidRPr="00EC0226">
        <w:rPr>
          <w:sz w:val="22"/>
        </w:rPr>
        <w:t>Investments</w:t>
      </w:r>
      <w:r w:rsidR="00E14E97" w:rsidRPr="00EC0226">
        <w:rPr>
          <w:bCs/>
          <w:sz w:val="22"/>
        </w:rPr>
        <w:t>.</w:t>
      </w:r>
    </w:p>
    <w:p w14:paraId="7694F330" w14:textId="6EC59819" w:rsidR="00440B8F" w:rsidRPr="00D60206" w:rsidRDefault="00440B8F" w:rsidP="00D60206">
      <w:pPr>
        <w:spacing w:after="120" w:line="360" w:lineRule="auto"/>
        <w:jc w:val="both"/>
        <w:rPr>
          <w:sz w:val="22"/>
        </w:rPr>
      </w:pPr>
      <w:r w:rsidRPr="00EC0226">
        <w:rPr>
          <w:color w:val="000000" w:themeColor="text1"/>
          <w:sz w:val="22"/>
        </w:rPr>
        <w:t xml:space="preserve">- </w:t>
      </w:r>
      <w:r w:rsidR="00B66931" w:rsidRPr="00EC0226">
        <w:rPr>
          <w:i/>
          <w:color w:val="000000" w:themeColor="text1"/>
          <w:sz w:val="22"/>
        </w:rPr>
        <w:t xml:space="preserve">Wielu konsumentów </w:t>
      </w:r>
      <w:r w:rsidR="00340735" w:rsidRPr="00EC0226">
        <w:rPr>
          <w:i/>
          <w:color w:val="000000" w:themeColor="text1"/>
          <w:sz w:val="22"/>
        </w:rPr>
        <w:t>zapoznając się z przekazem informacyjnym</w:t>
      </w:r>
      <w:r w:rsidR="00B66931" w:rsidRPr="00EC0226">
        <w:rPr>
          <w:i/>
          <w:color w:val="000000" w:themeColor="text1"/>
          <w:sz w:val="22"/>
        </w:rPr>
        <w:t xml:space="preserve"> mogło uznać, że</w:t>
      </w:r>
      <w:r w:rsidRPr="00EC0226">
        <w:rPr>
          <w:i/>
          <w:color w:val="000000" w:themeColor="text1"/>
          <w:sz w:val="22"/>
        </w:rPr>
        <w:t xml:space="preserve"> inwestowani</w:t>
      </w:r>
      <w:r w:rsidR="00B66931" w:rsidRPr="00EC0226">
        <w:rPr>
          <w:i/>
          <w:color w:val="000000" w:themeColor="text1"/>
          <w:sz w:val="22"/>
        </w:rPr>
        <w:t>e</w:t>
      </w:r>
      <w:r w:rsidRPr="00EC0226">
        <w:rPr>
          <w:i/>
          <w:color w:val="000000" w:themeColor="text1"/>
          <w:sz w:val="22"/>
        </w:rPr>
        <w:t xml:space="preserve"> w rynek nieruchomości </w:t>
      </w:r>
      <w:r w:rsidR="00B66931" w:rsidRPr="00EC0226">
        <w:rPr>
          <w:i/>
          <w:color w:val="000000" w:themeColor="text1"/>
          <w:sz w:val="22"/>
        </w:rPr>
        <w:t xml:space="preserve">jest bezpieczniejsze i bardziej rentowne niż inne formy lokowania oszczędności. </w:t>
      </w:r>
      <w:r w:rsidR="00D554CC" w:rsidRPr="00EC0226">
        <w:rPr>
          <w:i/>
          <w:color w:val="000000" w:themeColor="text1"/>
          <w:sz w:val="22"/>
        </w:rPr>
        <w:t>P</w:t>
      </w:r>
      <w:r w:rsidR="00E14E97" w:rsidRPr="00EC0226">
        <w:rPr>
          <w:i/>
          <w:color w:val="000000" w:themeColor="text1"/>
          <w:sz w:val="22"/>
        </w:rPr>
        <w:t xml:space="preserve">rzyjęty przez </w:t>
      </w:r>
      <w:r w:rsidR="00D60206" w:rsidRPr="00EC0226">
        <w:rPr>
          <w:i/>
          <w:color w:val="000000" w:themeColor="text1"/>
          <w:sz w:val="22"/>
        </w:rPr>
        <w:t xml:space="preserve">grupę </w:t>
      </w:r>
      <w:r w:rsidR="00E14E97" w:rsidRPr="00EC0226">
        <w:rPr>
          <w:i/>
          <w:color w:val="000000" w:themeColor="text1"/>
          <w:sz w:val="22"/>
        </w:rPr>
        <w:t>HRE</w:t>
      </w:r>
      <w:r w:rsidR="00DC40F2" w:rsidRPr="00EC0226">
        <w:rPr>
          <w:i/>
          <w:color w:val="000000" w:themeColor="text1"/>
          <w:sz w:val="22"/>
        </w:rPr>
        <w:t xml:space="preserve"> </w:t>
      </w:r>
      <w:r w:rsidR="00DC40F2" w:rsidRPr="00EC0226">
        <w:rPr>
          <w:i/>
          <w:sz w:val="22"/>
        </w:rPr>
        <w:t>Investments</w:t>
      </w:r>
      <w:r w:rsidR="00E14E97" w:rsidRPr="00EC0226">
        <w:rPr>
          <w:i/>
          <w:color w:val="000000" w:themeColor="text1"/>
          <w:sz w:val="22"/>
        </w:rPr>
        <w:t xml:space="preserve"> model biznesowy </w:t>
      </w:r>
      <w:r w:rsidR="00D554CC" w:rsidRPr="00EC0226">
        <w:rPr>
          <w:i/>
          <w:color w:val="000000" w:themeColor="text1"/>
          <w:sz w:val="22"/>
        </w:rPr>
        <w:t xml:space="preserve">opierał się na pozyskaniu wpłat </w:t>
      </w:r>
      <w:r w:rsidR="00BB589C" w:rsidRPr="00EC0226">
        <w:rPr>
          <w:i/>
          <w:color w:val="000000" w:themeColor="text1"/>
          <w:sz w:val="22"/>
        </w:rPr>
        <w:t xml:space="preserve">na udziały </w:t>
      </w:r>
      <w:r w:rsidR="00D554CC" w:rsidRPr="00EC0226">
        <w:rPr>
          <w:i/>
          <w:color w:val="000000" w:themeColor="text1"/>
          <w:sz w:val="22"/>
        </w:rPr>
        <w:t>od konsumentów</w:t>
      </w:r>
      <w:r w:rsidR="00230C58" w:rsidRPr="00EC0226">
        <w:rPr>
          <w:i/>
          <w:color w:val="000000" w:themeColor="text1"/>
          <w:sz w:val="22"/>
        </w:rPr>
        <w:t xml:space="preserve">, których </w:t>
      </w:r>
      <w:r w:rsidR="008D41C6" w:rsidRPr="00EC0226">
        <w:rPr>
          <w:i/>
          <w:color w:val="000000" w:themeColor="text1"/>
          <w:sz w:val="22"/>
        </w:rPr>
        <w:t>konsekwentnie</w:t>
      </w:r>
      <w:r w:rsidR="00230C58" w:rsidRPr="00EC0226">
        <w:rPr>
          <w:i/>
          <w:color w:val="000000" w:themeColor="text1"/>
          <w:sz w:val="22"/>
        </w:rPr>
        <w:t xml:space="preserve"> zapewniano o bezpieczeństwie</w:t>
      </w:r>
      <w:r w:rsidR="001F731E" w:rsidRPr="00EC0226">
        <w:rPr>
          <w:i/>
          <w:color w:val="000000" w:themeColor="text1"/>
          <w:sz w:val="22"/>
        </w:rPr>
        <w:t>, pomijając przy tym istotne ryzyka</w:t>
      </w:r>
      <w:r w:rsidR="00230C58" w:rsidRPr="00EC0226">
        <w:rPr>
          <w:i/>
          <w:color w:val="000000" w:themeColor="text1"/>
          <w:sz w:val="22"/>
        </w:rPr>
        <w:t xml:space="preserve">. </w:t>
      </w:r>
      <w:r w:rsidR="001F731E" w:rsidRPr="00EC0226">
        <w:rPr>
          <w:i/>
          <w:color w:val="000000" w:themeColor="text1"/>
          <w:sz w:val="22"/>
        </w:rPr>
        <w:t xml:space="preserve">Konsumenci stając się udziałowcami </w:t>
      </w:r>
      <w:r w:rsidR="008D41C6" w:rsidRPr="00EC0226">
        <w:rPr>
          <w:i/>
          <w:color w:val="000000" w:themeColor="text1"/>
          <w:sz w:val="22"/>
        </w:rPr>
        <w:t xml:space="preserve">spółek celowych w praktyce </w:t>
      </w:r>
      <w:r w:rsidR="001F731E" w:rsidRPr="00EC0226">
        <w:rPr>
          <w:i/>
          <w:color w:val="000000" w:themeColor="text1"/>
          <w:sz w:val="22"/>
        </w:rPr>
        <w:t>finansowali działalność grupy kapitałowej</w:t>
      </w:r>
      <w:r w:rsidR="008D41C6" w:rsidRPr="00EC0226">
        <w:rPr>
          <w:i/>
          <w:color w:val="000000" w:themeColor="text1"/>
          <w:sz w:val="22"/>
        </w:rPr>
        <w:t xml:space="preserve"> i</w:t>
      </w:r>
      <w:r w:rsidR="001F731E" w:rsidRPr="00EC0226">
        <w:rPr>
          <w:i/>
          <w:color w:val="000000" w:themeColor="text1"/>
          <w:sz w:val="22"/>
        </w:rPr>
        <w:t xml:space="preserve"> to ich w rzeczywistości obarcz</w:t>
      </w:r>
      <w:r w:rsidR="00BB589C" w:rsidRPr="00EC0226">
        <w:rPr>
          <w:i/>
          <w:color w:val="000000" w:themeColor="text1"/>
          <w:sz w:val="22"/>
        </w:rPr>
        <w:t>o</w:t>
      </w:r>
      <w:r w:rsidR="001F731E" w:rsidRPr="00EC0226">
        <w:rPr>
          <w:i/>
          <w:color w:val="000000" w:themeColor="text1"/>
          <w:sz w:val="22"/>
        </w:rPr>
        <w:t xml:space="preserve">no ryzykiem prowadzonego biznesu. </w:t>
      </w:r>
      <w:r w:rsidR="008D41C6" w:rsidRPr="00EC0226">
        <w:rPr>
          <w:i/>
          <w:color w:val="000000" w:themeColor="text1"/>
          <w:sz w:val="22"/>
        </w:rPr>
        <w:t xml:space="preserve">Jednowymiarowa narracja jaką przyjęto w przekazach informacyjnych, </w:t>
      </w:r>
      <w:r w:rsidR="00107AAC">
        <w:rPr>
          <w:i/>
          <w:color w:val="000000" w:themeColor="text1"/>
          <w:sz w:val="22"/>
        </w:rPr>
        <w:t>eksponując</w:t>
      </w:r>
      <w:r w:rsidR="008D41C6" w:rsidRPr="00EC0226">
        <w:rPr>
          <w:i/>
          <w:color w:val="000000" w:themeColor="text1"/>
          <w:sz w:val="22"/>
        </w:rPr>
        <w:t xml:space="preserve"> bezpieczeństwo i gwarancje uzyskania korzyści w zakładanej wysokości, </w:t>
      </w:r>
      <w:r w:rsidR="001344A5">
        <w:rPr>
          <w:i/>
          <w:color w:val="000000" w:themeColor="text1"/>
          <w:sz w:val="22"/>
        </w:rPr>
        <w:t xml:space="preserve">naruszała interesy konsumentów i </w:t>
      </w:r>
      <w:r w:rsidR="008D41C6" w:rsidRPr="00EC0226">
        <w:rPr>
          <w:i/>
          <w:color w:val="000000" w:themeColor="text1"/>
          <w:sz w:val="22"/>
        </w:rPr>
        <w:t xml:space="preserve">wprowadzała </w:t>
      </w:r>
      <w:r w:rsidR="001344A5">
        <w:rPr>
          <w:i/>
          <w:color w:val="000000" w:themeColor="text1"/>
          <w:sz w:val="22"/>
        </w:rPr>
        <w:t>ich</w:t>
      </w:r>
      <w:r w:rsidR="008D41C6" w:rsidRPr="00EC0226">
        <w:rPr>
          <w:i/>
          <w:color w:val="000000" w:themeColor="text1"/>
          <w:sz w:val="22"/>
        </w:rPr>
        <w:t xml:space="preserve"> w błąd</w:t>
      </w:r>
      <w:r w:rsidR="00EC0226" w:rsidRPr="00EC0226">
        <w:rPr>
          <w:i/>
          <w:color w:val="000000" w:themeColor="text1"/>
          <w:sz w:val="22"/>
        </w:rPr>
        <w:t xml:space="preserve"> </w:t>
      </w:r>
      <w:r w:rsidR="00D60206" w:rsidRPr="00EC0226">
        <w:rPr>
          <w:sz w:val="22"/>
        </w:rPr>
        <w:t xml:space="preserve">– mówi </w:t>
      </w:r>
      <w:r w:rsidR="00DB129B" w:rsidRPr="00EC0226">
        <w:rPr>
          <w:sz w:val="22"/>
        </w:rPr>
        <w:t xml:space="preserve">Prezes UOKiK </w:t>
      </w:r>
      <w:r w:rsidR="00D60206" w:rsidRPr="00EC0226">
        <w:rPr>
          <w:sz w:val="22"/>
        </w:rPr>
        <w:t>Tomasz Chróstny</w:t>
      </w:r>
      <w:r w:rsidR="00D60206">
        <w:rPr>
          <w:sz w:val="22"/>
        </w:rPr>
        <w:t>.</w:t>
      </w:r>
    </w:p>
    <w:p w14:paraId="131FBC62" w14:textId="1BA53939" w:rsidR="00533908" w:rsidRPr="0085789D" w:rsidRDefault="00D60206" w:rsidP="00533908">
      <w:pPr>
        <w:spacing w:after="240" w:line="360" w:lineRule="auto"/>
        <w:jc w:val="both"/>
        <w:rPr>
          <w:color w:val="000000" w:themeColor="text1"/>
          <w:sz w:val="22"/>
        </w:rPr>
      </w:pPr>
      <w:r w:rsidRPr="00D60206">
        <w:rPr>
          <w:b/>
          <w:color w:val="000000" w:themeColor="text1"/>
          <w:sz w:val="22"/>
        </w:rPr>
        <w:t xml:space="preserve">Prezes UOKiK za naruszenie zbiorowych interesów konsumentów nałożył na </w:t>
      </w:r>
      <w:r w:rsidR="00952EF8" w:rsidRPr="00D60206">
        <w:rPr>
          <w:b/>
          <w:color w:val="000000" w:themeColor="text1"/>
          <w:sz w:val="22"/>
        </w:rPr>
        <w:t>trzy spółki z grupy kapitałowej HRE</w:t>
      </w:r>
      <w:r w:rsidR="00DC40F2" w:rsidRPr="00DC40F2">
        <w:rPr>
          <w:sz w:val="22"/>
        </w:rPr>
        <w:t xml:space="preserve"> </w:t>
      </w:r>
      <w:r w:rsidR="00DC40F2" w:rsidRPr="00DC40F2">
        <w:rPr>
          <w:b/>
          <w:sz w:val="22"/>
        </w:rPr>
        <w:t>Investments</w:t>
      </w:r>
      <w:r w:rsidR="00952EF8" w:rsidRPr="00D60206">
        <w:rPr>
          <w:b/>
          <w:color w:val="000000" w:themeColor="text1"/>
          <w:sz w:val="22"/>
        </w:rPr>
        <w:t xml:space="preserve"> </w:t>
      </w:r>
      <w:r w:rsidRPr="00D60206">
        <w:rPr>
          <w:b/>
          <w:color w:val="000000" w:themeColor="text1"/>
          <w:sz w:val="22"/>
        </w:rPr>
        <w:t>karę prawie</w:t>
      </w:r>
      <w:r w:rsidR="00952EF8" w:rsidRPr="00D60206">
        <w:rPr>
          <w:b/>
          <w:color w:val="000000" w:themeColor="text1"/>
          <w:sz w:val="22"/>
        </w:rPr>
        <w:t xml:space="preserve"> </w:t>
      </w:r>
      <w:r w:rsidR="00340735">
        <w:rPr>
          <w:b/>
          <w:color w:val="000000" w:themeColor="text1"/>
          <w:sz w:val="22"/>
        </w:rPr>
        <w:t xml:space="preserve">12 mln zł </w:t>
      </w:r>
      <w:r w:rsidR="00952EF8">
        <w:rPr>
          <w:color w:val="000000" w:themeColor="text1"/>
          <w:sz w:val="22"/>
        </w:rPr>
        <w:t>(</w:t>
      </w:r>
      <w:r w:rsidR="005814D1">
        <w:rPr>
          <w:color w:val="000000" w:themeColor="text1"/>
          <w:sz w:val="22"/>
        </w:rPr>
        <w:t xml:space="preserve">11 803 666 </w:t>
      </w:r>
      <w:r w:rsidR="005A4ACD">
        <w:rPr>
          <w:color w:val="000000" w:themeColor="text1"/>
          <w:sz w:val="22"/>
        </w:rPr>
        <w:t>zł</w:t>
      </w:r>
      <w:r w:rsidR="00952EF8">
        <w:rPr>
          <w:color w:val="000000" w:themeColor="text1"/>
          <w:sz w:val="22"/>
        </w:rPr>
        <w:t>)</w:t>
      </w:r>
      <w:r>
        <w:rPr>
          <w:color w:val="000000" w:themeColor="text1"/>
          <w:sz w:val="22"/>
        </w:rPr>
        <w:t xml:space="preserve">. </w:t>
      </w:r>
      <w:r w:rsidRPr="00107AAC">
        <w:rPr>
          <w:b/>
          <w:color w:val="000000" w:themeColor="text1"/>
          <w:sz w:val="22"/>
          <w:lang w:val="en-GB"/>
        </w:rPr>
        <w:t>Odpowiednio:</w:t>
      </w:r>
      <w:r w:rsidR="00952EF8" w:rsidRPr="00107AAC">
        <w:rPr>
          <w:b/>
          <w:color w:val="000000" w:themeColor="text1"/>
          <w:sz w:val="22"/>
          <w:lang w:val="en-GB"/>
        </w:rPr>
        <w:t xml:space="preserve"> </w:t>
      </w:r>
      <w:r w:rsidRPr="00107AAC">
        <w:rPr>
          <w:b/>
          <w:color w:val="000000" w:themeColor="text1"/>
          <w:sz w:val="22"/>
          <w:lang w:val="en-GB"/>
        </w:rPr>
        <w:t>HRE Investments (</w:t>
      </w:r>
      <w:r w:rsidR="005814D1" w:rsidRPr="00107AAC">
        <w:rPr>
          <w:b/>
          <w:color w:val="000000" w:themeColor="text1"/>
          <w:sz w:val="22"/>
          <w:lang w:val="en-GB"/>
        </w:rPr>
        <w:t>300 632</w:t>
      </w:r>
      <w:r w:rsidR="00340735" w:rsidRPr="00107AAC">
        <w:rPr>
          <w:b/>
          <w:color w:val="000000" w:themeColor="text1"/>
          <w:sz w:val="22"/>
          <w:lang w:val="en-GB"/>
        </w:rPr>
        <w:t xml:space="preserve"> </w:t>
      </w:r>
      <w:r w:rsidRPr="00107AAC">
        <w:rPr>
          <w:b/>
          <w:color w:val="000000" w:themeColor="text1"/>
          <w:sz w:val="22"/>
          <w:lang w:val="en-GB"/>
        </w:rPr>
        <w:t>zł), HREIT (</w:t>
      </w:r>
      <w:r w:rsidR="005814D1" w:rsidRPr="00107AAC">
        <w:rPr>
          <w:b/>
          <w:color w:val="000000" w:themeColor="text1"/>
          <w:sz w:val="22"/>
          <w:lang w:val="en-GB"/>
        </w:rPr>
        <w:t>9 776 023</w:t>
      </w:r>
      <w:r w:rsidR="00340735" w:rsidRPr="00107AAC">
        <w:rPr>
          <w:b/>
          <w:color w:val="000000" w:themeColor="text1"/>
          <w:sz w:val="22"/>
          <w:lang w:val="en-GB"/>
        </w:rPr>
        <w:t xml:space="preserve"> </w:t>
      </w:r>
      <w:r w:rsidRPr="00107AAC">
        <w:rPr>
          <w:b/>
          <w:color w:val="000000" w:themeColor="text1"/>
          <w:sz w:val="22"/>
          <w:lang w:val="en-GB"/>
        </w:rPr>
        <w:t>zł), Heritage Real Estate (</w:t>
      </w:r>
      <w:r w:rsidR="005814D1" w:rsidRPr="00107AAC">
        <w:rPr>
          <w:b/>
          <w:color w:val="000000" w:themeColor="text1"/>
          <w:sz w:val="22"/>
          <w:lang w:val="en-GB"/>
        </w:rPr>
        <w:t xml:space="preserve">1 727 011 </w:t>
      </w:r>
      <w:r w:rsidRPr="00107AAC">
        <w:rPr>
          <w:b/>
          <w:color w:val="000000" w:themeColor="text1"/>
          <w:sz w:val="22"/>
          <w:lang w:val="en-GB"/>
        </w:rPr>
        <w:t>zł).</w:t>
      </w:r>
      <w:r w:rsidRPr="003F71BD">
        <w:rPr>
          <w:color w:val="000000" w:themeColor="text1"/>
          <w:sz w:val="22"/>
          <w:lang w:val="en-GB"/>
        </w:rPr>
        <w:t xml:space="preserve"> </w:t>
      </w:r>
      <w:r w:rsidR="00952EF8" w:rsidRPr="00DC40F2">
        <w:rPr>
          <w:b/>
          <w:color w:val="000000" w:themeColor="text1"/>
          <w:sz w:val="22"/>
        </w:rPr>
        <w:t>Odpowiedzialności nie uniknęły również osoby</w:t>
      </w:r>
      <w:r w:rsidR="00A024C4">
        <w:rPr>
          <w:b/>
          <w:color w:val="000000" w:themeColor="text1"/>
          <w:sz w:val="22"/>
        </w:rPr>
        <w:t>, kt</w:t>
      </w:r>
      <w:r w:rsidR="00DB129B">
        <w:rPr>
          <w:b/>
          <w:color w:val="000000" w:themeColor="text1"/>
          <w:sz w:val="22"/>
        </w:rPr>
        <w:t>ór</w:t>
      </w:r>
      <w:r w:rsidR="00A024C4">
        <w:rPr>
          <w:b/>
          <w:color w:val="000000" w:themeColor="text1"/>
          <w:sz w:val="22"/>
        </w:rPr>
        <w:t>e były odpowiedzialne za</w:t>
      </w:r>
      <w:r w:rsidR="00952EF8" w:rsidRPr="00DC40F2">
        <w:rPr>
          <w:b/>
          <w:color w:val="000000" w:themeColor="text1"/>
          <w:sz w:val="22"/>
        </w:rPr>
        <w:t xml:space="preserve"> </w:t>
      </w:r>
      <w:r w:rsidR="00952EF8" w:rsidRPr="00DC40F2">
        <w:rPr>
          <w:b/>
          <w:color w:val="000000" w:themeColor="text1"/>
          <w:sz w:val="22"/>
        </w:rPr>
        <w:lastRenderedPageBreak/>
        <w:t>zarządza</w:t>
      </w:r>
      <w:r w:rsidR="00A024C4">
        <w:rPr>
          <w:b/>
          <w:color w:val="000000" w:themeColor="text1"/>
          <w:sz w:val="22"/>
        </w:rPr>
        <w:t>nie</w:t>
      </w:r>
      <w:r w:rsidR="00952EF8" w:rsidRPr="00DC40F2">
        <w:rPr>
          <w:b/>
          <w:color w:val="000000" w:themeColor="text1"/>
          <w:sz w:val="22"/>
        </w:rPr>
        <w:t xml:space="preserve"> spółkami: Michał Cebula (kara nałożona to </w:t>
      </w:r>
      <w:r w:rsidR="00340735">
        <w:rPr>
          <w:b/>
          <w:color w:val="000000" w:themeColor="text1"/>
          <w:sz w:val="22"/>
        </w:rPr>
        <w:t>4</w:t>
      </w:r>
      <w:r w:rsidR="00952EF8" w:rsidRPr="00DC40F2">
        <w:rPr>
          <w:b/>
          <w:color w:val="000000" w:themeColor="text1"/>
          <w:sz w:val="22"/>
        </w:rPr>
        <w:t xml:space="preserve">50 tys. zł) oraz Michał Sapota (kara nałożona to </w:t>
      </w:r>
      <w:r w:rsidR="00340735">
        <w:rPr>
          <w:b/>
          <w:color w:val="000000" w:themeColor="text1"/>
          <w:sz w:val="22"/>
        </w:rPr>
        <w:t xml:space="preserve">950 </w:t>
      </w:r>
      <w:r w:rsidR="00952EF8" w:rsidRPr="00DC40F2">
        <w:rPr>
          <w:b/>
          <w:color w:val="000000" w:themeColor="text1"/>
          <w:sz w:val="22"/>
        </w:rPr>
        <w:t>tys. zł)</w:t>
      </w:r>
      <w:r w:rsidR="00952EF8">
        <w:rPr>
          <w:color w:val="000000" w:themeColor="text1"/>
          <w:sz w:val="22"/>
        </w:rPr>
        <w:t xml:space="preserve">. </w:t>
      </w:r>
      <w:r w:rsidR="00DB129B">
        <w:rPr>
          <w:color w:val="000000" w:themeColor="text1"/>
          <w:sz w:val="22"/>
        </w:rPr>
        <w:t>Osoby te u</w:t>
      </w:r>
      <w:r w:rsidR="00DC40F2">
        <w:rPr>
          <w:color w:val="000000" w:themeColor="text1"/>
          <w:sz w:val="22"/>
        </w:rPr>
        <w:t>myślnie doprowadziły do naruszenia zbiorowych interesów konsumentów</w:t>
      </w:r>
      <w:r w:rsidR="00DB129B">
        <w:rPr>
          <w:color w:val="000000" w:themeColor="text1"/>
          <w:sz w:val="22"/>
        </w:rPr>
        <w:t>,</w:t>
      </w:r>
      <w:r w:rsidR="00DC40F2">
        <w:rPr>
          <w:color w:val="000000" w:themeColor="text1"/>
          <w:sz w:val="22"/>
        </w:rPr>
        <w:t xml:space="preserve"> m.in. </w:t>
      </w:r>
      <w:bookmarkStart w:id="2" w:name="_Hlk155186514"/>
      <w:r w:rsidR="00DC40F2">
        <w:rPr>
          <w:color w:val="000000" w:themeColor="text1"/>
          <w:sz w:val="22"/>
        </w:rPr>
        <w:t>były odpowiedzialne</w:t>
      </w:r>
      <w:r w:rsidR="0057662F">
        <w:rPr>
          <w:color w:val="000000" w:themeColor="text1"/>
          <w:sz w:val="22"/>
        </w:rPr>
        <w:t xml:space="preserve"> nie tylko</w:t>
      </w:r>
      <w:r w:rsidR="00DC40F2">
        <w:rPr>
          <w:color w:val="000000" w:themeColor="text1"/>
          <w:sz w:val="22"/>
        </w:rPr>
        <w:t xml:space="preserve"> za </w:t>
      </w:r>
      <w:r w:rsidR="00340735">
        <w:rPr>
          <w:color w:val="000000" w:themeColor="text1"/>
          <w:sz w:val="22"/>
        </w:rPr>
        <w:t xml:space="preserve">przygotowanie i wdrożenie </w:t>
      </w:r>
      <w:r w:rsidR="00DC40F2">
        <w:rPr>
          <w:color w:val="000000" w:themeColor="text1"/>
          <w:sz w:val="22"/>
        </w:rPr>
        <w:t>przekaz</w:t>
      </w:r>
      <w:r w:rsidR="00340735">
        <w:rPr>
          <w:color w:val="000000" w:themeColor="text1"/>
          <w:sz w:val="22"/>
        </w:rPr>
        <w:t>u</w:t>
      </w:r>
      <w:r w:rsidR="00DC40F2">
        <w:rPr>
          <w:color w:val="000000" w:themeColor="text1"/>
          <w:sz w:val="22"/>
        </w:rPr>
        <w:t xml:space="preserve"> </w:t>
      </w:r>
      <w:r w:rsidR="00340735">
        <w:rPr>
          <w:color w:val="000000" w:themeColor="text1"/>
          <w:sz w:val="22"/>
        </w:rPr>
        <w:t xml:space="preserve">ofertowego i </w:t>
      </w:r>
      <w:r w:rsidR="00DC40F2">
        <w:rPr>
          <w:color w:val="000000" w:themeColor="text1"/>
          <w:sz w:val="22"/>
        </w:rPr>
        <w:t>marketingow</w:t>
      </w:r>
      <w:r w:rsidR="00340735">
        <w:rPr>
          <w:color w:val="000000" w:themeColor="text1"/>
          <w:sz w:val="22"/>
        </w:rPr>
        <w:t>ego</w:t>
      </w:r>
      <w:r w:rsidR="00DC40F2">
        <w:rPr>
          <w:color w:val="000000" w:themeColor="text1"/>
          <w:sz w:val="22"/>
        </w:rPr>
        <w:t xml:space="preserve">, który eksponował korzyści </w:t>
      </w:r>
      <w:r w:rsidR="00D72B2C">
        <w:rPr>
          <w:color w:val="000000" w:themeColor="text1"/>
          <w:sz w:val="22"/>
        </w:rPr>
        <w:t xml:space="preserve">a minimalizował </w:t>
      </w:r>
      <w:r w:rsidR="00DC40F2">
        <w:rPr>
          <w:color w:val="000000" w:themeColor="text1"/>
          <w:sz w:val="22"/>
        </w:rPr>
        <w:t>ryzyka</w:t>
      </w:r>
      <w:r w:rsidR="00DB129B">
        <w:rPr>
          <w:color w:val="000000" w:themeColor="text1"/>
          <w:sz w:val="22"/>
        </w:rPr>
        <w:t>,</w:t>
      </w:r>
      <w:r w:rsidR="00340735">
        <w:rPr>
          <w:color w:val="000000" w:themeColor="text1"/>
          <w:sz w:val="22"/>
        </w:rPr>
        <w:t xml:space="preserve"> a</w:t>
      </w:r>
      <w:r w:rsidR="0057662F">
        <w:rPr>
          <w:color w:val="000000" w:themeColor="text1"/>
          <w:sz w:val="22"/>
        </w:rPr>
        <w:t>le również aktywnie promowa</w:t>
      </w:r>
      <w:r w:rsidR="00C6404D">
        <w:rPr>
          <w:color w:val="000000" w:themeColor="text1"/>
          <w:sz w:val="22"/>
        </w:rPr>
        <w:t>ły</w:t>
      </w:r>
      <w:r w:rsidR="0057662F">
        <w:rPr>
          <w:color w:val="000000" w:themeColor="text1"/>
          <w:sz w:val="22"/>
        </w:rPr>
        <w:t xml:space="preserve"> ten sposób inwestowania</w:t>
      </w:r>
      <w:r w:rsidR="00891625">
        <w:rPr>
          <w:color w:val="000000" w:themeColor="text1"/>
          <w:sz w:val="22"/>
        </w:rPr>
        <w:t>.</w:t>
      </w:r>
    </w:p>
    <w:bookmarkEnd w:id="2"/>
    <w:p w14:paraId="0F3A0893" w14:textId="19B49E1E" w:rsidR="007B1DCE" w:rsidRDefault="00E20605" w:rsidP="008836EF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Decyzja nie jest prawomocna, przysługuje od niej odwołanie do sądu.</w:t>
      </w:r>
    </w:p>
    <w:p w14:paraId="1361E74B" w14:textId="2F4F8D4D" w:rsidR="00E20605" w:rsidRDefault="00E20605" w:rsidP="00E20605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</w:t>
      </w:r>
      <w:r w:rsidRPr="00E20605">
        <w:rPr>
          <w:color w:val="000000" w:themeColor="text1"/>
          <w:sz w:val="22"/>
        </w:rPr>
        <w:t xml:space="preserve">rezes Urzędu informuje na bieżąco o działaniach podejmowanych wobec organizatorów czy promotorów rozmaitych przedsięwzięć inwestycyjnych, w tym np. weksli inwestycyjnych czy </w:t>
      </w:r>
      <w:r w:rsidR="00B22706">
        <w:rPr>
          <w:color w:val="000000" w:themeColor="text1"/>
          <w:sz w:val="22"/>
        </w:rPr>
        <w:t>systemów</w:t>
      </w:r>
      <w:r w:rsidRPr="00E20605">
        <w:rPr>
          <w:color w:val="000000" w:themeColor="text1"/>
          <w:sz w:val="22"/>
        </w:rPr>
        <w:t xml:space="preserve"> promocyjnych typu piramida.</w:t>
      </w:r>
      <w:r>
        <w:rPr>
          <w:color w:val="000000" w:themeColor="text1"/>
          <w:sz w:val="22"/>
        </w:rPr>
        <w:t xml:space="preserve"> </w:t>
      </w:r>
      <w:r w:rsidR="007B1DCE" w:rsidRPr="0085789D">
        <w:rPr>
          <w:color w:val="000000" w:themeColor="text1"/>
          <w:sz w:val="22"/>
        </w:rPr>
        <w:t>P</w:t>
      </w:r>
      <w:r>
        <w:rPr>
          <w:color w:val="000000" w:themeColor="text1"/>
          <w:sz w:val="22"/>
        </w:rPr>
        <w:t>onadto P</w:t>
      </w:r>
      <w:r w:rsidR="007B1DCE" w:rsidRPr="0085789D">
        <w:rPr>
          <w:color w:val="000000" w:themeColor="text1"/>
          <w:sz w:val="22"/>
        </w:rPr>
        <w:t xml:space="preserve">rezes Urzędu Ochrony Konkurencji i Konsumentów systematycznie ostrzega konsumentów o </w:t>
      </w:r>
      <w:r w:rsidR="00767919" w:rsidRPr="0085789D">
        <w:rPr>
          <w:color w:val="000000" w:themeColor="text1"/>
          <w:sz w:val="22"/>
        </w:rPr>
        <w:t>ryzykach, jakie wiążą się z inwestowaniem</w:t>
      </w:r>
      <w:r w:rsidR="00A1192D">
        <w:rPr>
          <w:color w:val="000000" w:themeColor="text1"/>
          <w:sz w:val="22"/>
        </w:rPr>
        <w:t>, w tym alternatywnym</w:t>
      </w:r>
      <w:r w:rsidR="00767919" w:rsidRPr="0085789D">
        <w:rPr>
          <w:color w:val="000000" w:themeColor="text1"/>
          <w:sz w:val="22"/>
        </w:rPr>
        <w:t xml:space="preserve">. </w:t>
      </w:r>
      <w:r w:rsidRPr="00E20605">
        <w:rPr>
          <w:color w:val="000000" w:themeColor="text1"/>
          <w:sz w:val="22"/>
        </w:rPr>
        <w:t>O kampani</w:t>
      </w:r>
      <w:r>
        <w:rPr>
          <w:color w:val="000000" w:themeColor="text1"/>
          <w:sz w:val="22"/>
        </w:rPr>
        <w:t>ach</w:t>
      </w:r>
      <w:r w:rsidRPr="00E20605">
        <w:rPr>
          <w:color w:val="000000" w:themeColor="text1"/>
          <w:sz w:val="22"/>
        </w:rPr>
        <w:t xml:space="preserve">, </w:t>
      </w:r>
      <w:r w:rsidR="00B22706">
        <w:rPr>
          <w:color w:val="000000" w:themeColor="text1"/>
          <w:sz w:val="22"/>
        </w:rPr>
        <w:t xml:space="preserve">w których </w:t>
      </w:r>
      <w:r w:rsidRPr="00E20605">
        <w:rPr>
          <w:color w:val="000000" w:themeColor="text1"/>
          <w:sz w:val="22"/>
        </w:rPr>
        <w:t>ostrzega</w:t>
      </w:r>
      <w:r w:rsidR="00B22706">
        <w:rPr>
          <w:color w:val="000000" w:themeColor="text1"/>
          <w:sz w:val="22"/>
        </w:rPr>
        <w:t>my o tym</w:t>
      </w:r>
      <w:r w:rsidRPr="00E20605">
        <w:rPr>
          <w:color w:val="000000" w:themeColor="text1"/>
          <w:sz w:val="22"/>
        </w:rPr>
        <w:t xml:space="preserve">, że duży i szybki zysk zawsze oznacza </w:t>
      </w:r>
      <w:r>
        <w:rPr>
          <w:color w:val="000000" w:themeColor="text1"/>
          <w:sz w:val="22"/>
        </w:rPr>
        <w:t>wysoko</w:t>
      </w:r>
      <w:r w:rsidRPr="00E20605">
        <w:rPr>
          <w:color w:val="000000" w:themeColor="text1"/>
          <w:sz w:val="22"/>
        </w:rPr>
        <w:t xml:space="preserve"> ryzyko więcej w </w:t>
      </w:r>
      <w:hyperlink r:id="rId9" w:history="1">
        <w:r w:rsidRPr="00E20605">
          <w:rPr>
            <w:rStyle w:val="Hipercze"/>
            <w:sz w:val="22"/>
          </w:rPr>
          <w:t>materiałach dostępnych</w:t>
        </w:r>
      </w:hyperlink>
      <w:r w:rsidRPr="00E20605">
        <w:rPr>
          <w:color w:val="000000" w:themeColor="text1"/>
          <w:sz w:val="22"/>
        </w:rPr>
        <w:t xml:space="preserve"> na uokik.gov.pl  oraz </w:t>
      </w:r>
      <w:r>
        <w:rPr>
          <w:color w:val="000000" w:themeColor="text1"/>
          <w:sz w:val="22"/>
        </w:rPr>
        <w:t xml:space="preserve">na </w:t>
      </w:r>
      <w:r w:rsidRPr="00E20605">
        <w:rPr>
          <w:color w:val="000000" w:themeColor="text1"/>
          <w:sz w:val="22"/>
        </w:rPr>
        <w:t>specjalnie stworzonej stronie finanse.uokik.gov.pl.</w:t>
      </w:r>
      <w:r>
        <w:rPr>
          <w:color w:val="000000" w:themeColor="text1"/>
          <w:sz w:val="22"/>
        </w:rPr>
        <w:t xml:space="preserve"> </w:t>
      </w:r>
    </w:p>
    <w:sectPr w:rsidR="00E20605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2DAD5" w14:textId="77777777" w:rsidR="007C048D" w:rsidRDefault="007C048D">
      <w:r>
        <w:separator/>
      </w:r>
    </w:p>
  </w:endnote>
  <w:endnote w:type="continuationSeparator" w:id="0">
    <w:p w14:paraId="68B68859" w14:textId="77777777" w:rsidR="007C048D" w:rsidRDefault="007C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3678" w14:textId="77777777" w:rsidR="007C048D" w:rsidRDefault="007C048D">
      <w:r>
        <w:separator/>
      </w:r>
    </w:p>
  </w:footnote>
  <w:footnote w:type="continuationSeparator" w:id="0">
    <w:p w14:paraId="52276155" w14:textId="77777777" w:rsidR="007C048D" w:rsidRDefault="007C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538"/>
    <w:multiLevelType w:val="hybridMultilevel"/>
    <w:tmpl w:val="4CC0B1D0"/>
    <w:lvl w:ilvl="0" w:tplc="2A2AD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574C3"/>
    <w:multiLevelType w:val="hybridMultilevel"/>
    <w:tmpl w:val="4BE6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5384"/>
    <w:rsid w:val="00022E00"/>
    <w:rsid w:val="00023634"/>
    <w:rsid w:val="0002523D"/>
    <w:rsid w:val="000270B5"/>
    <w:rsid w:val="00035F7B"/>
    <w:rsid w:val="00042F96"/>
    <w:rsid w:val="000651E9"/>
    <w:rsid w:val="00072F22"/>
    <w:rsid w:val="00073AA7"/>
    <w:rsid w:val="00075AAE"/>
    <w:rsid w:val="000838C2"/>
    <w:rsid w:val="00086CD9"/>
    <w:rsid w:val="000913F7"/>
    <w:rsid w:val="00093F0C"/>
    <w:rsid w:val="000A74FA"/>
    <w:rsid w:val="000B149D"/>
    <w:rsid w:val="000B1AC5"/>
    <w:rsid w:val="000B7247"/>
    <w:rsid w:val="000D102D"/>
    <w:rsid w:val="000D1ED3"/>
    <w:rsid w:val="000F0D68"/>
    <w:rsid w:val="0010559C"/>
    <w:rsid w:val="00106D3E"/>
    <w:rsid w:val="00106DC9"/>
    <w:rsid w:val="00107844"/>
    <w:rsid w:val="00107AAC"/>
    <w:rsid w:val="00110D55"/>
    <w:rsid w:val="00112582"/>
    <w:rsid w:val="00116102"/>
    <w:rsid w:val="00120FBD"/>
    <w:rsid w:val="0012424D"/>
    <w:rsid w:val="0012630F"/>
    <w:rsid w:val="001269BB"/>
    <w:rsid w:val="00130EFC"/>
    <w:rsid w:val="0013159A"/>
    <w:rsid w:val="001344A5"/>
    <w:rsid w:val="00135455"/>
    <w:rsid w:val="001359C6"/>
    <w:rsid w:val="00143029"/>
    <w:rsid w:val="00143310"/>
    <w:rsid w:val="00144611"/>
    <w:rsid w:val="00144E9C"/>
    <w:rsid w:val="0016078E"/>
    <w:rsid w:val="00161094"/>
    <w:rsid w:val="001623BB"/>
    <w:rsid w:val="00163DF9"/>
    <w:rsid w:val="001666D6"/>
    <w:rsid w:val="00166B5D"/>
    <w:rsid w:val="001675EF"/>
    <w:rsid w:val="00167731"/>
    <w:rsid w:val="0017028A"/>
    <w:rsid w:val="001717C7"/>
    <w:rsid w:val="00180B1C"/>
    <w:rsid w:val="00190D5A"/>
    <w:rsid w:val="001979B5"/>
    <w:rsid w:val="001A1491"/>
    <w:rsid w:val="001A5F7C"/>
    <w:rsid w:val="001A69B5"/>
    <w:rsid w:val="001A6E5B"/>
    <w:rsid w:val="001A7451"/>
    <w:rsid w:val="001C1FAD"/>
    <w:rsid w:val="001C3B1B"/>
    <w:rsid w:val="001C6E51"/>
    <w:rsid w:val="001E188E"/>
    <w:rsid w:val="001E18EB"/>
    <w:rsid w:val="001E4F92"/>
    <w:rsid w:val="001F4A73"/>
    <w:rsid w:val="001F731E"/>
    <w:rsid w:val="0020105E"/>
    <w:rsid w:val="00205580"/>
    <w:rsid w:val="002157BB"/>
    <w:rsid w:val="00221024"/>
    <w:rsid w:val="002262B5"/>
    <w:rsid w:val="00230C58"/>
    <w:rsid w:val="0023138D"/>
    <w:rsid w:val="002379B9"/>
    <w:rsid w:val="00237D03"/>
    <w:rsid w:val="00240013"/>
    <w:rsid w:val="0024118E"/>
    <w:rsid w:val="00241BAC"/>
    <w:rsid w:val="00241E93"/>
    <w:rsid w:val="002502C3"/>
    <w:rsid w:val="00253E62"/>
    <w:rsid w:val="002548F0"/>
    <w:rsid w:val="0025532A"/>
    <w:rsid w:val="00260382"/>
    <w:rsid w:val="00262362"/>
    <w:rsid w:val="00266CB4"/>
    <w:rsid w:val="00267DD1"/>
    <w:rsid w:val="00272E71"/>
    <w:rsid w:val="00277216"/>
    <w:rsid w:val="002801AA"/>
    <w:rsid w:val="002817D5"/>
    <w:rsid w:val="00291454"/>
    <w:rsid w:val="00295B34"/>
    <w:rsid w:val="002A0C07"/>
    <w:rsid w:val="002A34C4"/>
    <w:rsid w:val="002A491D"/>
    <w:rsid w:val="002A5D69"/>
    <w:rsid w:val="002B12CE"/>
    <w:rsid w:val="002B15B6"/>
    <w:rsid w:val="002B1DBF"/>
    <w:rsid w:val="002C0D5D"/>
    <w:rsid w:val="002C1818"/>
    <w:rsid w:val="002C2887"/>
    <w:rsid w:val="002C5AF4"/>
    <w:rsid w:val="002C692D"/>
    <w:rsid w:val="002C6ABE"/>
    <w:rsid w:val="002C78F7"/>
    <w:rsid w:val="002D19F7"/>
    <w:rsid w:val="002D5EED"/>
    <w:rsid w:val="002E388C"/>
    <w:rsid w:val="002E7EEE"/>
    <w:rsid w:val="002F1BF3"/>
    <w:rsid w:val="002F30D4"/>
    <w:rsid w:val="002F4D43"/>
    <w:rsid w:val="002F6D73"/>
    <w:rsid w:val="002F7F4C"/>
    <w:rsid w:val="002F7FC5"/>
    <w:rsid w:val="003056C6"/>
    <w:rsid w:val="003057F6"/>
    <w:rsid w:val="00307500"/>
    <w:rsid w:val="00310436"/>
    <w:rsid w:val="00310A95"/>
    <w:rsid w:val="00311B14"/>
    <w:rsid w:val="00314555"/>
    <w:rsid w:val="00315639"/>
    <w:rsid w:val="00324306"/>
    <w:rsid w:val="003278D6"/>
    <w:rsid w:val="003303F0"/>
    <w:rsid w:val="00335CCC"/>
    <w:rsid w:val="0034059B"/>
    <w:rsid w:val="00340735"/>
    <w:rsid w:val="0035019C"/>
    <w:rsid w:val="00360248"/>
    <w:rsid w:val="00360C66"/>
    <w:rsid w:val="00363029"/>
    <w:rsid w:val="0036659E"/>
    <w:rsid w:val="00366A46"/>
    <w:rsid w:val="00372BC2"/>
    <w:rsid w:val="00377810"/>
    <w:rsid w:val="00377A0D"/>
    <w:rsid w:val="00382433"/>
    <w:rsid w:val="0038677D"/>
    <w:rsid w:val="00386B53"/>
    <w:rsid w:val="00387C1A"/>
    <w:rsid w:val="00390405"/>
    <w:rsid w:val="003966CC"/>
    <w:rsid w:val="003A47D6"/>
    <w:rsid w:val="003A4F32"/>
    <w:rsid w:val="003B3BC1"/>
    <w:rsid w:val="003B5CDF"/>
    <w:rsid w:val="003B7C19"/>
    <w:rsid w:val="003C06A8"/>
    <w:rsid w:val="003C4FAA"/>
    <w:rsid w:val="003D1FD8"/>
    <w:rsid w:val="003D3FF4"/>
    <w:rsid w:val="003D5DCC"/>
    <w:rsid w:val="003D7161"/>
    <w:rsid w:val="003E3F9D"/>
    <w:rsid w:val="003E466C"/>
    <w:rsid w:val="003E69E5"/>
    <w:rsid w:val="003F45F8"/>
    <w:rsid w:val="003F71BD"/>
    <w:rsid w:val="00400CFB"/>
    <w:rsid w:val="00402D7D"/>
    <w:rsid w:val="0040748E"/>
    <w:rsid w:val="00412206"/>
    <w:rsid w:val="004232A7"/>
    <w:rsid w:val="00427E08"/>
    <w:rsid w:val="00430491"/>
    <w:rsid w:val="00432A3D"/>
    <w:rsid w:val="004349BA"/>
    <w:rsid w:val="0043575C"/>
    <w:rsid w:val="004365C7"/>
    <w:rsid w:val="00440B8F"/>
    <w:rsid w:val="004425B7"/>
    <w:rsid w:val="00444A85"/>
    <w:rsid w:val="00450331"/>
    <w:rsid w:val="0045167F"/>
    <w:rsid w:val="004620D2"/>
    <w:rsid w:val="00462CD1"/>
    <w:rsid w:val="00462CFA"/>
    <w:rsid w:val="00486DB1"/>
    <w:rsid w:val="004872FF"/>
    <w:rsid w:val="00487364"/>
    <w:rsid w:val="00490829"/>
    <w:rsid w:val="00493E10"/>
    <w:rsid w:val="00494495"/>
    <w:rsid w:val="004972E8"/>
    <w:rsid w:val="004A5353"/>
    <w:rsid w:val="004C0F9E"/>
    <w:rsid w:val="004C1243"/>
    <w:rsid w:val="004C3D4C"/>
    <w:rsid w:val="004C5C26"/>
    <w:rsid w:val="004D13CB"/>
    <w:rsid w:val="004E0F13"/>
    <w:rsid w:val="004E7BD4"/>
    <w:rsid w:val="004F493B"/>
    <w:rsid w:val="004F7E99"/>
    <w:rsid w:val="005003F9"/>
    <w:rsid w:val="0050417B"/>
    <w:rsid w:val="0050508C"/>
    <w:rsid w:val="00506EB4"/>
    <w:rsid w:val="005133CE"/>
    <w:rsid w:val="00521BA3"/>
    <w:rsid w:val="00523E0D"/>
    <w:rsid w:val="00525588"/>
    <w:rsid w:val="00525D76"/>
    <w:rsid w:val="0052710E"/>
    <w:rsid w:val="00530BC6"/>
    <w:rsid w:val="00533908"/>
    <w:rsid w:val="00536FF2"/>
    <w:rsid w:val="0054425C"/>
    <w:rsid w:val="005442FC"/>
    <w:rsid w:val="00544E18"/>
    <w:rsid w:val="00545DA0"/>
    <w:rsid w:val="005470CA"/>
    <w:rsid w:val="005502DC"/>
    <w:rsid w:val="0055631D"/>
    <w:rsid w:val="00563889"/>
    <w:rsid w:val="005645CE"/>
    <w:rsid w:val="0057181D"/>
    <w:rsid w:val="0057559F"/>
    <w:rsid w:val="0057662F"/>
    <w:rsid w:val="005814D1"/>
    <w:rsid w:val="00590B79"/>
    <w:rsid w:val="00592E1D"/>
    <w:rsid w:val="00593935"/>
    <w:rsid w:val="005973FD"/>
    <w:rsid w:val="00597C68"/>
    <w:rsid w:val="005A382B"/>
    <w:rsid w:val="005A4047"/>
    <w:rsid w:val="005A4ACD"/>
    <w:rsid w:val="005A7271"/>
    <w:rsid w:val="005B0B48"/>
    <w:rsid w:val="005B0E93"/>
    <w:rsid w:val="005C0D39"/>
    <w:rsid w:val="005C6232"/>
    <w:rsid w:val="005D6F7A"/>
    <w:rsid w:val="005E5AE9"/>
    <w:rsid w:val="005E5B88"/>
    <w:rsid w:val="005E78EE"/>
    <w:rsid w:val="005F139F"/>
    <w:rsid w:val="005F1EBD"/>
    <w:rsid w:val="005F5CCA"/>
    <w:rsid w:val="006063D0"/>
    <w:rsid w:val="00611530"/>
    <w:rsid w:val="00613C45"/>
    <w:rsid w:val="00623D96"/>
    <w:rsid w:val="0063152C"/>
    <w:rsid w:val="006317E7"/>
    <w:rsid w:val="00633D4E"/>
    <w:rsid w:val="0063526F"/>
    <w:rsid w:val="00637E86"/>
    <w:rsid w:val="006410A4"/>
    <w:rsid w:val="00642285"/>
    <w:rsid w:val="006422DE"/>
    <w:rsid w:val="006439FA"/>
    <w:rsid w:val="00647C6D"/>
    <w:rsid w:val="00662FB3"/>
    <w:rsid w:val="0067485D"/>
    <w:rsid w:val="00680866"/>
    <w:rsid w:val="00680EB5"/>
    <w:rsid w:val="00686544"/>
    <w:rsid w:val="006966FE"/>
    <w:rsid w:val="006A2065"/>
    <w:rsid w:val="006A3D88"/>
    <w:rsid w:val="006A4A7A"/>
    <w:rsid w:val="006A695B"/>
    <w:rsid w:val="006A6B08"/>
    <w:rsid w:val="006B0848"/>
    <w:rsid w:val="006B4294"/>
    <w:rsid w:val="006B733D"/>
    <w:rsid w:val="006C32C3"/>
    <w:rsid w:val="006C34AE"/>
    <w:rsid w:val="006C58A0"/>
    <w:rsid w:val="006C5AA7"/>
    <w:rsid w:val="006C60B0"/>
    <w:rsid w:val="006C67AF"/>
    <w:rsid w:val="006C71A9"/>
    <w:rsid w:val="006D3DC5"/>
    <w:rsid w:val="006E125B"/>
    <w:rsid w:val="006F143B"/>
    <w:rsid w:val="006F7195"/>
    <w:rsid w:val="007032B8"/>
    <w:rsid w:val="007039EC"/>
    <w:rsid w:val="007074AA"/>
    <w:rsid w:val="00710383"/>
    <w:rsid w:val="0071113F"/>
    <w:rsid w:val="00712D44"/>
    <w:rsid w:val="00714664"/>
    <w:rsid w:val="0071572D"/>
    <w:rsid w:val="007157BA"/>
    <w:rsid w:val="007169F9"/>
    <w:rsid w:val="007174A6"/>
    <w:rsid w:val="007214F1"/>
    <w:rsid w:val="007224B3"/>
    <w:rsid w:val="00724C10"/>
    <w:rsid w:val="00731303"/>
    <w:rsid w:val="0073172C"/>
    <w:rsid w:val="0073608F"/>
    <w:rsid w:val="007402E0"/>
    <w:rsid w:val="0074489D"/>
    <w:rsid w:val="00746549"/>
    <w:rsid w:val="007514AD"/>
    <w:rsid w:val="00754634"/>
    <w:rsid w:val="0075524D"/>
    <w:rsid w:val="007560B0"/>
    <w:rsid w:val="00756DC4"/>
    <w:rsid w:val="00757490"/>
    <w:rsid w:val="007627D7"/>
    <w:rsid w:val="00765AE2"/>
    <w:rsid w:val="00767919"/>
    <w:rsid w:val="00770E47"/>
    <w:rsid w:val="00772A89"/>
    <w:rsid w:val="00773403"/>
    <w:rsid w:val="00776313"/>
    <w:rsid w:val="00776C4F"/>
    <w:rsid w:val="00780CB7"/>
    <w:rsid w:val="00781261"/>
    <w:rsid w:val="007838E4"/>
    <w:rsid w:val="007846DC"/>
    <w:rsid w:val="00785AF4"/>
    <w:rsid w:val="00786F5E"/>
    <w:rsid w:val="007A19D8"/>
    <w:rsid w:val="007A2B56"/>
    <w:rsid w:val="007A4D3C"/>
    <w:rsid w:val="007A4DAA"/>
    <w:rsid w:val="007B0AFA"/>
    <w:rsid w:val="007B1DCE"/>
    <w:rsid w:val="007C048D"/>
    <w:rsid w:val="007C1E49"/>
    <w:rsid w:val="007C2DBF"/>
    <w:rsid w:val="007D738A"/>
    <w:rsid w:val="007E063B"/>
    <w:rsid w:val="007E36E4"/>
    <w:rsid w:val="007E573B"/>
    <w:rsid w:val="007F0ACE"/>
    <w:rsid w:val="007F4C3E"/>
    <w:rsid w:val="007F68F7"/>
    <w:rsid w:val="00800F0E"/>
    <w:rsid w:val="00804024"/>
    <w:rsid w:val="0081753E"/>
    <w:rsid w:val="00824E82"/>
    <w:rsid w:val="008274C2"/>
    <w:rsid w:val="00830825"/>
    <w:rsid w:val="00832A46"/>
    <w:rsid w:val="00833067"/>
    <w:rsid w:val="00837D33"/>
    <w:rsid w:val="00846272"/>
    <w:rsid w:val="0085010E"/>
    <w:rsid w:val="0085454F"/>
    <w:rsid w:val="0085789D"/>
    <w:rsid w:val="00862D6A"/>
    <w:rsid w:val="00865EA3"/>
    <w:rsid w:val="008669CB"/>
    <w:rsid w:val="0087354F"/>
    <w:rsid w:val="008764E0"/>
    <w:rsid w:val="00882D9E"/>
    <w:rsid w:val="008836EF"/>
    <w:rsid w:val="0089109C"/>
    <w:rsid w:val="00891625"/>
    <w:rsid w:val="00895B5A"/>
    <w:rsid w:val="00896985"/>
    <w:rsid w:val="008A15E9"/>
    <w:rsid w:val="008A409C"/>
    <w:rsid w:val="008A58CE"/>
    <w:rsid w:val="008A7A64"/>
    <w:rsid w:val="008C274D"/>
    <w:rsid w:val="008C28C5"/>
    <w:rsid w:val="008C5215"/>
    <w:rsid w:val="008C53D0"/>
    <w:rsid w:val="008D41C6"/>
    <w:rsid w:val="008D519A"/>
    <w:rsid w:val="008D527A"/>
    <w:rsid w:val="008D56DA"/>
    <w:rsid w:val="008D5771"/>
    <w:rsid w:val="008E00BA"/>
    <w:rsid w:val="008F472E"/>
    <w:rsid w:val="008F4BD9"/>
    <w:rsid w:val="008F69B5"/>
    <w:rsid w:val="008F6F5A"/>
    <w:rsid w:val="00902556"/>
    <w:rsid w:val="0090338C"/>
    <w:rsid w:val="0091048E"/>
    <w:rsid w:val="00916149"/>
    <w:rsid w:val="009248C1"/>
    <w:rsid w:val="00924ABC"/>
    <w:rsid w:val="0092519D"/>
    <w:rsid w:val="00940904"/>
    <w:rsid w:val="00940E8F"/>
    <w:rsid w:val="00942392"/>
    <w:rsid w:val="00952EF8"/>
    <w:rsid w:val="0095309C"/>
    <w:rsid w:val="00964AD6"/>
    <w:rsid w:val="009652F2"/>
    <w:rsid w:val="009719ED"/>
    <w:rsid w:val="00971A33"/>
    <w:rsid w:val="00983208"/>
    <w:rsid w:val="00986C37"/>
    <w:rsid w:val="0099612B"/>
    <w:rsid w:val="00997528"/>
    <w:rsid w:val="0099796A"/>
    <w:rsid w:val="009A449B"/>
    <w:rsid w:val="009A5F9B"/>
    <w:rsid w:val="009A7C52"/>
    <w:rsid w:val="009B3709"/>
    <w:rsid w:val="009B5CEA"/>
    <w:rsid w:val="009C1346"/>
    <w:rsid w:val="009C2B0B"/>
    <w:rsid w:val="009D05C8"/>
    <w:rsid w:val="009D49D9"/>
    <w:rsid w:val="009D55A6"/>
    <w:rsid w:val="009E36F1"/>
    <w:rsid w:val="009E3C0B"/>
    <w:rsid w:val="009E429D"/>
    <w:rsid w:val="009E558C"/>
    <w:rsid w:val="009E5FCA"/>
    <w:rsid w:val="009F01B4"/>
    <w:rsid w:val="009F12E8"/>
    <w:rsid w:val="009F5610"/>
    <w:rsid w:val="00A024C4"/>
    <w:rsid w:val="00A03E76"/>
    <w:rsid w:val="00A1192D"/>
    <w:rsid w:val="00A13135"/>
    <w:rsid w:val="00A13244"/>
    <w:rsid w:val="00A17783"/>
    <w:rsid w:val="00A2222D"/>
    <w:rsid w:val="00A239AA"/>
    <w:rsid w:val="00A2787D"/>
    <w:rsid w:val="00A36E5C"/>
    <w:rsid w:val="00A36FDC"/>
    <w:rsid w:val="00A37314"/>
    <w:rsid w:val="00A439E8"/>
    <w:rsid w:val="00A45753"/>
    <w:rsid w:val="00A51CE5"/>
    <w:rsid w:val="00A52541"/>
    <w:rsid w:val="00A53423"/>
    <w:rsid w:val="00A564FA"/>
    <w:rsid w:val="00A57037"/>
    <w:rsid w:val="00A570F2"/>
    <w:rsid w:val="00A62659"/>
    <w:rsid w:val="00A65F20"/>
    <w:rsid w:val="00A71EDC"/>
    <w:rsid w:val="00A752A8"/>
    <w:rsid w:val="00A76293"/>
    <w:rsid w:val="00A76C71"/>
    <w:rsid w:val="00A77DA2"/>
    <w:rsid w:val="00A85D9D"/>
    <w:rsid w:val="00A92C4C"/>
    <w:rsid w:val="00A92F82"/>
    <w:rsid w:val="00A951D9"/>
    <w:rsid w:val="00A96585"/>
    <w:rsid w:val="00A97E0C"/>
    <w:rsid w:val="00AA3D14"/>
    <w:rsid w:val="00AA602D"/>
    <w:rsid w:val="00AA66D2"/>
    <w:rsid w:val="00AB572D"/>
    <w:rsid w:val="00AD5918"/>
    <w:rsid w:val="00AD616E"/>
    <w:rsid w:val="00AE17B1"/>
    <w:rsid w:val="00AE1F5C"/>
    <w:rsid w:val="00AE2923"/>
    <w:rsid w:val="00AE4C0D"/>
    <w:rsid w:val="00AE7F9D"/>
    <w:rsid w:val="00AF1794"/>
    <w:rsid w:val="00AF4023"/>
    <w:rsid w:val="00B028F7"/>
    <w:rsid w:val="00B0465B"/>
    <w:rsid w:val="00B048CD"/>
    <w:rsid w:val="00B075C5"/>
    <w:rsid w:val="00B14C74"/>
    <w:rsid w:val="00B20BAA"/>
    <w:rsid w:val="00B20C12"/>
    <w:rsid w:val="00B22706"/>
    <w:rsid w:val="00B22863"/>
    <w:rsid w:val="00B316A3"/>
    <w:rsid w:val="00B40F5B"/>
    <w:rsid w:val="00B41502"/>
    <w:rsid w:val="00B51024"/>
    <w:rsid w:val="00B512B5"/>
    <w:rsid w:val="00B51DDB"/>
    <w:rsid w:val="00B55068"/>
    <w:rsid w:val="00B57014"/>
    <w:rsid w:val="00B60CD8"/>
    <w:rsid w:val="00B60F9C"/>
    <w:rsid w:val="00B63D9D"/>
    <w:rsid w:val="00B66931"/>
    <w:rsid w:val="00B6769E"/>
    <w:rsid w:val="00B73F22"/>
    <w:rsid w:val="00B747B2"/>
    <w:rsid w:val="00B765C7"/>
    <w:rsid w:val="00B76E1F"/>
    <w:rsid w:val="00B76F9A"/>
    <w:rsid w:val="00B774D3"/>
    <w:rsid w:val="00B810B2"/>
    <w:rsid w:val="00B90D74"/>
    <w:rsid w:val="00B9278C"/>
    <w:rsid w:val="00B9755F"/>
    <w:rsid w:val="00BA26F7"/>
    <w:rsid w:val="00BA79F0"/>
    <w:rsid w:val="00BB5068"/>
    <w:rsid w:val="00BB589C"/>
    <w:rsid w:val="00BB7AE8"/>
    <w:rsid w:val="00BC373E"/>
    <w:rsid w:val="00BC6897"/>
    <w:rsid w:val="00BC7A2B"/>
    <w:rsid w:val="00BD0481"/>
    <w:rsid w:val="00BD30C2"/>
    <w:rsid w:val="00BD4447"/>
    <w:rsid w:val="00BD4539"/>
    <w:rsid w:val="00BD6FFC"/>
    <w:rsid w:val="00BE2623"/>
    <w:rsid w:val="00BE3923"/>
    <w:rsid w:val="00BE4BF0"/>
    <w:rsid w:val="00BE5EE5"/>
    <w:rsid w:val="00BE68EE"/>
    <w:rsid w:val="00BE7F63"/>
    <w:rsid w:val="00BF0AFA"/>
    <w:rsid w:val="00BF45FB"/>
    <w:rsid w:val="00BF762D"/>
    <w:rsid w:val="00C10607"/>
    <w:rsid w:val="00C123B1"/>
    <w:rsid w:val="00C20E8A"/>
    <w:rsid w:val="00C21071"/>
    <w:rsid w:val="00C2398C"/>
    <w:rsid w:val="00C2456B"/>
    <w:rsid w:val="00C2549C"/>
    <w:rsid w:val="00C25569"/>
    <w:rsid w:val="00C27366"/>
    <w:rsid w:val="00C44773"/>
    <w:rsid w:val="00C56716"/>
    <w:rsid w:val="00C63AA8"/>
    <w:rsid w:val="00C6404D"/>
    <w:rsid w:val="00C67CCB"/>
    <w:rsid w:val="00C701B4"/>
    <w:rsid w:val="00C7190B"/>
    <w:rsid w:val="00C74A5D"/>
    <w:rsid w:val="00C7783C"/>
    <w:rsid w:val="00C80EE3"/>
    <w:rsid w:val="00C81210"/>
    <w:rsid w:val="00C84994"/>
    <w:rsid w:val="00C853EE"/>
    <w:rsid w:val="00C930F4"/>
    <w:rsid w:val="00C967B5"/>
    <w:rsid w:val="00CA1CA7"/>
    <w:rsid w:val="00CA2D9E"/>
    <w:rsid w:val="00CA6B58"/>
    <w:rsid w:val="00CB1298"/>
    <w:rsid w:val="00CB1AE6"/>
    <w:rsid w:val="00CB3ED4"/>
    <w:rsid w:val="00CB3F86"/>
    <w:rsid w:val="00CB4EC8"/>
    <w:rsid w:val="00CC2A58"/>
    <w:rsid w:val="00CD34F0"/>
    <w:rsid w:val="00CD3EB9"/>
    <w:rsid w:val="00CE0954"/>
    <w:rsid w:val="00CE5841"/>
    <w:rsid w:val="00CE5C75"/>
    <w:rsid w:val="00CF08B6"/>
    <w:rsid w:val="00CF11F7"/>
    <w:rsid w:val="00CF2175"/>
    <w:rsid w:val="00CF23AE"/>
    <w:rsid w:val="00D02D54"/>
    <w:rsid w:val="00D05E94"/>
    <w:rsid w:val="00D1323F"/>
    <w:rsid w:val="00D14A40"/>
    <w:rsid w:val="00D1578A"/>
    <w:rsid w:val="00D202BA"/>
    <w:rsid w:val="00D20303"/>
    <w:rsid w:val="00D2307D"/>
    <w:rsid w:val="00D2323A"/>
    <w:rsid w:val="00D251AC"/>
    <w:rsid w:val="00D2616B"/>
    <w:rsid w:val="00D26CB2"/>
    <w:rsid w:val="00D32050"/>
    <w:rsid w:val="00D34B50"/>
    <w:rsid w:val="00D37896"/>
    <w:rsid w:val="00D43766"/>
    <w:rsid w:val="00D47CCF"/>
    <w:rsid w:val="00D554CC"/>
    <w:rsid w:val="00D572FE"/>
    <w:rsid w:val="00D60206"/>
    <w:rsid w:val="00D6457B"/>
    <w:rsid w:val="00D66DEC"/>
    <w:rsid w:val="00D6727F"/>
    <w:rsid w:val="00D71A41"/>
    <w:rsid w:val="00D72049"/>
    <w:rsid w:val="00D72B2C"/>
    <w:rsid w:val="00D733A2"/>
    <w:rsid w:val="00D74FB6"/>
    <w:rsid w:val="00D7606C"/>
    <w:rsid w:val="00D768A4"/>
    <w:rsid w:val="00D92F52"/>
    <w:rsid w:val="00DA00BE"/>
    <w:rsid w:val="00DA753F"/>
    <w:rsid w:val="00DB129B"/>
    <w:rsid w:val="00DB3985"/>
    <w:rsid w:val="00DB3AC1"/>
    <w:rsid w:val="00DC116C"/>
    <w:rsid w:val="00DC182C"/>
    <w:rsid w:val="00DC40F2"/>
    <w:rsid w:val="00DC5754"/>
    <w:rsid w:val="00DC6C1F"/>
    <w:rsid w:val="00DD2D4B"/>
    <w:rsid w:val="00DD34A3"/>
    <w:rsid w:val="00DD42B9"/>
    <w:rsid w:val="00DD6056"/>
    <w:rsid w:val="00DE0F4E"/>
    <w:rsid w:val="00DE7C6A"/>
    <w:rsid w:val="00DF2857"/>
    <w:rsid w:val="00DF3A85"/>
    <w:rsid w:val="00DF73A4"/>
    <w:rsid w:val="00DF782B"/>
    <w:rsid w:val="00E02B7B"/>
    <w:rsid w:val="00E03AEF"/>
    <w:rsid w:val="00E06504"/>
    <w:rsid w:val="00E102DE"/>
    <w:rsid w:val="00E14E97"/>
    <w:rsid w:val="00E1604D"/>
    <w:rsid w:val="00E179AF"/>
    <w:rsid w:val="00E20605"/>
    <w:rsid w:val="00E24825"/>
    <w:rsid w:val="00E31B57"/>
    <w:rsid w:val="00E4105C"/>
    <w:rsid w:val="00E42093"/>
    <w:rsid w:val="00E522AD"/>
    <w:rsid w:val="00E64103"/>
    <w:rsid w:val="00E6451E"/>
    <w:rsid w:val="00E72945"/>
    <w:rsid w:val="00E7448B"/>
    <w:rsid w:val="00E76CD1"/>
    <w:rsid w:val="00E907AC"/>
    <w:rsid w:val="00E95A9B"/>
    <w:rsid w:val="00EA7F69"/>
    <w:rsid w:val="00EC0226"/>
    <w:rsid w:val="00EC13D8"/>
    <w:rsid w:val="00ED1EEB"/>
    <w:rsid w:val="00EE364F"/>
    <w:rsid w:val="00EE4AD8"/>
    <w:rsid w:val="00EE5F9F"/>
    <w:rsid w:val="00EF11F8"/>
    <w:rsid w:val="00EF3CCE"/>
    <w:rsid w:val="00EF4EB1"/>
    <w:rsid w:val="00F054A3"/>
    <w:rsid w:val="00F139AC"/>
    <w:rsid w:val="00F14F2B"/>
    <w:rsid w:val="00F21EAC"/>
    <w:rsid w:val="00F225A0"/>
    <w:rsid w:val="00F3243D"/>
    <w:rsid w:val="00F37394"/>
    <w:rsid w:val="00F40C3E"/>
    <w:rsid w:val="00F46D0D"/>
    <w:rsid w:val="00F568FA"/>
    <w:rsid w:val="00F63CB5"/>
    <w:rsid w:val="00F814D8"/>
    <w:rsid w:val="00F92B59"/>
    <w:rsid w:val="00F948BC"/>
    <w:rsid w:val="00F94E17"/>
    <w:rsid w:val="00F960CF"/>
    <w:rsid w:val="00FA10A3"/>
    <w:rsid w:val="00FA1226"/>
    <w:rsid w:val="00FA63E9"/>
    <w:rsid w:val="00FB3BF4"/>
    <w:rsid w:val="00FB3FA6"/>
    <w:rsid w:val="00FB4237"/>
    <w:rsid w:val="00FB728B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B20BAA"/>
    <w:rPr>
      <w:rFonts w:ascii="Trebuchet MS" w:eastAsia="Times New Roman" w:hAnsi="Trebuchet MS" w:cs="Times New Roman"/>
      <w:sz w:val="18"/>
    </w:rPr>
  </w:style>
  <w:style w:type="paragraph" w:styleId="Poprawka">
    <w:name w:val="Revision"/>
    <w:hidden/>
    <w:uiPriority w:val="99"/>
    <w:semiHidden/>
    <w:rsid w:val="007D738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119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oszczedzasz_inwestujesz_uwazaj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D6C5-7C7F-40EB-A669-60E35BB3102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6EAAEF-2522-4F9E-9C99-38D35785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3</cp:revision>
  <cp:lastPrinted>2023-12-28T07:44:00Z</cp:lastPrinted>
  <dcterms:created xsi:type="dcterms:W3CDTF">2024-01-03T14:15:00Z</dcterms:created>
  <dcterms:modified xsi:type="dcterms:W3CDTF">2024-01-03T14:35:00Z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ac24b926-6bae-4000-99ea-151ade022c58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