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691E" w14:textId="4E232B93" w:rsidR="00F019E5" w:rsidRDefault="007B7CC5" w:rsidP="00F019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WAŻNY </w:t>
      </w:r>
      <w:r w:rsidR="00564216">
        <w:rPr>
          <w:sz w:val="32"/>
          <w:szCs w:val="32"/>
        </w:rPr>
        <w:t xml:space="preserve">WYROK TSUE W SPRAWIE </w:t>
      </w:r>
      <w:r>
        <w:rPr>
          <w:sz w:val="32"/>
          <w:szCs w:val="32"/>
        </w:rPr>
        <w:t>PRZEDAWNIENIA ROSZCZEŃ BANKU W PRZYPADKU NIEWAŻNOŚCI UMOWY FRANKOWEJ</w:t>
      </w:r>
    </w:p>
    <w:p w14:paraId="5F750D92" w14:textId="1778AAA6" w:rsidR="00F019E5" w:rsidRPr="00036D69" w:rsidRDefault="00F019E5" w:rsidP="00F019E5">
      <w:pPr>
        <w:jc w:val="both"/>
        <w:rPr>
          <w:sz w:val="32"/>
          <w:szCs w:val="32"/>
        </w:rPr>
      </w:pPr>
      <w:r w:rsidRPr="00036D69">
        <w:rPr>
          <w:sz w:val="32"/>
          <w:szCs w:val="32"/>
        </w:rPr>
        <w:t xml:space="preserve"> </w:t>
      </w:r>
    </w:p>
    <w:p w14:paraId="7082543C" w14:textId="24C37751" w:rsidR="00597451" w:rsidRDefault="00F019E5" w:rsidP="00C97B5B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597451">
        <w:rPr>
          <w:rStyle w:val="Pogrubienie"/>
          <w:rFonts w:cs="Tahoma"/>
          <w:color w:val="000000"/>
          <w:sz w:val="22"/>
          <w:shd w:val="clear" w:color="auto" w:fill="FFFFFF"/>
        </w:rPr>
        <w:t>TSUE wydał dziś wyrok</w:t>
      </w:r>
      <w:r w:rsidR="00597451" w:rsidRPr="00597451">
        <w:rPr>
          <w:rStyle w:val="Pogrubienie"/>
          <w:rFonts w:cs="Tahoma"/>
          <w:color w:val="000000"/>
          <w:sz w:val="22"/>
          <w:shd w:val="clear" w:color="auto" w:fill="FFFFFF"/>
        </w:rPr>
        <w:t>, zgodnie z którym konsument nie może być pozbawiony prawa dochodzenia odsetek za opóźnienie.</w:t>
      </w:r>
    </w:p>
    <w:p w14:paraId="79C5229B" w14:textId="76FCE6FA" w:rsidR="00597451" w:rsidRPr="00597451" w:rsidRDefault="00597451" w:rsidP="00C97B5B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Wypowiedział się także w temacie terminu przedawnienia roszczeń banku i konsumenta.</w:t>
      </w:r>
    </w:p>
    <w:p w14:paraId="6F7D8225" w14:textId="5F35FBF4" w:rsidR="00F019E5" w:rsidRPr="00F019E5" w:rsidRDefault="00597451" w:rsidP="00F019E5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F019E5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F019E5" w:rsidRPr="00F019E5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AD32B6">
        <w:rPr>
          <w:rStyle w:val="Pogrubienie"/>
          <w:rFonts w:cs="Tahoma"/>
          <w:color w:val="000000"/>
          <w:sz w:val="22"/>
          <w:shd w:val="clear" w:color="auto" w:fill="FFFFFF"/>
        </w:rPr>
        <w:t>14</w:t>
      </w:r>
      <w:r w:rsidR="00F019E5" w:rsidRPr="00F019E5">
        <w:rPr>
          <w:rStyle w:val="Pogrubienie"/>
          <w:rFonts w:cs="Tahoma"/>
          <w:color w:val="000000"/>
          <w:sz w:val="22"/>
          <w:shd w:val="clear" w:color="auto" w:fill="FFFFFF"/>
        </w:rPr>
        <w:t xml:space="preserve"> grudnia 2023 r.] </w:t>
      </w:r>
      <w:r w:rsidR="00F019E5" w:rsidRPr="00F019E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Na wokandzie Trybunału Sprawiedliwości Unii Europejskiej był dziś rozpatrywany wniosek w kolejnej polskiej sprawie </w:t>
      </w:r>
      <w:r w:rsidR="00F019E5" w:rsidRPr="00F019E5">
        <w:rPr>
          <w:rStyle w:val="Pogrubienie"/>
          <w:rFonts w:cs="Tahoma"/>
          <w:b w:val="0"/>
          <w:color w:val="000000"/>
          <w:sz w:val="22"/>
        </w:rPr>
        <w:t>C-</w:t>
      </w:r>
      <w:r w:rsidR="00736A4B">
        <w:rPr>
          <w:rStyle w:val="Pogrubienie"/>
          <w:rFonts w:cs="Tahoma"/>
          <w:b w:val="0"/>
          <w:color w:val="000000"/>
          <w:sz w:val="22"/>
        </w:rPr>
        <w:t>28</w:t>
      </w:r>
      <w:r w:rsidR="00AD32B6">
        <w:rPr>
          <w:rStyle w:val="Pogrubienie"/>
          <w:rFonts w:cs="Tahoma"/>
          <w:b w:val="0"/>
          <w:color w:val="000000"/>
          <w:sz w:val="22"/>
        </w:rPr>
        <w:t>/22 Getin Noble Bank</w:t>
      </w:r>
      <w:r w:rsidR="00F019E5" w:rsidRPr="00F019E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 wydanie orzeczenia w trybie prejudycjalnym w związku z pytaniem zadanym przez Sąd Rejonowy dla Warszawy-Śródmieścia. </w:t>
      </w:r>
    </w:p>
    <w:p w14:paraId="3CF6B5AF" w14:textId="0D7DAFF7" w:rsidR="00F019E5" w:rsidRPr="00F019E5" w:rsidRDefault="00F019E5" w:rsidP="00F019E5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F019E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Sąd Rejonowy dla Warszawy-Śródmieścia zwrócił się do TSUE o rozstrzygnięcie </w:t>
      </w:r>
      <w:r w:rsidR="00D72E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następujących</w:t>
      </w:r>
      <w:r w:rsidR="008E288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5</w:t>
      </w:r>
      <w:r w:rsidRPr="00F019E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kwestii: </w:t>
      </w:r>
    </w:p>
    <w:p w14:paraId="4503D925" w14:textId="0C2C4BA4" w:rsidR="00D72E85" w:rsidRPr="007B7CC5" w:rsidRDefault="00780C2A" w:rsidP="00FF7963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kiedy rozpoczyna się</w:t>
      </w:r>
      <w:r w:rsidR="007B7CC5" w:rsidRPr="007B7CC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D72E85" w:rsidRPr="007B7CC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bieg terminu przedawnienia roszczeń restytucyjnych przedsiębiorcy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D72E85" w:rsidRPr="007B7CC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7B7CC5" w:rsidRPr="007B7CC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przypadku upadku umowy kredytu hipotecznego w skutek zawarcia w nim niedozwolonych postanowień umownych;</w:t>
      </w:r>
    </w:p>
    <w:p w14:paraId="4527D641" w14:textId="40644747" w:rsidR="00D72E85" w:rsidRDefault="00D72E85" w:rsidP="00F019E5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czy przedsiębiorca</w:t>
      </w:r>
      <w:r w:rsidR="00780C2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wobec którego konsument wystąpił z roszczeniami opartymi o </w:t>
      </w:r>
      <w:r w:rsidR="00F1437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nieuczciwy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charakter umowy</w:t>
      </w:r>
      <w:r w:rsidR="00780C2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powinien </w:t>
      </w:r>
      <w:r w:rsidR="008E288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weryfikować</w:t>
      </w:r>
      <w:r w:rsidR="000D529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konsument jest świadomy skutków wyeliminowania </w:t>
      </w:r>
      <w:r w:rsidR="008E288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 umowy klauzul abuzywnych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lub braku możliwości dalszego obowiązywania umowy</w:t>
      </w:r>
      <w:r w:rsidR="008E288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;</w:t>
      </w:r>
    </w:p>
    <w:p w14:paraId="520B3174" w14:textId="62214BE4" w:rsidR="00F019E5" w:rsidRDefault="00F019E5" w:rsidP="00F019E5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F019E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czy </w:t>
      </w:r>
      <w:r w:rsidR="00D72E8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termin przedawnienia roszczenia restytucyjnego konsumenta może rozpocząć swój bieg zanim rozpocznie się bieg terminu przedawnienia analogicznego roszczenia przedsiębiorcy</w:t>
      </w:r>
      <w:r w:rsidR="008E288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;</w:t>
      </w:r>
    </w:p>
    <w:p w14:paraId="744A246F" w14:textId="418C573F" w:rsidR="00D72E85" w:rsidRDefault="00F1437F" w:rsidP="00F019E5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czy przedsiębiorcy przysługuje prawo do uzależnienia zwrotu świadczeń otrzymanych od konsumenta od równoczesnego zaoferowania przez konsumenta zwrotu świadczeń otrzymanych od przedsiębiorcy lub zabezpieczenia dokonania takiego zwrotu,</w:t>
      </w:r>
    </w:p>
    <w:p w14:paraId="3FFBD3E5" w14:textId="47C545BB" w:rsidR="00F1437F" w:rsidRPr="00036D69" w:rsidRDefault="008A4E1A" w:rsidP="00F019E5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czy dopuszczalna jest wykładnia przepisów krajowych, zgodnie z którą konsumentowi nie przysługują w całości lub części odsetki za opóźnienie za okres od otrzymania przez przedsiębiorcę wezwania do zwrotu świadczeń, gdyby uzależnił </w:t>
      </w:r>
      <w:r w:rsidR="006205C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zwrot roszczenia konsumenta od zwrotu swojego roszczenia</w:t>
      </w:r>
      <w:r w:rsidR="00603B8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774FA4C5" w14:textId="707A5F2B" w:rsidR="00FA149E" w:rsidRDefault="00FA149E" w:rsidP="00FA149E">
      <w:pPr>
        <w:shd w:val="clear" w:color="auto" w:fill="FFFFFF"/>
        <w:spacing w:line="360" w:lineRule="auto"/>
        <w:jc w:val="both"/>
        <w:rPr>
          <w:rStyle w:val="Pogrubienie"/>
          <w:rFonts w:cs="Tahoma"/>
          <w:b w:val="0"/>
          <w:color w:val="000000"/>
          <w:sz w:val="22"/>
          <w:szCs w:val="20"/>
          <w:shd w:val="clear" w:color="auto" w:fill="FFFFFF"/>
        </w:rPr>
      </w:pPr>
      <w:r w:rsidRPr="00FA149E">
        <w:rPr>
          <w:rStyle w:val="Pogrubienie"/>
          <w:rFonts w:cs="Tahoma"/>
          <w:b w:val="0"/>
          <w:i/>
          <w:color w:val="000000"/>
          <w:sz w:val="22"/>
          <w:szCs w:val="20"/>
          <w:shd w:val="clear" w:color="auto" w:fill="FFFFFF"/>
        </w:rPr>
        <w:lastRenderedPageBreak/>
        <w:t xml:space="preserve">- Cieszę się z kolejnego wyroku, w którym TSUE staje po stronie konsumentów.  W dzisiejszym orzeczeniu Trybunał potwierdza, że bank nie może uzależniać zwrotu wpłaconych przez konsumenta </w:t>
      </w:r>
      <w:r w:rsidR="00BE7A3C">
        <w:rPr>
          <w:rStyle w:val="Pogrubienie"/>
          <w:rFonts w:cs="Tahoma"/>
          <w:b w:val="0"/>
          <w:i/>
          <w:color w:val="000000"/>
          <w:sz w:val="22"/>
          <w:szCs w:val="20"/>
          <w:shd w:val="clear" w:color="auto" w:fill="FFFFFF"/>
        </w:rPr>
        <w:t>rat</w:t>
      </w:r>
      <w:r w:rsidRPr="00FA149E">
        <w:rPr>
          <w:rStyle w:val="Pogrubienie"/>
          <w:rFonts w:cs="Tahoma"/>
          <w:b w:val="0"/>
          <w:i/>
          <w:color w:val="000000"/>
          <w:sz w:val="22"/>
          <w:szCs w:val="20"/>
          <w:shd w:val="clear" w:color="auto" w:fill="FFFFFF"/>
        </w:rPr>
        <w:t xml:space="preserve"> od równoczesnego zwrotu przez niego kapitału. Dodatkowo bieg terminu roszczeń kredytobiorcy nie może następować wcześniej niż bieg terminu roszczeń banku </w:t>
      </w:r>
      <w:r w:rsidRPr="00FA149E">
        <w:rPr>
          <w:rStyle w:val="Pogrubienie"/>
          <w:rFonts w:cs="Tahoma"/>
          <w:b w:val="0"/>
          <w:color w:val="000000"/>
          <w:sz w:val="22"/>
          <w:szCs w:val="20"/>
          <w:shd w:val="clear" w:color="auto" w:fill="FFFFFF"/>
        </w:rPr>
        <w:t>– mówi Prezes UOKiK Tomasz Chróstny.</w:t>
      </w:r>
    </w:p>
    <w:p w14:paraId="5B5EA8B6" w14:textId="77777777" w:rsidR="00FA149E" w:rsidRPr="00FA149E" w:rsidRDefault="00FA149E" w:rsidP="00FA149E">
      <w:pPr>
        <w:shd w:val="clear" w:color="auto" w:fill="FFFFFF"/>
        <w:spacing w:line="360" w:lineRule="auto"/>
        <w:jc w:val="both"/>
        <w:rPr>
          <w:rStyle w:val="Pogrubienie"/>
          <w:rFonts w:cs="Tahoma"/>
          <w:b w:val="0"/>
          <w:color w:val="000000"/>
          <w:sz w:val="22"/>
          <w:szCs w:val="20"/>
          <w:shd w:val="clear" w:color="auto" w:fill="FFFFFF"/>
        </w:rPr>
      </w:pPr>
    </w:p>
    <w:p w14:paraId="12481E6E" w14:textId="2155E56F" w:rsidR="00F019E5" w:rsidRPr="00F019E5" w:rsidRDefault="006205C3" w:rsidP="00F019E5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Rozpoczęcie biegu terminu przedawnienia</w:t>
      </w:r>
      <w:r w:rsidR="00571038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74AE19D2" w14:textId="3832AF0C" w:rsidR="00626131" w:rsidRDefault="006205C3" w:rsidP="00F019E5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TSUE wyjaśnił</w:t>
      </w:r>
      <w:r w:rsidR="005974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że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prawo krajowe</w:t>
      </w:r>
      <w:r w:rsidR="005974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i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jego wykładnia nie mogą u</w:t>
      </w:r>
      <w:r w:rsidR="005974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trudniać konsumentom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dochodzenia ich praw</w:t>
      </w:r>
      <w:r w:rsidR="005974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wynikających </w:t>
      </w:r>
      <w:r w:rsid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z dyrektywy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93/13/EWG</w:t>
      </w:r>
      <w:r w:rsid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sprawie nieuczciwych warunków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R</w:t>
      </w:r>
      <w:r w:rsidR="00AD55BD" w:rsidRPr="00AD55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óżne terminy przedawnienia przewidziane z jednej strony dla przedsiębiorców, a z drugiej strony dla konsumentów tworzą asymetrię środków prawnych, które mogą naruszać skuteczność ochrony </w:t>
      </w:r>
      <w:r w:rsid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konsumentów.</w:t>
      </w:r>
      <w:r w:rsidR="00AD55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Tym samym</w:t>
      </w:r>
      <w:r w:rsidR="00AD55BD" w:rsidRPr="007256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może</w:t>
      </w:r>
      <w:r w:rsid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to</w:t>
      </w:r>
      <w:r w:rsidR="00AD55BD" w:rsidRPr="007256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bardziej zachęcać przedsiębiorcę do </w:t>
      </w:r>
      <w:r w:rsid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„gry na czas”</w:t>
      </w:r>
      <w:r w:rsidR="00AD55BD" w:rsidRPr="007256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przypadku</w:t>
      </w:r>
      <w:r w:rsid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gdy konsument występuje z roszczeniem.</w:t>
      </w:r>
      <w:r w:rsidR="00AD55BD" w:rsidRPr="007256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</w:p>
    <w:p w14:paraId="7939F613" w14:textId="5A76F436" w:rsidR="00626131" w:rsidRPr="004D2DEE" w:rsidRDefault="00626131" w:rsidP="00F019E5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- 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TSUE potwierdził, że bank nie może bezkarnie przedłużać procedury dochodzenia roszczeń przez konsumenta, licząc na to</w:t>
      </w:r>
      <w:r w:rsidR="00E773F4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że roszczenie konsumenta się przedawni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</w:t>
      </w:r>
      <w:r w:rsidRPr="0062613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a roszczenie banku nadal będzie wymagalne</w:t>
      </w:r>
      <w:r w:rsidR="004D2DEE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4D2D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– </w:t>
      </w:r>
      <w:r w:rsidR="00FA149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dodaje</w:t>
      </w:r>
      <w:r w:rsidR="004D2D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Prezes UOKiK</w:t>
      </w:r>
      <w:bookmarkStart w:id="0" w:name="_GoBack"/>
      <w:bookmarkEnd w:id="0"/>
      <w:r w:rsidR="004D2D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Tomasz Chróstny. </w:t>
      </w:r>
    </w:p>
    <w:p w14:paraId="46C1AF4C" w14:textId="6A2E023C" w:rsidR="00AD55BD" w:rsidRPr="00AD55BD" w:rsidRDefault="00626131" w:rsidP="00F019E5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62613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Ta asymetria w ocenie</w:t>
      </w:r>
      <w:r w:rsidR="00AD55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TSUE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nie </w:t>
      </w:r>
      <w:r w:rsidR="00AD55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tylko narusza zasadę skuteczności, ale też podważa skutek zniechęcający jaki dyrektywa wiąże ze stwierdzeniem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abuzywności</w:t>
      </w:r>
      <w:r w:rsidR="00AD55B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warunków umownych.</w:t>
      </w:r>
    </w:p>
    <w:p w14:paraId="1BEA2893" w14:textId="4EC7ADA0" w:rsidR="00F019E5" w:rsidRPr="00F019E5" w:rsidRDefault="00A60BDA" w:rsidP="00F019E5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Obowiązek </w:t>
      </w:r>
      <w:r w:rsidR="00725651">
        <w:rPr>
          <w:b/>
          <w:sz w:val="22"/>
        </w:rPr>
        <w:t>weryfikacji wiedzy</w:t>
      </w:r>
      <w:r>
        <w:rPr>
          <w:b/>
          <w:sz w:val="22"/>
        </w:rPr>
        <w:t xml:space="preserve"> konsumenta o skutkach usunięcia nieuczciwego warunku</w:t>
      </w:r>
      <w:r w:rsidR="00571038">
        <w:rPr>
          <w:b/>
          <w:sz w:val="22"/>
        </w:rPr>
        <w:t>.</w:t>
      </w:r>
    </w:p>
    <w:p w14:paraId="25F7D962" w14:textId="637E0A31" w:rsidR="00F3527C" w:rsidRDefault="00A60BDA" w:rsidP="00042702">
      <w:pPr>
        <w:pStyle w:val="Tekstkomentarza"/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TSUE przypomniał, </w:t>
      </w:r>
      <w:r w:rsidR="007256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że przedsiębiorc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 nie ma obowiązku weryfikowania</w:t>
      </w:r>
      <w:r w:rsidR="004D2D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czy konsument jest świadomy skutków usunięcia </w:t>
      </w:r>
      <w:r w:rsidR="00F3527C" w:rsidRP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nieuczciwych warunków zawartych w umowie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 w:rsidR="0072565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Ponadto, z dotychczasowego orzecznictwa Trybunału wynika, że obowiązek poinformowania konsumenta o tych skutkach spoczywa na sądzie. </w:t>
      </w:r>
    </w:p>
    <w:p w14:paraId="36810E9C" w14:textId="4F777105" w:rsidR="00042702" w:rsidRDefault="00042702" w:rsidP="00042702">
      <w:pPr>
        <w:pStyle w:val="Tekstkomentarza"/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042702">
        <w:rPr>
          <w:rStyle w:val="Pogrubienie"/>
          <w:rFonts w:cs="Tahoma"/>
          <w:color w:val="000000"/>
          <w:sz w:val="22"/>
          <w:shd w:val="clear" w:color="auto" w:fill="FFFFFF"/>
        </w:rPr>
        <w:t>Uzależnienie zwrotu świadczenia konsumenta od równoczesnego zwrotu świadczenia przedsiębiorcy</w:t>
      </w:r>
      <w:r w:rsidR="00571038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1CEB8719" w14:textId="22047DAC" w:rsidR="004D2DEE" w:rsidRDefault="00571038" w:rsidP="00042702">
      <w:pPr>
        <w:pStyle w:val="Tekstkomentarza"/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57103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TSUE zwrócił uwagę, że</w:t>
      </w:r>
      <w:r w:rsidR="00725651" w:rsidRPr="0072565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wypłata przez bank świadczenia, którego domaga się konsument z tytułu unieważnienia umowy, nie może być uzależnion</w:t>
      </w:r>
      <w:r w:rsidR="007C2E6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od spełnienia analogicznego świadczenia przez konsumenta w sytuacji</w:t>
      </w:r>
      <w:r w:rsidR="004D2DE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gdy pozbawiałoby go to części lub całości odsetek za opóźnienie</w:t>
      </w:r>
      <w:r w:rsidR="004F21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 W ocenie TSUE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jest to</w:t>
      </w:r>
      <w:r w:rsidR="004F215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F3527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niedopuszczaln</w:t>
      </w:r>
      <w:r w:rsidR="007C2E6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e.</w:t>
      </w:r>
    </w:p>
    <w:p w14:paraId="7733751B" w14:textId="77777777" w:rsidR="00042702" w:rsidRPr="00A60BDA" w:rsidRDefault="00042702" w:rsidP="00F02755">
      <w:pPr>
        <w:pStyle w:val="Tekstkomentarza"/>
        <w:spacing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</w:p>
    <w:p w14:paraId="024CD6C7" w14:textId="77777777" w:rsidR="00F202EF" w:rsidRPr="007E028F" w:rsidRDefault="00F202EF" w:rsidP="00F202EF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321A38C9" w14:textId="77777777" w:rsidR="00F202EF" w:rsidRPr="008B17B5" w:rsidRDefault="00F202EF" w:rsidP="00F202E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  <w:lang w:val="pl-PL"/>
        </w:rPr>
      </w:pPr>
      <w:r w:rsidRPr="008B17B5">
        <w:rPr>
          <w:rFonts w:ascii="Tahoma" w:hAnsi="Tahoma" w:cs="Tahoma"/>
          <w:sz w:val="18"/>
          <w:szCs w:val="18"/>
          <w:lang w:val="pl-PL"/>
        </w:rPr>
        <w:t xml:space="preserve">Tel. </w:t>
      </w:r>
      <w:bookmarkStart w:id="1" w:name="_Hlk120527957"/>
      <w:r w:rsidRPr="008B17B5">
        <w:rPr>
          <w:rFonts w:ascii="Tahoma" w:hAnsi="Tahoma" w:cs="Tahoma"/>
          <w:sz w:val="18"/>
          <w:szCs w:val="18"/>
          <w:lang w:val="pl-PL"/>
        </w:rPr>
        <w:t xml:space="preserve">801 440 220 lub 222 66 76 76 </w:t>
      </w:r>
      <w:bookmarkEnd w:id="1"/>
      <w:r w:rsidRPr="008B17B5">
        <w:rPr>
          <w:rFonts w:ascii="Tahoma" w:hAnsi="Tahoma" w:cs="Tahoma"/>
          <w:sz w:val="18"/>
          <w:szCs w:val="18"/>
          <w:lang w:val="pl-PL"/>
        </w:rPr>
        <w:t>– infolinia konsumencka</w:t>
      </w:r>
      <w:r w:rsidRPr="008B17B5">
        <w:rPr>
          <w:rFonts w:ascii="Tahoma" w:hAnsi="Tahoma" w:cs="Tahoma"/>
          <w:color w:val="3C4147"/>
          <w:sz w:val="18"/>
          <w:szCs w:val="18"/>
          <w:lang w:val="pl-PL"/>
        </w:rPr>
        <w:br/>
      </w:r>
      <w:r w:rsidRPr="008B17B5">
        <w:rPr>
          <w:rFonts w:ascii="Tahoma" w:hAnsi="Tahoma" w:cs="Tahoma"/>
          <w:sz w:val="18"/>
          <w:szCs w:val="18"/>
          <w:lang w:val="pl-PL"/>
        </w:rPr>
        <w:t>E-mail: </w:t>
      </w:r>
      <w:hyperlink r:id="rId9" w:history="1">
        <w:r w:rsidRPr="008B17B5">
          <w:rPr>
            <w:rStyle w:val="Hipercze"/>
            <w:rFonts w:ascii="Tahoma" w:hAnsi="Tahoma" w:cs="Tahoma"/>
            <w:sz w:val="18"/>
            <w:szCs w:val="18"/>
            <w:lang w:val="pl-PL"/>
          </w:rPr>
          <w:t>porady@dlakonsumentow.pl</w:t>
        </w:r>
      </w:hyperlink>
      <w:r w:rsidRPr="008B17B5">
        <w:rPr>
          <w:rFonts w:ascii="Tahoma" w:hAnsi="Tahoma" w:cs="Tahoma"/>
          <w:color w:val="3C4147"/>
          <w:sz w:val="18"/>
          <w:szCs w:val="18"/>
          <w:lang w:val="pl-PL"/>
        </w:rPr>
        <w:br/>
      </w:r>
      <w:hyperlink r:id="rId10" w:history="1">
        <w:r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Rzecznicy konsumentów</w:t>
        </w:r>
      </w:hyperlink>
      <w:r w:rsidRPr="008B17B5">
        <w:rPr>
          <w:rFonts w:ascii="Tahoma" w:hAnsi="Tahoma" w:cs="Tahoma"/>
          <w:color w:val="3C4147"/>
          <w:sz w:val="18"/>
          <w:szCs w:val="18"/>
          <w:lang w:val="pl-PL"/>
        </w:rPr>
        <w:t xml:space="preserve"> – </w:t>
      </w:r>
      <w:r w:rsidRPr="008B17B5">
        <w:rPr>
          <w:rFonts w:ascii="Tahoma" w:hAnsi="Tahoma" w:cs="Tahoma"/>
          <w:sz w:val="18"/>
          <w:szCs w:val="18"/>
          <w:lang w:val="pl-PL"/>
        </w:rPr>
        <w:t>w twoim mieście lub powiecie</w:t>
      </w:r>
    </w:p>
    <w:p w14:paraId="6D338210" w14:textId="3732D68A" w:rsidR="006E367B" w:rsidRDefault="00E773F4" w:rsidP="007C2E67">
      <w:pPr>
        <w:pStyle w:val="NormalnyWeb"/>
        <w:shd w:val="clear" w:color="auto" w:fill="FFFFFF"/>
        <w:spacing w:before="0" w:beforeAutospacing="0" w:after="0" w:afterAutospacing="0"/>
      </w:pPr>
      <w:hyperlink r:id="rId11" w:history="1">
        <w:r w:rsidR="00F202EF"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Rzeczni</w:t>
        </w:r>
        <w:r w:rsidR="00164E48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k</w:t>
        </w:r>
        <w:r w:rsidR="00F202EF"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 xml:space="preserve"> Finansow</w:t>
        </w:r>
      </w:hyperlink>
      <w:r w:rsidR="00164E48">
        <w:rPr>
          <w:rStyle w:val="Hipercze"/>
          <w:rFonts w:ascii="Tahoma" w:hAnsi="Tahoma" w:cs="Tahoma"/>
          <w:color w:val="133C8A"/>
          <w:sz w:val="18"/>
          <w:szCs w:val="18"/>
          <w:lang w:val="pl-PL"/>
        </w:rPr>
        <w:t>y</w:t>
      </w:r>
      <w:r w:rsidR="00F202EF" w:rsidRPr="008B17B5">
        <w:rPr>
          <w:rFonts w:ascii="Tahoma" w:hAnsi="Tahoma" w:cs="Tahoma"/>
          <w:szCs w:val="18"/>
          <w:shd w:val="clear" w:color="auto" w:fill="FFFFFF"/>
          <w:lang w:val="pl-PL"/>
        </w:rPr>
        <w:t xml:space="preserve"> </w:t>
      </w:r>
      <w:r w:rsidR="00F202EF" w:rsidRPr="008B17B5">
        <w:rPr>
          <w:rFonts w:ascii="Tahoma" w:hAnsi="Tahoma" w:cs="Tahoma"/>
          <w:sz w:val="18"/>
          <w:szCs w:val="18"/>
          <w:lang w:val="pl-PL"/>
        </w:rPr>
        <w:t>–</w:t>
      </w:r>
      <w:r w:rsidR="00F202EF" w:rsidRPr="008B17B5">
        <w:rPr>
          <w:lang w:val="pl-PL"/>
        </w:rPr>
        <w:t xml:space="preserve"> </w:t>
      </w:r>
      <w:r w:rsidR="00164E48">
        <w:rPr>
          <w:rFonts w:ascii="Tahoma" w:hAnsi="Tahoma" w:cs="Tahoma"/>
          <w:sz w:val="18"/>
          <w:szCs w:val="18"/>
          <w:lang w:val="pl-PL"/>
        </w:rPr>
        <w:t>po odrzuceniu reklamacji przez instytucję finansową</w:t>
      </w:r>
    </w:p>
    <w:sectPr w:rsidR="006E367B" w:rsidSect="00444043">
      <w:headerReference w:type="default" r:id="rId12"/>
      <w:footerReference w:type="default" r:id="rId13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20B9" w14:textId="77777777" w:rsidR="009B1E55" w:rsidRDefault="009B1E55">
      <w:r>
        <w:separator/>
      </w:r>
    </w:p>
  </w:endnote>
  <w:endnote w:type="continuationSeparator" w:id="0">
    <w:p w14:paraId="5971B943" w14:textId="77777777" w:rsidR="009B1E55" w:rsidRDefault="009B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E2EA" w14:textId="77777777" w:rsidR="009B1E55" w:rsidRDefault="009B1E55">
      <w:r>
        <w:separator/>
      </w:r>
    </w:p>
  </w:footnote>
  <w:footnote w:type="continuationSeparator" w:id="0">
    <w:p w14:paraId="289DDD2F" w14:textId="77777777" w:rsidR="009B1E55" w:rsidRDefault="009B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E1072"/>
    <w:multiLevelType w:val="multilevel"/>
    <w:tmpl w:val="1A4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B624C"/>
    <w:multiLevelType w:val="multilevel"/>
    <w:tmpl w:val="8CE4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36DEF"/>
    <w:multiLevelType w:val="hybridMultilevel"/>
    <w:tmpl w:val="5CB0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7"/>
  </w:num>
  <w:num w:numId="5">
    <w:abstractNumId w:val="9"/>
  </w:num>
  <w:num w:numId="6">
    <w:abstractNumId w:val="12"/>
  </w:num>
  <w:num w:numId="7">
    <w:abstractNumId w:val="20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19"/>
  </w:num>
  <w:num w:numId="13">
    <w:abstractNumId w:val="5"/>
  </w:num>
  <w:num w:numId="14">
    <w:abstractNumId w:val="16"/>
  </w:num>
  <w:num w:numId="15">
    <w:abstractNumId w:val="8"/>
  </w:num>
  <w:num w:numId="16">
    <w:abstractNumId w:val="2"/>
  </w:num>
  <w:num w:numId="17">
    <w:abstractNumId w:val="15"/>
  </w:num>
  <w:num w:numId="18">
    <w:abstractNumId w:val="6"/>
  </w:num>
  <w:num w:numId="19">
    <w:abstractNumId w:val="1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204"/>
    <w:rsid w:val="0000251C"/>
    <w:rsid w:val="00002C19"/>
    <w:rsid w:val="0000713A"/>
    <w:rsid w:val="00007E00"/>
    <w:rsid w:val="00011AF2"/>
    <w:rsid w:val="00013A64"/>
    <w:rsid w:val="000209BD"/>
    <w:rsid w:val="00022736"/>
    <w:rsid w:val="00023634"/>
    <w:rsid w:val="0002523D"/>
    <w:rsid w:val="00034A87"/>
    <w:rsid w:val="000358C2"/>
    <w:rsid w:val="00035BA9"/>
    <w:rsid w:val="00042087"/>
    <w:rsid w:val="000426C4"/>
    <w:rsid w:val="00042702"/>
    <w:rsid w:val="00042F96"/>
    <w:rsid w:val="00047B8A"/>
    <w:rsid w:val="00050A7B"/>
    <w:rsid w:val="00053F10"/>
    <w:rsid w:val="00057AB2"/>
    <w:rsid w:val="00057CA0"/>
    <w:rsid w:val="000651E9"/>
    <w:rsid w:val="00073AA7"/>
    <w:rsid w:val="0007715C"/>
    <w:rsid w:val="00082E34"/>
    <w:rsid w:val="00084562"/>
    <w:rsid w:val="0008568B"/>
    <w:rsid w:val="00093348"/>
    <w:rsid w:val="00093FEE"/>
    <w:rsid w:val="00096170"/>
    <w:rsid w:val="000A3211"/>
    <w:rsid w:val="000A4F9E"/>
    <w:rsid w:val="000A74FA"/>
    <w:rsid w:val="000B038C"/>
    <w:rsid w:val="000B149D"/>
    <w:rsid w:val="000B1AC5"/>
    <w:rsid w:val="000B7247"/>
    <w:rsid w:val="000C20F8"/>
    <w:rsid w:val="000D5295"/>
    <w:rsid w:val="000D5964"/>
    <w:rsid w:val="000D7606"/>
    <w:rsid w:val="000E0488"/>
    <w:rsid w:val="000E20D3"/>
    <w:rsid w:val="000E2756"/>
    <w:rsid w:val="000E4469"/>
    <w:rsid w:val="000E5FC5"/>
    <w:rsid w:val="000F1C64"/>
    <w:rsid w:val="000F67AD"/>
    <w:rsid w:val="001015B8"/>
    <w:rsid w:val="00104EE9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043E"/>
    <w:rsid w:val="00141526"/>
    <w:rsid w:val="00143310"/>
    <w:rsid w:val="00143895"/>
    <w:rsid w:val="001444D5"/>
    <w:rsid w:val="00144E9C"/>
    <w:rsid w:val="00146142"/>
    <w:rsid w:val="00147DB8"/>
    <w:rsid w:val="001532F5"/>
    <w:rsid w:val="00161094"/>
    <w:rsid w:val="00163DF9"/>
    <w:rsid w:val="00164E48"/>
    <w:rsid w:val="001666D6"/>
    <w:rsid w:val="00166B5D"/>
    <w:rsid w:val="001675EF"/>
    <w:rsid w:val="0017028A"/>
    <w:rsid w:val="00171644"/>
    <w:rsid w:val="00173378"/>
    <w:rsid w:val="00175B4D"/>
    <w:rsid w:val="00180B2C"/>
    <w:rsid w:val="0018507C"/>
    <w:rsid w:val="00185593"/>
    <w:rsid w:val="001905EE"/>
    <w:rsid w:val="00190D5A"/>
    <w:rsid w:val="001914CC"/>
    <w:rsid w:val="001918E2"/>
    <w:rsid w:val="001979B5"/>
    <w:rsid w:val="001A3149"/>
    <w:rsid w:val="001A5F7C"/>
    <w:rsid w:val="001A6E5B"/>
    <w:rsid w:val="001A7451"/>
    <w:rsid w:val="001B5E84"/>
    <w:rsid w:val="001C1FAD"/>
    <w:rsid w:val="001C2B80"/>
    <w:rsid w:val="001C3FE3"/>
    <w:rsid w:val="001C4D76"/>
    <w:rsid w:val="001C5B95"/>
    <w:rsid w:val="001C5EF0"/>
    <w:rsid w:val="001C659C"/>
    <w:rsid w:val="001C73AA"/>
    <w:rsid w:val="001D248E"/>
    <w:rsid w:val="001D2F14"/>
    <w:rsid w:val="001E17BB"/>
    <w:rsid w:val="001E188E"/>
    <w:rsid w:val="001E4F92"/>
    <w:rsid w:val="001E5921"/>
    <w:rsid w:val="001E6E06"/>
    <w:rsid w:val="001F16B4"/>
    <w:rsid w:val="001F1C63"/>
    <w:rsid w:val="001F394B"/>
    <w:rsid w:val="001F4A73"/>
    <w:rsid w:val="001F6208"/>
    <w:rsid w:val="00200A71"/>
    <w:rsid w:val="002036A4"/>
    <w:rsid w:val="00203A94"/>
    <w:rsid w:val="00205580"/>
    <w:rsid w:val="0020771C"/>
    <w:rsid w:val="00214084"/>
    <w:rsid w:val="00215135"/>
    <w:rsid w:val="002157BB"/>
    <w:rsid w:val="002233E8"/>
    <w:rsid w:val="00224D23"/>
    <w:rsid w:val="0022540B"/>
    <w:rsid w:val="002262B5"/>
    <w:rsid w:val="00227171"/>
    <w:rsid w:val="00230FA6"/>
    <w:rsid w:val="0023138D"/>
    <w:rsid w:val="00233CFA"/>
    <w:rsid w:val="00234D22"/>
    <w:rsid w:val="00240013"/>
    <w:rsid w:val="0024118E"/>
    <w:rsid w:val="00241BAC"/>
    <w:rsid w:val="00250B84"/>
    <w:rsid w:val="00252160"/>
    <w:rsid w:val="00256451"/>
    <w:rsid w:val="00257139"/>
    <w:rsid w:val="002576BC"/>
    <w:rsid w:val="00260382"/>
    <w:rsid w:val="002614E3"/>
    <w:rsid w:val="002628AC"/>
    <w:rsid w:val="002648EB"/>
    <w:rsid w:val="00266CB4"/>
    <w:rsid w:val="00267DD1"/>
    <w:rsid w:val="00267FF0"/>
    <w:rsid w:val="00270508"/>
    <w:rsid w:val="0027152E"/>
    <w:rsid w:val="00274B06"/>
    <w:rsid w:val="00277457"/>
    <w:rsid w:val="002801AA"/>
    <w:rsid w:val="00280DD9"/>
    <w:rsid w:val="0028761A"/>
    <w:rsid w:val="0028778B"/>
    <w:rsid w:val="00295B34"/>
    <w:rsid w:val="002A2D13"/>
    <w:rsid w:val="002A4371"/>
    <w:rsid w:val="002A477E"/>
    <w:rsid w:val="002A5D69"/>
    <w:rsid w:val="002B121C"/>
    <w:rsid w:val="002B1DBF"/>
    <w:rsid w:val="002B4F4B"/>
    <w:rsid w:val="002B4FBF"/>
    <w:rsid w:val="002C0D5D"/>
    <w:rsid w:val="002C4762"/>
    <w:rsid w:val="002C692D"/>
    <w:rsid w:val="002C6ABE"/>
    <w:rsid w:val="002D1B70"/>
    <w:rsid w:val="002D5455"/>
    <w:rsid w:val="002E1064"/>
    <w:rsid w:val="002E15CE"/>
    <w:rsid w:val="002E388C"/>
    <w:rsid w:val="002E5647"/>
    <w:rsid w:val="002E6C0B"/>
    <w:rsid w:val="002F1BF3"/>
    <w:rsid w:val="002F1CEA"/>
    <w:rsid w:val="002F39FD"/>
    <w:rsid w:val="002F4D43"/>
    <w:rsid w:val="002F5450"/>
    <w:rsid w:val="002F5DDB"/>
    <w:rsid w:val="00301F39"/>
    <w:rsid w:val="003020E8"/>
    <w:rsid w:val="003056C6"/>
    <w:rsid w:val="003060E1"/>
    <w:rsid w:val="00311B14"/>
    <w:rsid w:val="0031276A"/>
    <w:rsid w:val="00313EC7"/>
    <w:rsid w:val="00314E90"/>
    <w:rsid w:val="0031686A"/>
    <w:rsid w:val="0032000E"/>
    <w:rsid w:val="0032193F"/>
    <w:rsid w:val="003220C8"/>
    <w:rsid w:val="00324306"/>
    <w:rsid w:val="0032524B"/>
    <w:rsid w:val="00325336"/>
    <w:rsid w:val="003278D6"/>
    <w:rsid w:val="003302BC"/>
    <w:rsid w:val="003303F0"/>
    <w:rsid w:val="00330B05"/>
    <w:rsid w:val="00330C22"/>
    <w:rsid w:val="00335713"/>
    <w:rsid w:val="0034059B"/>
    <w:rsid w:val="0035019C"/>
    <w:rsid w:val="00352649"/>
    <w:rsid w:val="00352D4E"/>
    <w:rsid w:val="00354CD6"/>
    <w:rsid w:val="00360248"/>
    <w:rsid w:val="00360C66"/>
    <w:rsid w:val="003621A3"/>
    <w:rsid w:val="00366A46"/>
    <w:rsid w:val="00370341"/>
    <w:rsid w:val="003708DA"/>
    <w:rsid w:val="00371354"/>
    <w:rsid w:val="003717A7"/>
    <w:rsid w:val="00372702"/>
    <w:rsid w:val="00374C7E"/>
    <w:rsid w:val="003769F4"/>
    <w:rsid w:val="00377A0D"/>
    <w:rsid w:val="003843D6"/>
    <w:rsid w:val="003853B3"/>
    <w:rsid w:val="00385D3C"/>
    <w:rsid w:val="0038677D"/>
    <w:rsid w:val="003911F8"/>
    <w:rsid w:val="003929E9"/>
    <w:rsid w:val="00396F5B"/>
    <w:rsid w:val="00397ABB"/>
    <w:rsid w:val="003A2203"/>
    <w:rsid w:val="003C4B64"/>
    <w:rsid w:val="003C4D39"/>
    <w:rsid w:val="003C58F6"/>
    <w:rsid w:val="003D23C6"/>
    <w:rsid w:val="003D3F5D"/>
    <w:rsid w:val="003D3FF4"/>
    <w:rsid w:val="003D7161"/>
    <w:rsid w:val="003E29AB"/>
    <w:rsid w:val="003E2AD2"/>
    <w:rsid w:val="003E3F9D"/>
    <w:rsid w:val="003E69E5"/>
    <w:rsid w:val="003F12A7"/>
    <w:rsid w:val="003F170E"/>
    <w:rsid w:val="003F266C"/>
    <w:rsid w:val="003F2DFE"/>
    <w:rsid w:val="003F53EE"/>
    <w:rsid w:val="0040748E"/>
    <w:rsid w:val="00412206"/>
    <w:rsid w:val="00412C9F"/>
    <w:rsid w:val="004171BA"/>
    <w:rsid w:val="00417347"/>
    <w:rsid w:val="00420DAB"/>
    <w:rsid w:val="004211CC"/>
    <w:rsid w:val="00421F69"/>
    <w:rsid w:val="0042408B"/>
    <w:rsid w:val="00425EE6"/>
    <w:rsid w:val="00427A8A"/>
    <w:rsid w:val="00427AF6"/>
    <w:rsid w:val="00427E08"/>
    <w:rsid w:val="004349BA"/>
    <w:rsid w:val="0043575C"/>
    <w:rsid w:val="004365C7"/>
    <w:rsid w:val="00437415"/>
    <w:rsid w:val="00437AF7"/>
    <w:rsid w:val="004425B7"/>
    <w:rsid w:val="00444043"/>
    <w:rsid w:val="00444A85"/>
    <w:rsid w:val="00444E16"/>
    <w:rsid w:val="00446760"/>
    <w:rsid w:val="0045026F"/>
    <w:rsid w:val="00455370"/>
    <w:rsid w:val="00462CFA"/>
    <w:rsid w:val="004632E5"/>
    <w:rsid w:val="00464A74"/>
    <w:rsid w:val="00464D8C"/>
    <w:rsid w:val="00467587"/>
    <w:rsid w:val="00470E1B"/>
    <w:rsid w:val="0047139D"/>
    <w:rsid w:val="0047174C"/>
    <w:rsid w:val="00473590"/>
    <w:rsid w:val="00482592"/>
    <w:rsid w:val="00484AD3"/>
    <w:rsid w:val="004863F5"/>
    <w:rsid w:val="0048676D"/>
    <w:rsid w:val="00486A35"/>
    <w:rsid w:val="00486DB1"/>
    <w:rsid w:val="0049290B"/>
    <w:rsid w:val="00493E10"/>
    <w:rsid w:val="00495853"/>
    <w:rsid w:val="004972E8"/>
    <w:rsid w:val="0049765D"/>
    <w:rsid w:val="004A0EF3"/>
    <w:rsid w:val="004A1CB3"/>
    <w:rsid w:val="004A3C62"/>
    <w:rsid w:val="004B003C"/>
    <w:rsid w:val="004B08E5"/>
    <w:rsid w:val="004B3F8E"/>
    <w:rsid w:val="004B6AE5"/>
    <w:rsid w:val="004C0F9E"/>
    <w:rsid w:val="004C1243"/>
    <w:rsid w:val="004C2169"/>
    <w:rsid w:val="004C5C26"/>
    <w:rsid w:val="004C6499"/>
    <w:rsid w:val="004C7B80"/>
    <w:rsid w:val="004D176B"/>
    <w:rsid w:val="004D2DEE"/>
    <w:rsid w:val="004D6A69"/>
    <w:rsid w:val="004E3900"/>
    <w:rsid w:val="004F0142"/>
    <w:rsid w:val="004F2156"/>
    <w:rsid w:val="004F2D0D"/>
    <w:rsid w:val="004F3AB4"/>
    <w:rsid w:val="004F3EAE"/>
    <w:rsid w:val="004F638A"/>
    <w:rsid w:val="004F7029"/>
    <w:rsid w:val="004F7E99"/>
    <w:rsid w:val="005003F9"/>
    <w:rsid w:val="0050051A"/>
    <w:rsid w:val="005022CB"/>
    <w:rsid w:val="0050417B"/>
    <w:rsid w:val="005118B4"/>
    <w:rsid w:val="005133CE"/>
    <w:rsid w:val="0052033E"/>
    <w:rsid w:val="00521BA3"/>
    <w:rsid w:val="00523E0D"/>
    <w:rsid w:val="00525588"/>
    <w:rsid w:val="0052710E"/>
    <w:rsid w:val="00532D0F"/>
    <w:rsid w:val="005333D6"/>
    <w:rsid w:val="0053340F"/>
    <w:rsid w:val="005429D2"/>
    <w:rsid w:val="005442FC"/>
    <w:rsid w:val="005458CE"/>
    <w:rsid w:val="0054651C"/>
    <w:rsid w:val="00551CE8"/>
    <w:rsid w:val="00552399"/>
    <w:rsid w:val="00553936"/>
    <w:rsid w:val="0055631A"/>
    <w:rsid w:val="0055631D"/>
    <w:rsid w:val="00564216"/>
    <w:rsid w:val="00564F79"/>
    <w:rsid w:val="00565753"/>
    <w:rsid w:val="00571038"/>
    <w:rsid w:val="0057516B"/>
    <w:rsid w:val="00576A7A"/>
    <w:rsid w:val="0058215D"/>
    <w:rsid w:val="00585135"/>
    <w:rsid w:val="00585735"/>
    <w:rsid w:val="00587ECB"/>
    <w:rsid w:val="00590E45"/>
    <w:rsid w:val="00593935"/>
    <w:rsid w:val="005973FD"/>
    <w:rsid w:val="00597451"/>
    <w:rsid w:val="00597C68"/>
    <w:rsid w:val="005A382B"/>
    <w:rsid w:val="005A4047"/>
    <w:rsid w:val="005A73FD"/>
    <w:rsid w:val="005B0F9C"/>
    <w:rsid w:val="005B2CCE"/>
    <w:rsid w:val="005B3CDA"/>
    <w:rsid w:val="005B3F49"/>
    <w:rsid w:val="005B472C"/>
    <w:rsid w:val="005B6151"/>
    <w:rsid w:val="005B7095"/>
    <w:rsid w:val="005C0D39"/>
    <w:rsid w:val="005C1239"/>
    <w:rsid w:val="005C3297"/>
    <w:rsid w:val="005C4AB4"/>
    <w:rsid w:val="005C6232"/>
    <w:rsid w:val="005C62B3"/>
    <w:rsid w:val="005C72F4"/>
    <w:rsid w:val="005D0C33"/>
    <w:rsid w:val="005D5A33"/>
    <w:rsid w:val="005D6F7A"/>
    <w:rsid w:val="005E5B88"/>
    <w:rsid w:val="005E73B8"/>
    <w:rsid w:val="005E78EE"/>
    <w:rsid w:val="005F139F"/>
    <w:rsid w:val="005F18F0"/>
    <w:rsid w:val="005F1EBD"/>
    <w:rsid w:val="005F73C5"/>
    <w:rsid w:val="00600EC3"/>
    <w:rsid w:val="00603B83"/>
    <w:rsid w:val="00603D1F"/>
    <w:rsid w:val="006063D0"/>
    <w:rsid w:val="00607083"/>
    <w:rsid w:val="00610ECA"/>
    <w:rsid w:val="00613C45"/>
    <w:rsid w:val="006205C3"/>
    <w:rsid w:val="00622F01"/>
    <w:rsid w:val="00626131"/>
    <w:rsid w:val="006266A4"/>
    <w:rsid w:val="00626CB8"/>
    <w:rsid w:val="00633524"/>
    <w:rsid w:val="00633D4E"/>
    <w:rsid w:val="0063526F"/>
    <w:rsid w:val="006360CA"/>
    <w:rsid w:val="00636FFD"/>
    <w:rsid w:val="00637E86"/>
    <w:rsid w:val="006422DE"/>
    <w:rsid w:val="006436E3"/>
    <w:rsid w:val="006439FA"/>
    <w:rsid w:val="00644387"/>
    <w:rsid w:val="00644D6B"/>
    <w:rsid w:val="00650228"/>
    <w:rsid w:val="006503C1"/>
    <w:rsid w:val="00651074"/>
    <w:rsid w:val="00651B61"/>
    <w:rsid w:val="00653A61"/>
    <w:rsid w:val="00654BF5"/>
    <w:rsid w:val="00655BFD"/>
    <w:rsid w:val="00660C60"/>
    <w:rsid w:val="00662CFD"/>
    <w:rsid w:val="00663285"/>
    <w:rsid w:val="0067027E"/>
    <w:rsid w:val="006708D0"/>
    <w:rsid w:val="006731C4"/>
    <w:rsid w:val="0067485D"/>
    <w:rsid w:val="0068209D"/>
    <w:rsid w:val="00684A86"/>
    <w:rsid w:val="006853ED"/>
    <w:rsid w:val="006925E2"/>
    <w:rsid w:val="0069305E"/>
    <w:rsid w:val="00694C9E"/>
    <w:rsid w:val="00696062"/>
    <w:rsid w:val="006A0171"/>
    <w:rsid w:val="006A2065"/>
    <w:rsid w:val="006A39BD"/>
    <w:rsid w:val="006A3D88"/>
    <w:rsid w:val="006A4A7A"/>
    <w:rsid w:val="006A4D09"/>
    <w:rsid w:val="006A5A21"/>
    <w:rsid w:val="006A7280"/>
    <w:rsid w:val="006A7C6E"/>
    <w:rsid w:val="006B0072"/>
    <w:rsid w:val="006B0848"/>
    <w:rsid w:val="006B0E26"/>
    <w:rsid w:val="006B3D34"/>
    <w:rsid w:val="006B733D"/>
    <w:rsid w:val="006B793B"/>
    <w:rsid w:val="006B7DF8"/>
    <w:rsid w:val="006C34AE"/>
    <w:rsid w:val="006C67AF"/>
    <w:rsid w:val="006D3DC5"/>
    <w:rsid w:val="006D46DA"/>
    <w:rsid w:val="006D49C2"/>
    <w:rsid w:val="006D7CDA"/>
    <w:rsid w:val="006E367B"/>
    <w:rsid w:val="006E5778"/>
    <w:rsid w:val="006E7762"/>
    <w:rsid w:val="006F143B"/>
    <w:rsid w:val="006F185A"/>
    <w:rsid w:val="007012F9"/>
    <w:rsid w:val="00703241"/>
    <w:rsid w:val="007039E2"/>
    <w:rsid w:val="007039EC"/>
    <w:rsid w:val="007041CB"/>
    <w:rsid w:val="007042BD"/>
    <w:rsid w:val="00707C9A"/>
    <w:rsid w:val="00710031"/>
    <w:rsid w:val="00714894"/>
    <w:rsid w:val="0071572D"/>
    <w:rsid w:val="007157BA"/>
    <w:rsid w:val="007169F9"/>
    <w:rsid w:val="007174A6"/>
    <w:rsid w:val="007206BA"/>
    <w:rsid w:val="007209E3"/>
    <w:rsid w:val="007224B3"/>
    <w:rsid w:val="007224B9"/>
    <w:rsid w:val="00725651"/>
    <w:rsid w:val="00726B18"/>
    <w:rsid w:val="00731303"/>
    <w:rsid w:val="007350D1"/>
    <w:rsid w:val="00735F01"/>
    <w:rsid w:val="00736A4B"/>
    <w:rsid w:val="0073753E"/>
    <w:rsid w:val="007402E0"/>
    <w:rsid w:val="0074030F"/>
    <w:rsid w:val="0074489D"/>
    <w:rsid w:val="00746549"/>
    <w:rsid w:val="007513E4"/>
    <w:rsid w:val="007514AD"/>
    <w:rsid w:val="0075352C"/>
    <w:rsid w:val="00753A06"/>
    <w:rsid w:val="00754A2D"/>
    <w:rsid w:val="0075524D"/>
    <w:rsid w:val="007560B0"/>
    <w:rsid w:val="007567AA"/>
    <w:rsid w:val="00757A0C"/>
    <w:rsid w:val="007627D7"/>
    <w:rsid w:val="0076380D"/>
    <w:rsid w:val="00763F39"/>
    <w:rsid w:val="00764F55"/>
    <w:rsid w:val="0076775D"/>
    <w:rsid w:val="00772598"/>
    <w:rsid w:val="00776C4F"/>
    <w:rsid w:val="00776EE5"/>
    <w:rsid w:val="00777216"/>
    <w:rsid w:val="00780C2A"/>
    <w:rsid w:val="007824AE"/>
    <w:rsid w:val="00783257"/>
    <w:rsid w:val="007838E4"/>
    <w:rsid w:val="007846DC"/>
    <w:rsid w:val="00784731"/>
    <w:rsid w:val="007857B1"/>
    <w:rsid w:val="00791A37"/>
    <w:rsid w:val="00793840"/>
    <w:rsid w:val="007971E4"/>
    <w:rsid w:val="0079727E"/>
    <w:rsid w:val="007A14EE"/>
    <w:rsid w:val="007A15B2"/>
    <w:rsid w:val="007A19D8"/>
    <w:rsid w:val="007A73E9"/>
    <w:rsid w:val="007B5399"/>
    <w:rsid w:val="007B7CC5"/>
    <w:rsid w:val="007C2E67"/>
    <w:rsid w:val="007C3264"/>
    <w:rsid w:val="007C7AB3"/>
    <w:rsid w:val="007C7B9D"/>
    <w:rsid w:val="007D7F6B"/>
    <w:rsid w:val="007E36E4"/>
    <w:rsid w:val="007E5846"/>
    <w:rsid w:val="007F0ACE"/>
    <w:rsid w:val="007F16B3"/>
    <w:rsid w:val="007F3527"/>
    <w:rsid w:val="007F44B9"/>
    <w:rsid w:val="007F5A2F"/>
    <w:rsid w:val="0080006C"/>
    <w:rsid w:val="00800F0E"/>
    <w:rsid w:val="00804024"/>
    <w:rsid w:val="0080486E"/>
    <w:rsid w:val="00812E9B"/>
    <w:rsid w:val="00813EFC"/>
    <w:rsid w:val="00815904"/>
    <w:rsid w:val="0081753E"/>
    <w:rsid w:val="00820299"/>
    <w:rsid w:val="00824369"/>
    <w:rsid w:val="00825775"/>
    <w:rsid w:val="008264D4"/>
    <w:rsid w:val="008419BA"/>
    <w:rsid w:val="0084363E"/>
    <w:rsid w:val="0085010E"/>
    <w:rsid w:val="0085454F"/>
    <w:rsid w:val="00856878"/>
    <w:rsid w:val="00861CE4"/>
    <w:rsid w:val="00861FF4"/>
    <w:rsid w:val="008731EB"/>
    <w:rsid w:val="0087354F"/>
    <w:rsid w:val="00873645"/>
    <w:rsid w:val="00877E08"/>
    <w:rsid w:val="008809B8"/>
    <w:rsid w:val="0088111C"/>
    <w:rsid w:val="008848D1"/>
    <w:rsid w:val="00886E74"/>
    <w:rsid w:val="008872FC"/>
    <w:rsid w:val="00891386"/>
    <w:rsid w:val="00894E75"/>
    <w:rsid w:val="00896985"/>
    <w:rsid w:val="008A05AC"/>
    <w:rsid w:val="008A0725"/>
    <w:rsid w:val="008A0DE6"/>
    <w:rsid w:val="008A464B"/>
    <w:rsid w:val="008A4E1A"/>
    <w:rsid w:val="008B17B5"/>
    <w:rsid w:val="008B1E34"/>
    <w:rsid w:val="008B3775"/>
    <w:rsid w:val="008B3CA7"/>
    <w:rsid w:val="008B4038"/>
    <w:rsid w:val="008B47B1"/>
    <w:rsid w:val="008C0067"/>
    <w:rsid w:val="008C128B"/>
    <w:rsid w:val="008C234D"/>
    <w:rsid w:val="008C52F3"/>
    <w:rsid w:val="008C53D0"/>
    <w:rsid w:val="008C6ACC"/>
    <w:rsid w:val="008C7176"/>
    <w:rsid w:val="008D35C8"/>
    <w:rsid w:val="008D527A"/>
    <w:rsid w:val="008D56DA"/>
    <w:rsid w:val="008D5771"/>
    <w:rsid w:val="008E06E0"/>
    <w:rsid w:val="008E288C"/>
    <w:rsid w:val="008F149F"/>
    <w:rsid w:val="008F472E"/>
    <w:rsid w:val="009015F1"/>
    <w:rsid w:val="009020DF"/>
    <w:rsid w:val="00902556"/>
    <w:rsid w:val="0090338C"/>
    <w:rsid w:val="00903FFD"/>
    <w:rsid w:val="00904C12"/>
    <w:rsid w:val="00907D07"/>
    <w:rsid w:val="0091048E"/>
    <w:rsid w:val="00912EF6"/>
    <w:rsid w:val="00914181"/>
    <w:rsid w:val="00922940"/>
    <w:rsid w:val="00924ABC"/>
    <w:rsid w:val="00933332"/>
    <w:rsid w:val="00936679"/>
    <w:rsid w:val="00936855"/>
    <w:rsid w:val="009369FA"/>
    <w:rsid w:val="0093717D"/>
    <w:rsid w:val="00940E8F"/>
    <w:rsid w:val="009412D8"/>
    <w:rsid w:val="00941AFA"/>
    <w:rsid w:val="00944068"/>
    <w:rsid w:val="00950FE7"/>
    <w:rsid w:val="0095309C"/>
    <w:rsid w:val="0096249E"/>
    <w:rsid w:val="009652F2"/>
    <w:rsid w:val="009719ED"/>
    <w:rsid w:val="00975E11"/>
    <w:rsid w:val="009807E1"/>
    <w:rsid w:val="00986C37"/>
    <w:rsid w:val="009907A2"/>
    <w:rsid w:val="0099273F"/>
    <w:rsid w:val="00997528"/>
    <w:rsid w:val="0099796A"/>
    <w:rsid w:val="009A1C05"/>
    <w:rsid w:val="009B0EAF"/>
    <w:rsid w:val="009B1E55"/>
    <w:rsid w:val="009B4293"/>
    <w:rsid w:val="009B6BAF"/>
    <w:rsid w:val="009C0036"/>
    <w:rsid w:val="009C0274"/>
    <w:rsid w:val="009C1346"/>
    <w:rsid w:val="009C4DBF"/>
    <w:rsid w:val="009C553B"/>
    <w:rsid w:val="009D05C8"/>
    <w:rsid w:val="009D0F4D"/>
    <w:rsid w:val="009D2847"/>
    <w:rsid w:val="009E3BBB"/>
    <w:rsid w:val="009E3C0B"/>
    <w:rsid w:val="009F3546"/>
    <w:rsid w:val="009F3F04"/>
    <w:rsid w:val="009F5A15"/>
    <w:rsid w:val="009F68CA"/>
    <w:rsid w:val="00A04F60"/>
    <w:rsid w:val="00A11FB9"/>
    <w:rsid w:val="00A126FF"/>
    <w:rsid w:val="00A13244"/>
    <w:rsid w:val="00A1540F"/>
    <w:rsid w:val="00A16B17"/>
    <w:rsid w:val="00A2142C"/>
    <w:rsid w:val="00A239AA"/>
    <w:rsid w:val="00A30D85"/>
    <w:rsid w:val="00A375CB"/>
    <w:rsid w:val="00A439E8"/>
    <w:rsid w:val="00A44A03"/>
    <w:rsid w:val="00A45753"/>
    <w:rsid w:val="00A511C6"/>
    <w:rsid w:val="00A53423"/>
    <w:rsid w:val="00A53F04"/>
    <w:rsid w:val="00A56131"/>
    <w:rsid w:val="00A60BDA"/>
    <w:rsid w:val="00A62659"/>
    <w:rsid w:val="00A65E9F"/>
    <w:rsid w:val="00A65F20"/>
    <w:rsid w:val="00A66E4A"/>
    <w:rsid w:val="00A739CA"/>
    <w:rsid w:val="00A73D1A"/>
    <w:rsid w:val="00A74DDC"/>
    <w:rsid w:val="00A75686"/>
    <w:rsid w:val="00A76293"/>
    <w:rsid w:val="00A77DA2"/>
    <w:rsid w:val="00A804EC"/>
    <w:rsid w:val="00A8058F"/>
    <w:rsid w:val="00A85D9D"/>
    <w:rsid w:val="00A86214"/>
    <w:rsid w:val="00A86DA0"/>
    <w:rsid w:val="00A871DF"/>
    <w:rsid w:val="00A920B1"/>
    <w:rsid w:val="00A92C4C"/>
    <w:rsid w:val="00A96763"/>
    <w:rsid w:val="00A9760F"/>
    <w:rsid w:val="00AA04C9"/>
    <w:rsid w:val="00AA3186"/>
    <w:rsid w:val="00AA3B1F"/>
    <w:rsid w:val="00AA602D"/>
    <w:rsid w:val="00AB0DF3"/>
    <w:rsid w:val="00AB336E"/>
    <w:rsid w:val="00AB3D91"/>
    <w:rsid w:val="00AB572D"/>
    <w:rsid w:val="00AB647A"/>
    <w:rsid w:val="00AC1CC1"/>
    <w:rsid w:val="00AC26EC"/>
    <w:rsid w:val="00AC29DC"/>
    <w:rsid w:val="00AC4407"/>
    <w:rsid w:val="00AC4F69"/>
    <w:rsid w:val="00AC6E42"/>
    <w:rsid w:val="00AD32B6"/>
    <w:rsid w:val="00AD55BD"/>
    <w:rsid w:val="00AE2923"/>
    <w:rsid w:val="00AE3BFA"/>
    <w:rsid w:val="00AE5149"/>
    <w:rsid w:val="00AE79C5"/>
    <w:rsid w:val="00AE7F9D"/>
    <w:rsid w:val="00AF1794"/>
    <w:rsid w:val="00AF44D7"/>
    <w:rsid w:val="00AF70AB"/>
    <w:rsid w:val="00B028F7"/>
    <w:rsid w:val="00B0708D"/>
    <w:rsid w:val="00B075C5"/>
    <w:rsid w:val="00B17C15"/>
    <w:rsid w:val="00B22863"/>
    <w:rsid w:val="00B22BD6"/>
    <w:rsid w:val="00B30F18"/>
    <w:rsid w:val="00B3160D"/>
    <w:rsid w:val="00B35280"/>
    <w:rsid w:val="00B37A95"/>
    <w:rsid w:val="00B41502"/>
    <w:rsid w:val="00B41D1F"/>
    <w:rsid w:val="00B437AD"/>
    <w:rsid w:val="00B51024"/>
    <w:rsid w:val="00B512B5"/>
    <w:rsid w:val="00B568BB"/>
    <w:rsid w:val="00B60CD8"/>
    <w:rsid w:val="00B60F9C"/>
    <w:rsid w:val="00B634F5"/>
    <w:rsid w:val="00B645CE"/>
    <w:rsid w:val="00B647E4"/>
    <w:rsid w:val="00B65AAC"/>
    <w:rsid w:val="00B6769E"/>
    <w:rsid w:val="00B67DBE"/>
    <w:rsid w:val="00B70713"/>
    <w:rsid w:val="00B7121B"/>
    <w:rsid w:val="00B712F2"/>
    <w:rsid w:val="00B71898"/>
    <w:rsid w:val="00B73F22"/>
    <w:rsid w:val="00B769FC"/>
    <w:rsid w:val="00B76F9A"/>
    <w:rsid w:val="00B774D3"/>
    <w:rsid w:val="00B810B2"/>
    <w:rsid w:val="00B8509D"/>
    <w:rsid w:val="00B91A37"/>
    <w:rsid w:val="00B92670"/>
    <w:rsid w:val="00BA26F7"/>
    <w:rsid w:val="00BA61A6"/>
    <w:rsid w:val="00BA73AA"/>
    <w:rsid w:val="00BA79F0"/>
    <w:rsid w:val="00BB5068"/>
    <w:rsid w:val="00BB7AE8"/>
    <w:rsid w:val="00BC14A0"/>
    <w:rsid w:val="00BC1535"/>
    <w:rsid w:val="00BC7504"/>
    <w:rsid w:val="00BD0481"/>
    <w:rsid w:val="00BD14BC"/>
    <w:rsid w:val="00BD2E15"/>
    <w:rsid w:val="00BD4447"/>
    <w:rsid w:val="00BD45FE"/>
    <w:rsid w:val="00BD78A1"/>
    <w:rsid w:val="00BE2623"/>
    <w:rsid w:val="00BE331E"/>
    <w:rsid w:val="00BE3923"/>
    <w:rsid w:val="00BE4BF0"/>
    <w:rsid w:val="00BE5EE5"/>
    <w:rsid w:val="00BE61AC"/>
    <w:rsid w:val="00BE61F8"/>
    <w:rsid w:val="00BE68EE"/>
    <w:rsid w:val="00BE6F92"/>
    <w:rsid w:val="00BE7A3C"/>
    <w:rsid w:val="00BE7F63"/>
    <w:rsid w:val="00BF1D51"/>
    <w:rsid w:val="00BF45FB"/>
    <w:rsid w:val="00BF54F5"/>
    <w:rsid w:val="00BF58D5"/>
    <w:rsid w:val="00C0009B"/>
    <w:rsid w:val="00C037A3"/>
    <w:rsid w:val="00C10AB4"/>
    <w:rsid w:val="00C123B1"/>
    <w:rsid w:val="00C16196"/>
    <w:rsid w:val="00C21071"/>
    <w:rsid w:val="00C21B6A"/>
    <w:rsid w:val="00C22E21"/>
    <w:rsid w:val="00C2398C"/>
    <w:rsid w:val="00C25569"/>
    <w:rsid w:val="00C27366"/>
    <w:rsid w:val="00C30EA1"/>
    <w:rsid w:val="00C34BF1"/>
    <w:rsid w:val="00C426B0"/>
    <w:rsid w:val="00C50333"/>
    <w:rsid w:val="00C51657"/>
    <w:rsid w:val="00C5259C"/>
    <w:rsid w:val="00C547DF"/>
    <w:rsid w:val="00C63AA8"/>
    <w:rsid w:val="00C7783C"/>
    <w:rsid w:val="00C81210"/>
    <w:rsid w:val="00C8184F"/>
    <w:rsid w:val="00C9148D"/>
    <w:rsid w:val="00CA321A"/>
    <w:rsid w:val="00CA521D"/>
    <w:rsid w:val="00CA555C"/>
    <w:rsid w:val="00CA5A76"/>
    <w:rsid w:val="00CA6B58"/>
    <w:rsid w:val="00CA6CE4"/>
    <w:rsid w:val="00CA6DF7"/>
    <w:rsid w:val="00CA6F29"/>
    <w:rsid w:val="00CB0BFE"/>
    <w:rsid w:val="00CB133E"/>
    <w:rsid w:val="00CB1AE6"/>
    <w:rsid w:val="00CB3B6B"/>
    <w:rsid w:val="00CB3ED4"/>
    <w:rsid w:val="00CB3F86"/>
    <w:rsid w:val="00CB611A"/>
    <w:rsid w:val="00CB6B09"/>
    <w:rsid w:val="00CB7742"/>
    <w:rsid w:val="00CC0C57"/>
    <w:rsid w:val="00CD05E8"/>
    <w:rsid w:val="00CD34F0"/>
    <w:rsid w:val="00CE0954"/>
    <w:rsid w:val="00CE1220"/>
    <w:rsid w:val="00CE5CED"/>
    <w:rsid w:val="00CE6CD4"/>
    <w:rsid w:val="00CE7072"/>
    <w:rsid w:val="00CE7998"/>
    <w:rsid w:val="00CF11F7"/>
    <w:rsid w:val="00CF1220"/>
    <w:rsid w:val="00CF1FCB"/>
    <w:rsid w:val="00CF2DB2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034C"/>
    <w:rsid w:val="00D21A88"/>
    <w:rsid w:val="00D22264"/>
    <w:rsid w:val="00D251AC"/>
    <w:rsid w:val="00D26B1D"/>
    <w:rsid w:val="00D30CAC"/>
    <w:rsid w:val="00D35C23"/>
    <w:rsid w:val="00D4089E"/>
    <w:rsid w:val="00D42CEF"/>
    <w:rsid w:val="00D43766"/>
    <w:rsid w:val="00D45C0D"/>
    <w:rsid w:val="00D47CCF"/>
    <w:rsid w:val="00D50AC5"/>
    <w:rsid w:val="00D52B45"/>
    <w:rsid w:val="00D5318E"/>
    <w:rsid w:val="00D53399"/>
    <w:rsid w:val="00D568CF"/>
    <w:rsid w:val="00D57CDC"/>
    <w:rsid w:val="00D620EC"/>
    <w:rsid w:val="00D63BB8"/>
    <w:rsid w:val="00D6457B"/>
    <w:rsid w:val="00D6460A"/>
    <w:rsid w:val="00D650E2"/>
    <w:rsid w:val="00D66DEC"/>
    <w:rsid w:val="00D67583"/>
    <w:rsid w:val="00D67A14"/>
    <w:rsid w:val="00D70306"/>
    <w:rsid w:val="00D71A41"/>
    <w:rsid w:val="00D72E85"/>
    <w:rsid w:val="00D758A6"/>
    <w:rsid w:val="00D75A7B"/>
    <w:rsid w:val="00D768A4"/>
    <w:rsid w:val="00D81601"/>
    <w:rsid w:val="00D82788"/>
    <w:rsid w:val="00D841CA"/>
    <w:rsid w:val="00D84973"/>
    <w:rsid w:val="00D92100"/>
    <w:rsid w:val="00D92F52"/>
    <w:rsid w:val="00D93CAA"/>
    <w:rsid w:val="00D962BB"/>
    <w:rsid w:val="00DA00CF"/>
    <w:rsid w:val="00DA023A"/>
    <w:rsid w:val="00DA24CB"/>
    <w:rsid w:val="00DA753F"/>
    <w:rsid w:val="00DA78C1"/>
    <w:rsid w:val="00DB0721"/>
    <w:rsid w:val="00DB0D38"/>
    <w:rsid w:val="00DB2957"/>
    <w:rsid w:val="00DB610A"/>
    <w:rsid w:val="00DB7E43"/>
    <w:rsid w:val="00DC182C"/>
    <w:rsid w:val="00DC185E"/>
    <w:rsid w:val="00DC5754"/>
    <w:rsid w:val="00DC779C"/>
    <w:rsid w:val="00DC77F9"/>
    <w:rsid w:val="00DD007E"/>
    <w:rsid w:val="00DD06C3"/>
    <w:rsid w:val="00DD34A3"/>
    <w:rsid w:val="00DD3F1F"/>
    <w:rsid w:val="00DD6056"/>
    <w:rsid w:val="00DE325C"/>
    <w:rsid w:val="00DE657E"/>
    <w:rsid w:val="00DE78F8"/>
    <w:rsid w:val="00DE7C6A"/>
    <w:rsid w:val="00DF2857"/>
    <w:rsid w:val="00DF3FF8"/>
    <w:rsid w:val="00DF4954"/>
    <w:rsid w:val="00DF782B"/>
    <w:rsid w:val="00E00E47"/>
    <w:rsid w:val="00E03AEF"/>
    <w:rsid w:val="00E102DE"/>
    <w:rsid w:val="00E11F5D"/>
    <w:rsid w:val="00E129C3"/>
    <w:rsid w:val="00E1478E"/>
    <w:rsid w:val="00E2122C"/>
    <w:rsid w:val="00E24825"/>
    <w:rsid w:val="00E26C55"/>
    <w:rsid w:val="00E302DB"/>
    <w:rsid w:val="00E30DDE"/>
    <w:rsid w:val="00E312DA"/>
    <w:rsid w:val="00E36532"/>
    <w:rsid w:val="00E37FCF"/>
    <w:rsid w:val="00E42093"/>
    <w:rsid w:val="00E436BF"/>
    <w:rsid w:val="00E454F8"/>
    <w:rsid w:val="00E522AD"/>
    <w:rsid w:val="00E56E91"/>
    <w:rsid w:val="00E6302C"/>
    <w:rsid w:val="00E64103"/>
    <w:rsid w:val="00E65B4D"/>
    <w:rsid w:val="00E6644D"/>
    <w:rsid w:val="00E66C68"/>
    <w:rsid w:val="00E76CD1"/>
    <w:rsid w:val="00E773F4"/>
    <w:rsid w:val="00E775D4"/>
    <w:rsid w:val="00E80A6E"/>
    <w:rsid w:val="00E80EED"/>
    <w:rsid w:val="00E8288A"/>
    <w:rsid w:val="00E847D4"/>
    <w:rsid w:val="00E86FB5"/>
    <w:rsid w:val="00E917A6"/>
    <w:rsid w:val="00E95B73"/>
    <w:rsid w:val="00EA090B"/>
    <w:rsid w:val="00EA1836"/>
    <w:rsid w:val="00EA22F9"/>
    <w:rsid w:val="00EA4D0D"/>
    <w:rsid w:val="00EC017D"/>
    <w:rsid w:val="00EC0263"/>
    <w:rsid w:val="00EC39F1"/>
    <w:rsid w:val="00EC4C16"/>
    <w:rsid w:val="00ED0CB6"/>
    <w:rsid w:val="00ED3DAA"/>
    <w:rsid w:val="00ED45B4"/>
    <w:rsid w:val="00ED59FB"/>
    <w:rsid w:val="00ED6F4B"/>
    <w:rsid w:val="00ED711D"/>
    <w:rsid w:val="00EE0554"/>
    <w:rsid w:val="00EE4AD8"/>
    <w:rsid w:val="00EE789A"/>
    <w:rsid w:val="00EF0FA7"/>
    <w:rsid w:val="00EF1CAB"/>
    <w:rsid w:val="00EF730D"/>
    <w:rsid w:val="00F018E7"/>
    <w:rsid w:val="00F019E5"/>
    <w:rsid w:val="00F02755"/>
    <w:rsid w:val="00F07FA7"/>
    <w:rsid w:val="00F10458"/>
    <w:rsid w:val="00F119B5"/>
    <w:rsid w:val="00F12E58"/>
    <w:rsid w:val="00F139AC"/>
    <w:rsid w:val="00F14336"/>
    <w:rsid w:val="00F1437F"/>
    <w:rsid w:val="00F1467E"/>
    <w:rsid w:val="00F14A50"/>
    <w:rsid w:val="00F16000"/>
    <w:rsid w:val="00F1768D"/>
    <w:rsid w:val="00F201E4"/>
    <w:rsid w:val="00F202EF"/>
    <w:rsid w:val="00F20759"/>
    <w:rsid w:val="00F214F2"/>
    <w:rsid w:val="00F21EAC"/>
    <w:rsid w:val="00F24E3C"/>
    <w:rsid w:val="00F251F1"/>
    <w:rsid w:val="00F3044B"/>
    <w:rsid w:val="00F3243D"/>
    <w:rsid w:val="00F33E9B"/>
    <w:rsid w:val="00F3527C"/>
    <w:rsid w:val="00F36E4D"/>
    <w:rsid w:val="00F37B58"/>
    <w:rsid w:val="00F40908"/>
    <w:rsid w:val="00F40DC6"/>
    <w:rsid w:val="00F414C2"/>
    <w:rsid w:val="00F41BEB"/>
    <w:rsid w:val="00F45115"/>
    <w:rsid w:val="00F46D0D"/>
    <w:rsid w:val="00F50AD0"/>
    <w:rsid w:val="00F5218F"/>
    <w:rsid w:val="00F529BF"/>
    <w:rsid w:val="00F535ED"/>
    <w:rsid w:val="00F568A9"/>
    <w:rsid w:val="00F56DE6"/>
    <w:rsid w:val="00F60790"/>
    <w:rsid w:val="00F61104"/>
    <w:rsid w:val="00F62F63"/>
    <w:rsid w:val="00F63E9C"/>
    <w:rsid w:val="00F82DE3"/>
    <w:rsid w:val="00F8406E"/>
    <w:rsid w:val="00F90158"/>
    <w:rsid w:val="00F92B59"/>
    <w:rsid w:val="00F931B3"/>
    <w:rsid w:val="00F936E2"/>
    <w:rsid w:val="00F948BC"/>
    <w:rsid w:val="00F94B48"/>
    <w:rsid w:val="00F953FA"/>
    <w:rsid w:val="00F960CF"/>
    <w:rsid w:val="00FA10A3"/>
    <w:rsid w:val="00FA1226"/>
    <w:rsid w:val="00FA149E"/>
    <w:rsid w:val="00FA1C55"/>
    <w:rsid w:val="00FA209C"/>
    <w:rsid w:val="00FB10B5"/>
    <w:rsid w:val="00FB4E3C"/>
    <w:rsid w:val="00FC04F1"/>
    <w:rsid w:val="00FC1420"/>
    <w:rsid w:val="00FC1EED"/>
    <w:rsid w:val="00FC4958"/>
    <w:rsid w:val="00FD09D8"/>
    <w:rsid w:val="00FD2EB2"/>
    <w:rsid w:val="00FE12AF"/>
    <w:rsid w:val="00FE422B"/>
    <w:rsid w:val="00FF013F"/>
    <w:rsid w:val="00FF170C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  <w:style w:type="paragraph" w:styleId="Tekstprzypisudolnego">
    <w:name w:val="footnote text"/>
    <w:aliases w:val="fn,Znak Znak Znak Znak,Znak Znak,Tekst przypisu,Podrozdział,Podrozdzia3,Tekst przypisu Znak Znak Znak Znak,Tekst przypisu Znak Znak Znak Znak Znak,Tekst przypisu Znak Znak Znak Znak Znak Znak Znak, Znak,Footnote Text Char1"/>
    <w:basedOn w:val="Normalny"/>
    <w:link w:val="TekstprzypisudolnegoZnak"/>
    <w:uiPriority w:val="99"/>
    <w:unhideWhenUsed/>
    <w:qFormat/>
    <w:rsid w:val="00EF1CAB"/>
    <w:pPr>
      <w:jc w:val="both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n Znak,Znak Znak Znak Znak Znak,Znak Znak Znak,Tekst przypisu Znak,Podrozdział Znak,Podrozdzia3 Znak,Tekst przypisu Znak Znak Znak Znak Znak1,Tekst przypisu Znak Znak Znak Znak Znak Znak, Znak Znak,Footnote Text Char1 Znak"/>
    <w:basedOn w:val="Domylnaczcionkaakapitu"/>
    <w:link w:val="Tekstprzypisudolnego"/>
    <w:uiPriority w:val="99"/>
    <w:qFormat/>
    <w:rsid w:val="00EF1CAB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iPriority w:val="99"/>
    <w:unhideWhenUsed/>
    <w:rsid w:val="00EF1C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f.gov.pl/jak-pomaga-rzecznik-finansowy/porad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EDA1-5612-4ADE-9388-D28C1697FE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BE6FA4-5B57-4541-AFE8-63EE6AC8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3739</Characters>
  <Application>Microsoft Office Word</Application>
  <DocSecurity>4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2023-09-29T08:41:00Z</cp:lastPrinted>
  <dcterms:created xsi:type="dcterms:W3CDTF">2023-12-14T12:42:00Z</dcterms:created>
  <dcterms:modified xsi:type="dcterms:W3CDTF">2023-12-14T12:42:00Z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646df23e-8c8b-45f0-9abf-3a4445a52e80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