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09" w:rsidRPr="00A42A09" w:rsidRDefault="00A42A09" w:rsidP="005E34B8">
      <w:pPr>
        <w:spacing w:line="360" w:lineRule="auto"/>
        <w:jc w:val="both"/>
        <w:rPr>
          <w:rFonts w:ascii="Trebuchet MS" w:hAnsi="Trebuchet MS"/>
        </w:rPr>
      </w:pPr>
      <w:r w:rsidRPr="00A42A09">
        <w:rPr>
          <w:rFonts w:ascii="Trebuchet MS" w:hAnsi="Trebuchet MS"/>
          <w:b/>
          <w:sz w:val="24"/>
          <w:szCs w:val="24"/>
        </w:rPr>
        <w:t>Artykuł Marcina Pawlaka</w:t>
      </w:r>
      <w:r>
        <w:rPr>
          <w:rFonts w:ascii="Trebuchet MS" w:hAnsi="Trebuchet MS"/>
        </w:rPr>
        <w:t xml:space="preserve"> z w</w:t>
      </w:r>
      <w:r w:rsidRPr="00A42A09">
        <w:rPr>
          <w:rFonts w:ascii="Trebuchet MS" w:hAnsi="Trebuchet MS"/>
        </w:rPr>
        <w:t xml:space="preserve">ydziału pomocy horyzontalnej w </w:t>
      </w:r>
      <w:r w:rsidR="00266F21">
        <w:rPr>
          <w:rFonts w:ascii="Trebuchet MS" w:hAnsi="Trebuchet MS"/>
        </w:rPr>
        <w:t>D</w:t>
      </w:r>
      <w:r w:rsidRPr="00A42A09">
        <w:rPr>
          <w:rFonts w:ascii="Trebuchet MS" w:hAnsi="Trebuchet MS"/>
        </w:rPr>
        <w:t xml:space="preserve">epartamencie </w:t>
      </w:r>
      <w:r w:rsidR="00266F21">
        <w:rPr>
          <w:rFonts w:ascii="Trebuchet MS" w:hAnsi="Trebuchet MS"/>
        </w:rPr>
        <w:t>M</w:t>
      </w:r>
      <w:r w:rsidRPr="00A42A09">
        <w:rPr>
          <w:rFonts w:ascii="Trebuchet MS" w:hAnsi="Trebuchet MS"/>
        </w:rPr>
        <w:t>onit</w:t>
      </w:r>
      <w:bookmarkStart w:id="0" w:name="_GoBack"/>
      <w:bookmarkEnd w:id="0"/>
      <w:r>
        <w:rPr>
          <w:rFonts w:ascii="Trebuchet MS" w:hAnsi="Trebuchet MS"/>
        </w:rPr>
        <w:t xml:space="preserve">orowania </w:t>
      </w:r>
      <w:r w:rsidR="00266F21">
        <w:rPr>
          <w:rFonts w:ascii="Trebuchet MS" w:hAnsi="Trebuchet MS"/>
        </w:rPr>
        <w:t>P</w:t>
      </w:r>
      <w:r>
        <w:rPr>
          <w:rFonts w:ascii="Trebuchet MS" w:hAnsi="Trebuchet MS"/>
        </w:rPr>
        <w:t xml:space="preserve">omocy </w:t>
      </w:r>
      <w:r w:rsidR="00266F21">
        <w:rPr>
          <w:rFonts w:ascii="Trebuchet MS" w:hAnsi="Trebuchet MS"/>
        </w:rPr>
        <w:t>P</w:t>
      </w:r>
      <w:r>
        <w:rPr>
          <w:rFonts w:ascii="Trebuchet MS" w:hAnsi="Trebuchet MS"/>
        </w:rPr>
        <w:t>ublicznej</w:t>
      </w:r>
      <w:r w:rsidR="00411F42">
        <w:rPr>
          <w:rFonts w:ascii="Trebuchet MS" w:hAnsi="Trebuchet MS"/>
        </w:rPr>
        <w:t xml:space="preserve"> w</w:t>
      </w:r>
      <w:r w:rsidR="00266F21">
        <w:rPr>
          <w:rFonts w:ascii="Trebuchet MS" w:hAnsi="Trebuchet MS"/>
        </w:rPr>
        <w:t xml:space="preserve"> UOKiK</w:t>
      </w:r>
    </w:p>
    <w:p w:rsidR="00A42A09" w:rsidRPr="00A42A09" w:rsidRDefault="00A42A09" w:rsidP="0063516C">
      <w:pPr>
        <w:spacing w:line="360" w:lineRule="auto"/>
        <w:jc w:val="both"/>
        <w:rPr>
          <w:rFonts w:ascii="Trebuchet MS" w:hAnsi="Trebuchet MS"/>
          <w:smallCaps/>
          <w:sz w:val="32"/>
          <w:szCs w:val="32"/>
        </w:rPr>
      </w:pPr>
      <w:r w:rsidRPr="00A42A09">
        <w:rPr>
          <w:rFonts w:ascii="Trebuchet MS" w:hAnsi="Trebuchet MS"/>
          <w:smallCaps/>
          <w:sz w:val="32"/>
          <w:szCs w:val="32"/>
        </w:rPr>
        <w:t xml:space="preserve">Obliczanie ekwiwalentu dotacji brutto pomocy de </w:t>
      </w:r>
      <w:proofErr w:type="spellStart"/>
      <w:r w:rsidRPr="00A42A09">
        <w:rPr>
          <w:rFonts w:ascii="Trebuchet MS" w:hAnsi="Trebuchet MS"/>
          <w:smallCaps/>
          <w:sz w:val="32"/>
          <w:szCs w:val="32"/>
        </w:rPr>
        <w:t>minimis</w:t>
      </w:r>
      <w:proofErr w:type="spellEnd"/>
      <w:r w:rsidRPr="00A42A09">
        <w:rPr>
          <w:rFonts w:ascii="Trebuchet MS" w:hAnsi="Trebuchet MS"/>
          <w:smallCaps/>
          <w:sz w:val="32"/>
          <w:szCs w:val="32"/>
        </w:rPr>
        <w:t xml:space="preserve"> w formie pożyczek</w:t>
      </w:r>
    </w:p>
    <w:p w:rsidR="00A42A09" w:rsidRPr="001C60C8" w:rsidRDefault="00A42A09" w:rsidP="00A42A09">
      <w:pPr>
        <w:spacing w:line="360" w:lineRule="auto"/>
        <w:jc w:val="both"/>
        <w:rPr>
          <w:rFonts w:ascii="Trebuchet MS" w:hAnsi="Trebuchet MS"/>
          <w:b/>
        </w:rPr>
      </w:pPr>
      <w:r w:rsidRPr="001C60C8">
        <w:rPr>
          <w:rFonts w:ascii="Trebuchet MS" w:hAnsi="Trebuchet MS"/>
          <w:b/>
        </w:rPr>
        <w:t xml:space="preserve">1 stycznia 2014 r. weszło w życie rozporządzenie Komisji Europejskiej (UE) Nr 1407/2013 w sprawie stosowania art. 107 i 108 Traktatu o funkcjonowaniu Unii Europejskiej do pomocy de </w:t>
      </w:r>
      <w:proofErr w:type="spellStart"/>
      <w:r w:rsidRPr="001C60C8">
        <w:rPr>
          <w:rFonts w:ascii="Trebuchet MS" w:hAnsi="Trebuchet MS"/>
          <w:b/>
        </w:rPr>
        <w:t>minimis</w:t>
      </w:r>
      <w:proofErr w:type="spellEnd"/>
      <w:r w:rsidRPr="001C60C8">
        <w:rPr>
          <w:rFonts w:ascii="Trebuchet MS" w:hAnsi="Trebuchet MS"/>
          <w:b/>
        </w:rPr>
        <w:t xml:space="preserve">. Zgodnie z nim pomoc de </w:t>
      </w:r>
      <w:proofErr w:type="spellStart"/>
      <w:r w:rsidRPr="001C60C8">
        <w:rPr>
          <w:rFonts w:ascii="Trebuchet MS" w:hAnsi="Trebuchet MS"/>
          <w:b/>
        </w:rPr>
        <w:t>minimis</w:t>
      </w:r>
      <w:proofErr w:type="spellEnd"/>
      <w:r w:rsidRPr="001C60C8">
        <w:rPr>
          <w:rFonts w:ascii="Trebuchet MS" w:hAnsi="Trebuchet MS"/>
          <w:b/>
        </w:rPr>
        <w:t xml:space="preserve"> może być jedynie udzielona w przypadku pomocy uznanej za przejrzystą, tj. jeżeli możliwe jest obliczenie ekwiwalentu dotacji brutto bez konieczności przeprowadzenia oceny ryzyka. Przykładem pomocy przejrzystej jest dotacja, gdzie cała jej wartość jest ekwiwalentem dotacji brutto.</w:t>
      </w:r>
    </w:p>
    <w:p w:rsidR="00A42A09" w:rsidRPr="00A42A09" w:rsidRDefault="00A42A09" w:rsidP="00A42A09">
      <w:pPr>
        <w:spacing w:line="360" w:lineRule="auto"/>
        <w:jc w:val="both"/>
        <w:rPr>
          <w:rFonts w:ascii="Trebuchet MS" w:hAnsi="Trebuchet MS"/>
        </w:rPr>
      </w:pPr>
      <w:r w:rsidRPr="00A42A09">
        <w:rPr>
          <w:rFonts w:ascii="Trebuchet MS" w:hAnsi="Trebuchet MS"/>
        </w:rPr>
        <w:t xml:space="preserve">W trosce o przejrzystość i równe traktowanie przedsiębiorstw wszystkie państwa członkowskie powinny stosować tę samą metodę wyliczania wartości pomocy de </w:t>
      </w:r>
      <w:proofErr w:type="spellStart"/>
      <w:r w:rsidRPr="00A42A09">
        <w:rPr>
          <w:rFonts w:ascii="Trebuchet MS" w:hAnsi="Trebuchet MS"/>
        </w:rPr>
        <w:t>mininmis</w:t>
      </w:r>
      <w:proofErr w:type="spellEnd"/>
      <w:r w:rsidRPr="00A42A09">
        <w:rPr>
          <w:rFonts w:ascii="Trebuchet MS" w:hAnsi="Trebuchet MS"/>
        </w:rPr>
        <w:t xml:space="preserve"> przyznanej w innej formie niż dotacje (np. pożyczka, poręczenie). Oblicza się go po to, aby określić rzeczywistą pomoc udzieloną beneficjentowi, nie przekraczając przy tym określonego w przepisach pułapu. </w:t>
      </w:r>
    </w:p>
    <w:p w:rsidR="00A42A09" w:rsidRPr="00A42A09" w:rsidRDefault="00A42A09" w:rsidP="00A42A09">
      <w:pPr>
        <w:spacing w:line="360" w:lineRule="auto"/>
        <w:jc w:val="both"/>
        <w:rPr>
          <w:rFonts w:ascii="Trebuchet MS" w:hAnsi="Trebuchet MS"/>
        </w:rPr>
      </w:pPr>
      <w:r w:rsidRPr="00A42A09">
        <w:rPr>
          <w:rFonts w:ascii="Trebuchet MS" w:hAnsi="Trebuchet MS"/>
          <w:b/>
        </w:rPr>
        <w:t>Ekwiwalent dotacji brutto jest</w:t>
      </w:r>
      <w:r w:rsidRPr="00A42A09">
        <w:rPr>
          <w:rFonts w:ascii="Trebuchet MS" w:hAnsi="Trebuchet MS"/>
        </w:rPr>
        <w:t xml:space="preserve"> to kwota pomocy, jaką otrzymałby beneficjent pomocy, gdyby otrzymał wsparcie w formie dotacji, niepomniejszoną o podatek dochodowy. </w:t>
      </w:r>
    </w:p>
    <w:p w:rsidR="00A42A09" w:rsidRPr="00A42A09" w:rsidRDefault="00A42A09" w:rsidP="00A42A09">
      <w:pPr>
        <w:spacing w:line="360" w:lineRule="auto"/>
        <w:jc w:val="both"/>
        <w:rPr>
          <w:rFonts w:ascii="Trebuchet MS" w:hAnsi="Trebuchet MS"/>
        </w:rPr>
      </w:pPr>
      <w:r w:rsidRPr="00A42A09">
        <w:rPr>
          <w:rFonts w:ascii="Trebuchet MS" w:hAnsi="Trebuchet MS"/>
        </w:rPr>
        <w:t xml:space="preserve">W przypadku udzielania pomocy de </w:t>
      </w:r>
      <w:proofErr w:type="spellStart"/>
      <w:r w:rsidRPr="00A42A09">
        <w:rPr>
          <w:rFonts w:ascii="Trebuchet MS" w:hAnsi="Trebuchet MS"/>
        </w:rPr>
        <w:t>minimis</w:t>
      </w:r>
      <w:proofErr w:type="spellEnd"/>
      <w:r w:rsidRPr="00A42A09">
        <w:rPr>
          <w:rFonts w:ascii="Trebuchet MS" w:hAnsi="Trebuchet MS"/>
        </w:rPr>
        <w:t xml:space="preserve"> w formie pożyczek, pomoc uznaje się za przejrzystą jeżeli ekwiwalent dotacji brutto został obliczony na podstawie dwóch metod zaproponowanych przez Komisję. Pierwszy sposób ma uprościć obsługę niewielkich pożyczek udzielanych na krótki okres, uwzględnia kwotę pożyczki, jak i czas jej trwania.</w:t>
      </w:r>
    </w:p>
    <w:p w:rsidR="00A42A09" w:rsidRPr="00A42A09" w:rsidRDefault="00A42A09" w:rsidP="00A42A09">
      <w:pPr>
        <w:spacing w:line="360" w:lineRule="auto"/>
        <w:jc w:val="both"/>
        <w:rPr>
          <w:rFonts w:ascii="Trebuchet MS" w:hAnsi="Trebuchet MS"/>
        </w:rPr>
      </w:pPr>
      <w:r w:rsidRPr="00A42A09">
        <w:rPr>
          <w:rFonts w:ascii="Trebuchet MS" w:hAnsi="Trebuchet MS"/>
        </w:rPr>
        <w:t xml:space="preserve">Ta metoda dotyczy </w:t>
      </w:r>
      <w:proofErr w:type="spellStart"/>
      <w:r w:rsidRPr="00A42A09">
        <w:rPr>
          <w:rFonts w:ascii="Trebuchet MS" w:hAnsi="Trebuchet MS"/>
        </w:rPr>
        <w:t>pożyczeknie</w:t>
      </w:r>
      <w:proofErr w:type="spellEnd"/>
      <w:r w:rsidRPr="00A42A09">
        <w:rPr>
          <w:rFonts w:ascii="Trebuchet MS" w:hAnsi="Trebuchet MS"/>
        </w:rPr>
        <w:t xml:space="preserve"> przekraczających 1 000 000 EUR (dla przedsiębiorstw działających w sektorze transportu drogowego towarów – 500 000 EUR) w okresie 5 lat i objętych zabezpieczeniem pokrywającym co najmniej 50% jej kwoty . W przypadku udzielenia pożyczki na okres od 5 do 10 lat jej kwota może wynosić maksymalnie 500 000 EUR (dla przedsiębiorstw działających w sektorze transportu drogowego towarów – 250 000 EUR). Należy zauważyć,</w:t>
      </w:r>
      <w:r w:rsidR="001D6115">
        <w:rPr>
          <w:rFonts w:ascii="Trebuchet MS" w:hAnsi="Trebuchet MS"/>
        </w:rPr>
        <w:t xml:space="preserve"> </w:t>
      </w:r>
      <w:r w:rsidRPr="00A42A09">
        <w:rPr>
          <w:rFonts w:ascii="Trebuchet MS" w:hAnsi="Trebuchet MS"/>
        </w:rPr>
        <w:t>że pożyczka udzielana na więcej niż 10 lat nie może zostać uznana jako pomoc</w:t>
      </w:r>
      <w:r w:rsidR="001D6115">
        <w:rPr>
          <w:rFonts w:ascii="Trebuchet MS" w:hAnsi="Trebuchet MS"/>
        </w:rPr>
        <w:t xml:space="preserve"> </w:t>
      </w:r>
      <w:r w:rsidRPr="00A42A09">
        <w:rPr>
          <w:rFonts w:ascii="Trebuchet MS" w:hAnsi="Trebuchet MS"/>
        </w:rPr>
        <w:t xml:space="preserve">de </w:t>
      </w:r>
      <w:proofErr w:type="spellStart"/>
      <w:r w:rsidRPr="00A42A09">
        <w:rPr>
          <w:rFonts w:ascii="Trebuchet MS" w:hAnsi="Trebuchet MS"/>
        </w:rPr>
        <w:t>minimis</w:t>
      </w:r>
      <w:proofErr w:type="spellEnd"/>
      <w:r w:rsidRPr="00A42A09">
        <w:rPr>
          <w:rFonts w:ascii="Trebuchet MS" w:hAnsi="Trebuchet MS"/>
        </w:rPr>
        <w:t xml:space="preserve">. Jeżeli kwota pożyczki jest niższa niż wyżej wymienione kwoty lub </w:t>
      </w:r>
      <w:r w:rsidRPr="00A42A09">
        <w:rPr>
          <w:rFonts w:ascii="Trebuchet MS" w:hAnsi="Trebuchet MS"/>
        </w:rPr>
        <w:lastRenderedPageBreak/>
        <w:t xml:space="preserve">udzielono jej na mniej niż 5 lub 10 lat, ekwiwalent dotacji brutto tej pożyczki obliczany jest jako odpowiedni odsetek maksymalnego pułapu pomocy de </w:t>
      </w:r>
      <w:proofErr w:type="spellStart"/>
      <w:r w:rsidRPr="00A42A09">
        <w:rPr>
          <w:rFonts w:ascii="Trebuchet MS" w:hAnsi="Trebuchet MS"/>
        </w:rPr>
        <w:t>minimis</w:t>
      </w:r>
      <w:proofErr w:type="spellEnd"/>
      <w:r w:rsidRPr="00A42A09">
        <w:rPr>
          <w:rFonts w:ascii="Trebuchet MS" w:hAnsi="Trebuchet MS"/>
        </w:rPr>
        <w:t xml:space="preserve"> wynoszącego 200 000 EUR albo 100 000 EUR w odniesieniu do podmiotów działających w sektorze transportu drogowego.</w:t>
      </w:r>
    </w:p>
    <w:p w:rsidR="00A42A09" w:rsidRPr="00A42A09" w:rsidRDefault="00A42A09" w:rsidP="00A42A09">
      <w:pPr>
        <w:spacing w:line="360" w:lineRule="auto"/>
        <w:jc w:val="both"/>
        <w:rPr>
          <w:rFonts w:ascii="Trebuchet MS" w:hAnsi="Trebuchet MS"/>
        </w:rPr>
      </w:pPr>
      <w:r w:rsidRPr="00A42A09">
        <w:rPr>
          <w:rFonts w:ascii="Trebuchet MS" w:hAnsi="Trebuchet MS"/>
        </w:rPr>
        <w:t>Przykładowy wzór na obliczenie ekwiwalentu dotacji brutto zgodnie z art. 4 ust. 3 lit. b rozporządzenia Komisji Nr 1407/2013:</w:t>
      </w:r>
    </w:p>
    <w:p w:rsidR="00A42A09" w:rsidRPr="00A42A09" w:rsidRDefault="00A42A09" w:rsidP="00A42A09">
      <w:pPr>
        <w:spacing w:line="360" w:lineRule="auto"/>
        <w:jc w:val="both"/>
        <w:rPr>
          <w:rFonts w:ascii="Trebuchet MS" w:hAnsi="Trebuchet MS"/>
        </w:rPr>
      </w:pPr>
      <w:r w:rsidRPr="00A42A09">
        <w:rPr>
          <w:rFonts w:ascii="Trebuchet MS" w:hAnsi="Trebuchet MS"/>
        </w:rPr>
        <w:t xml:space="preserve">W przypadku przedsiębiorstw niedziałających w transporcie drogowym towarów  </w:t>
      </w:r>
    </w:p>
    <w:p w:rsidR="00A42A09" w:rsidRPr="00A42A09" w:rsidRDefault="00A42A09" w:rsidP="00A42A09">
      <w:pPr>
        <w:spacing w:line="360" w:lineRule="auto"/>
        <w:jc w:val="both"/>
        <w:rPr>
          <w:rFonts w:ascii="Trebuchet MS" w:hAnsi="Trebuchet MS"/>
          <w:b/>
        </w:rPr>
      </w:pPr>
      <w:proofErr w:type="spellStart"/>
      <w:r w:rsidRPr="00A42A09">
        <w:rPr>
          <w:rFonts w:ascii="Trebuchet MS" w:hAnsi="Trebuchet MS"/>
          <w:b/>
        </w:rPr>
        <w:t>EDB=z</w:t>
      </w:r>
      <w:proofErr w:type="spellEnd"/>
      <w:r w:rsidRPr="00A42A09">
        <w:rPr>
          <w:rFonts w:ascii="Trebuchet MS" w:hAnsi="Trebuchet MS"/>
          <w:b/>
        </w:rPr>
        <w:t>*(200000/1000000)*(y/60)</w:t>
      </w:r>
    </w:p>
    <w:p w:rsidR="00A42A09" w:rsidRPr="00A42A09" w:rsidRDefault="00A42A09" w:rsidP="00A42A09">
      <w:pPr>
        <w:spacing w:line="360" w:lineRule="auto"/>
        <w:jc w:val="both"/>
        <w:rPr>
          <w:rFonts w:ascii="Trebuchet MS" w:hAnsi="Trebuchet MS"/>
        </w:rPr>
      </w:pPr>
      <w:r w:rsidRPr="00A42A09">
        <w:rPr>
          <w:rFonts w:ascii="Trebuchet MS" w:hAnsi="Trebuchet MS"/>
        </w:rPr>
        <w:t xml:space="preserve">W przypadku przedsiębiorstw działających w transporcie drogowym towarów </w:t>
      </w:r>
    </w:p>
    <w:p w:rsidR="00A42A09" w:rsidRPr="00A42A09" w:rsidRDefault="00A42A09" w:rsidP="00A42A09">
      <w:pPr>
        <w:spacing w:line="360" w:lineRule="auto"/>
        <w:jc w:val="both"/>
        <w:rPr>
          <w:rFonts w:ascii="Trebuchet MS" w:hAnsi="Trebuchet MS"/>
          <w:b/>
        </w:rPr>
      </w:pPr>
      <w:proofErr w:type="spellStart"/>
      <w:r w:rsidRPr="00A42A09">
        <w:rPr>
          <w:rFonts w:ascii="Trebuchet MS" w:hAnsi="Trebuchet MS"/>
          <w:b/>
        </w:rPr>
        <w:t>EDB=z</w:t>
      </w:r>
      <w:proofErr w:type="spellEnd"/>
      <w:r w:rsidRPr="00A42A09">
        <w:rPr>
          <w:rFonts w:ascii="Trebuchet MS" w:hAnsi="Trebuchet MS"/>
          <w:b/>
        </w:rPr>
        <w:t>*(200000/500000)*(y/60)</w:t>
      </w:r>
    </w:p>
    <w:p w:rsidR="00A42A09" w:rsidRPr="00A42A09" w:rsidRDefault="00A42A09" w:rsidP="00A42A09">
      <w:pPr>
        <w:spacing w:line="360" w:lineRule="auto"/>
        <w:jc w:val="both"/>
        <w:rPr>
          <w:rFonts w:ascii="Trebuchet MS" w:hAnsi="Trebuchet MS"/>
        </w:rPr>
      </w:pPr>
      <w:r w:rsidRPr="00A42A09">
        <w:rPr>
          <w:rFonts w:ascii="Trebuchet MS" w:hAnsi="Trebuchet MS"/>
        </w:rPr>
        <w:t>gdzie:</w:t>
      </w:r>
    </w:p>
    <w:p w:rsidR="00A42A09" w:rsidRPr="00A42A09" w:rsidRDefault="00A42A09" w:rsidP="00A42A09">
      <w:pPr>
        <w:spacing w:line="360" w:lineRule="auto"/>
        <w:jc w:val="both"/>
        <w:rPr>
          <w:rFonts w:ascii="Trebuchet MS" w:hAnsi="Trebuchet MS"/>
        </w:rPr>
      </w:pPr>
      <w:r w:rsidRPr="00A42A09">
        <w:rPr>
          <w:rFonts w:ascii="Trebuchet MS" w:hAnsi="Trebuchet MS"/>
        </w:rPr>
        <w:t>EDB – ekwiwalent dotacji brutto</w:t>
      </w:r>
    </w:p>
    <w:p w:rsidR="00A42A09" w:rsidRPr="00A42A09" w:rsidRDefault="00A42A09" w:rsidP="00A42A09">
      <w:pPr>
        <w:spacing w:line="360" w:lineRule="auto"/>
        <w:jc w:val="both"/>
        <w:rPr>
          <w:rFonts w:ascii="Trebuchet MS" w:hAnsi="Trebuchet MS"/>
        </w:rPr>
      </w:pPr>
      <w:r w:rsidRPr="00A42A09">
        <w:rPr>
          <w:rFonts w:ascii="Trebuchet MS" w:hAnsi="Trebuchet MS"/>
        </w:rPr>
        <w:t>z - kwota pożyczki</w:t>
      </w:r>
    </w:p>
    <w:p w:rsidR="00A42A09" w:rsidRPr="00A42A09" w:rsidRDefault="00A42A09" w:rsidP="00A42A09">
      <w:pPr>
        <w:spacing w:line="360" w:lineRule="auto"/>
        <w:jc w:val="both"/>
        <w:rPr>
          <w:rFonts w:ascii="Trebuchet MS" w:hAnsi="Trebuchet MS"/>
        </w:rPr>
      </w:pPr>
      <w:r w:rsidRPr="00A42A09">
        <w:rPr>
          <w:rFonts w:ascii="Trebuchet MS" w:hAnsi="Trebuchet MS"/>
        </w:rPr>
        <w:t>y - okres pożyczki wyrażony w miesiącach, nie dłuższy niż 10 lat</w:t>
      </w:r>
    </w:p>
    <w:p w:rsidR="00A42A09" w:rsidRPr="00A42A09" w:rsidRDefault="00A42A09" w:rsidP="00A42A09">
      <w:pPr>
        <w:spacing w:line="360" w:lineRule="auto"/>
        <w:jc w:val="both"/>
        <w:rPr>
          <w:rFonts w:ascii="Trebuchet MS" w:hAnsi="Trebuchet MS"/>
        </w:rPr>
      </w:pPr>
      <w:r w:rsidRPr="00A42A09">
        <w:rPr>
          <w:rFonts w:ascii="Trebuchet MS" w:hAnsi="Trebuchet MS"/>
        </w:rPr>
        <w:t xml:space="preserve">Druga metoda bazuje na rynkowych stopach procentowych obowiązujących w chwili udzielenia pomocy. Szczegółowe zasady oraz wzory są opisane w § 4 </w:t>
      </w:r>
      <w:proofErr w:type="spellStart"/>
      <w:r w:rsidRPr="00A42A09">
        <w:rPr>
          <w:rFonts w:ascii="Trebuchet MS" w:hAnsi="Trebuchet MS"/>
        </w:rPr>
        <w:t>pkt</w:t>
      </w:r>
      <w:proofErr w:type="spellEnd"/>
      <w:r w:rsidRPr="00A42A09">
        <w:rPr>
          <w:rFonts w:ascii="Trebuchet MS" w:hAnsi="Trebuchet MS"/>
        </w:rPr>
        <w:t xml:space="preserve"> 5 rozporządzenia Rady Ministrów </w:t>
      </w:r>
      <w:r w:rsidR="00D36027">
        <w:rPr>
          <w:rFonts w:ascii="Trebuchet MS" w:hAnsi="Trebuchet MS"/>
        </w:rPr>
        <w:t xml:space="preserve">z </w:t>
      </w:r>
      <w:r w:rsidRPr="00A42A09">
        <w:rPr>
          <w:rFonts w:ascii="Trebuchet MS" w:hAnsi="Trebuchet MS"/>
        </w:rPr>
        <w:t>11 sierpnia 2004</w:t>
      </w:r>
      <w:r w:rsidR="00D36027">
        <w:rPr>
          <w:rFonts w:ascii="Trebuchet MS" w:hAnsi="Trebuchet MS"/>
        </w:rPr>
        <w:t xml:space="preserve"> r.</w:t>
      </w:r>
      <w:r w:rsidRPr="00A42A09">
        <w:rPr>
          <w:rFonts w:ascii="Trebuchet MS" w:hAnsi="Trebuchet MS"/>
        </w:rPr>
        <w:t xml:space="preserve"> w sprawie szczegółowego sposobu obliczania wartości pomocy publicznej udzielanej w różnych formach.</w:t>
      </w:r>
    </w:p>
    <w:p w:rsidR="00A42A09" w:rsidRPr="00A42A09" w:rsidRDefault="00A42A09" w:rsidP="00A42A09">
      <w:pPr>
        <w:spacing w:line="360" w:lineRule="auto"/>
        <w:jc w:val="both"/>
        <w:rPr>
          <w:rFonts w:ascii="Trebuchet MS" w:hAnsi="Trebuchet MS"/>
        </w:rPr>
      </w:pPr>
      <w:r w:rsidRPr="00A42A09">
        <w:rPr>
          <w:rFonts w:ascii="Trebuchet MS" w:hAnsi="Trebuchet MS"/>
        </w:rPr>
        <w:t>Niezależnie od wybranej metody obliczania ekwiwalentu dotacji brutto, beneficjent pomocy</w:t>
      </w:r>
      <w:r w:rsidR="001D6115">
        <w:rPr>
          <w:rFonts w:ascii="Trebuchet MS" w:hAnsi="Trebuchet MS"/>
        </w:rPr>
        <w:t xml:space="preserve"> </w:t>
      </w:r>
      <w:r w:rsidRPr="00A42A09">
        <w:rPr>
          <w:rFonts w:ascii="Trebuchet MS" w:hAnsi="Trebuchet MS"/>
        </w:rPr>
        <w:t xml:space="preserve">de </w:t>
      </w:r>
      <w:proofErr w:type="spellStart"/>
      <w:r w:rsidRPr="00A42A09">
        <w:rPr>
          <w:rFonts w:ascii="Trebuchet MS" w:hAnsi="Trebuchet MS"/>
        </w:rPr>
        <w:t>minimis</w:t>
      </w:r>
      <w:proofErr w:type="spellEnd"/>
      <w:r w:rsidRPr="00A42A09">
        <w:rPr>
          <w:rFonts w:ascii="Trebuchet MS" w:hAnsi="Trebuchet MS"/>
        </w:rPr>
        <w:t xml:space="preserve"> udzielanej w formie pożyczek, nie może spełniać kryteriów kwalifikujących go do objęcia postępowaniem upadłościowym. Natomiast przedsiębiorstwo inne niż mikro, małe lub średnie nie może znajdować się w sytuacji gorszej niż sytuacja kwalifikująca się do oceny kredytowej B-.</w:t>
      </w:r>
    </w:p>
    <w:p w:rsidR="00A42A09" w:rsidRPr="00A42A09" w:rsidRDefault="00A42A09" w:rsidP="00A42A09">
      <w:pPr>
        <w:spacing w:line="360" w:lineRule="auto"/>
        <w:jc w:val="both"/>
        <w:rPr>
          <w:rFonts w:ascii="Trebuchet MS" w:hAnsi="Trebuchet MS"/>
        </w:rPr>
      </w:pPr>
      <w:r w:rsidRPr="00A42A09">
        <w:rPr>
          <w:rFonts w:ascii="Trebuchet MS" w:hAnsi="Trebuchet MS"/>
        </w:rPr>
        <w:t>Ponadto, opisane sposoby obliczania ekwiwalentu dotacji brutto mogą być stosowane wymiennie pod warunkiem, że program pomocowy nie wskazuje konkretnego sposobu obliczania.</w:t>
      </w:r>
    </w:p>
    <w:p w:rsidR="007D0C4F" w:rsidRPr="00A42A09" w:rsidRDefault="0035473A" w:rsidP="00A42A09">
      <w:pPr>
        <w:spacing w:line="360" w:lineRule="auto"/>
        <w:jc w:val="both"/>
        <w:rPr>
          <w:rFonts w:ascii="Trebuchet MS" w:hAnsi="Trebuchet MS"/>
        </w:rPr>
      </w:pPr>
      <w:r w:rsidRPr="00A42A09">
        <w:rPr>
          <w:rFonts w:ascii="Trebuchet MS" w:hAnsi="Trebuchet MS"/>
        </w:rPr>
        <w:t xml:space="preserve">Artykuł ukazał się </w:t>
      </w:r>
      <w:r w:rsidR="00A42A09" w:rsidRPr="00A42A09">
        <w:rPr>
          <w:rFonts w:ascii="Trebuchet MS" w:hAnsi="Trebuchet MS"/>
        </w:rPr>
        <w:t>4 listopada</w:t>
      </w:r>
      <w:r w:rsidRPr="00A42A09">
        <w:rPr>
          <w:rFonts w:ascii="Trebuchet MS" w:hAnsi="Trebuchet MS"/>
        </w:rPr>
        <w:t xml:space="preserve"> 2014 roku w Dzienniku Gazecie Prawnej.</w:t>
      </w:r>
    </w:p>
    <w:sectPr w:rsidR="007D0C4F" w:rsidRPr="00A42A09" w:rsidSect="009D35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74" w:rsidRDefault="005D2474" w:rsidP="007D0C4F">
      <w:pPr>
        <w:spacing w:after="0" w:line="240" w:lineRule="auto"/>
      </w:pPr>
      <w:r>
        <w:separator/>
      </w:r>
    </w:p>
  </w:endnote>
  <w:endnote w:type="continuationSeparator" w:id="0">
    <w:p w:rsidR="005D2474" w:rsidRDefault="005D2474" w:rsidP="007D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4F" w:rsidRDefault="008D35E6">
    <w:pPr>
      <w:pStyle w:val="Stopka"/>
    </w:pPr>
    <w:r>
      <w:rPr>
        <w:noProof/>
      </w:rPr>
      <w:pict>
        <v:line id="Łącznik prostoliniowy 8" o:spid="_x0000_s2067" style="position:absolute;flip:y;z-index:-251656704;visibility:visible" from="232.85pt,756pt" to="250.85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"/>
      </w:pict>
    </w:r>
    <w:r>
      <w:rPr>
        <w:noProof/>
      </w:rPr>
      <w:pict>
        <v:line id="Łącznik prostoliniowy 7" o:spid="_x0000_s2066" style="position:absolute;z-index:-251657728;visibility:visible" from="214.85pt,756pt" to="232.85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"/>
      </w:pict>
    </w:r>
    <w:r w:rsidR="00DE51D7">
      <w:rPr>
        <w:noProof/>
        <w:lang w:eastAsia="pl-PL"/>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9715500</wp:posOffset>
          </wp:positionV>
          <wp:extent cx="1485900" cy="534670"/>
          <wp:effectExtent l="19050" t="0" r="0" b="0"/>
          <wp:wrapNone/>
          <wp:docPr id="17" name="Obraz 6"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uokik PL- jpg"/>
                  <pic:cNvPicPr>
                    <a:picLocks noChangeAspect="1" noChangeArrowheads="1"/>
                  </pic:cNvPicPr>
                </pic:nvPicPr>
                <pic:blipFill>
                  <a:blip r:embed="rId1"/>
                  <a:srcRect/>
                  <a:stretch>
                    <a:fillRect/>
                  </a:stretch>
                </pic:blipFill>
                <pic:spPr bwMode="auto">
                  <a:xfrm>
                    <a:off x="0" y="0"/>
                    <a:ext cx="1485900" cy="534670"/>
                  </a:xfrm>
                  <a:prstGeom prst="rect">
                    <a:avLst/>
                  </a:prstGeom>
                  <a:noFill/>
                  <a:ln w="9525">
                    <a:noFill/>
                    <a:miter lim="800000"/>
                    <a:headEnd/>
                    <a:tailEnd/>
                  </a:ln>
                </pic:spPr>
              </pic:pic>
            </a:graphicData>
          </a:graphic>
        </wp:anchor>
      </w:drawing>
    </w:r>
    <w:r w:rsidR="00DE51D7">
      <w:rPr>
        <w:noProof/>
        <w:lang w:eastAsia="pl-PL"/>
      </w:rPr>
      <w:drawing>
        <wp:anchor distT="0" distB="0" distL="114300" distR="114300" simplePos="0" relativeHeight="251656704" behindDoc="1" locked="0" layoutInCell="1" allowOverlap="1">
          <wp:simplePos x="0" y="0"/>
          <wp:positionH relativeFrom="column">
            <wp:posOffset>3268345</wp:posOffset>
          </wp:positionH>
          <wp:positionV relativeFrom="paragraph">
            <wp:posOffset>9759315</wp:posOffset>
          </wp:positionV>
          <wp:extent cx="1485900" cy="534670"/>
          <wp:effectExtent l="19050" t="0" r="0" b="0"/>
          <wp:wrapNone/>
          <wp:docPr id="16" name="Obraz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uokik PL- jpg"/>
                  <pic:cNvPicPr>
                    <a:picLocks noChangeAspect="1" noChangeArrowheads="1"/>
                  </pic:cNvPicPr>
                </pic:nvPicPr>
                <pic:blipFill>
                  <a:blip r:embed="rId1"/>
                  <a:srcRect/>
                  <a:stretch>
                    <a:fillRect/>
                  </a:stretch>
                </pic:blipFill>
                <pic:spPr bwMode="auto">
                  <a:xfrm>
                    <a:off x="0" y="0"/>
                    <a:ext cx="1485900" cy="534670"/>
                  </a:xfrm>
                  <a:prstGeom prst="rect">
                    <a:avLst/>
                  </a:prstGeom>
                  <a:noFill/>
                  <a:ln w="9525">
                    <a:noFill/>
                    <a:miter lim="800000"/>
                    <a:headEnd/>
                    <a:tailEnd/>
                  </a:ln>
                </pic:spPr>
              </pic:pic>
            </a:graphicData>
          </a:graphic>
        </wp:anchor>
      </w:drawing>
    </w:r>
    <w:r w:rsidR="00DE51D7">
      <w:rPr>
        <w:noProof/>
        <w:lang w:eastAsia="pl-PL"/>
      </w:rPr>
      <w:drawing>
        <wp:anchor distT="0" distB="0" distL="114300" distR="114300" simplePos="0" relativeHeight="251655680" behindDoc="1" locked="0" layoutInCell="1" allowOverlap="1">
          <wp:simplePos x="0" y="0"/>
          <wp:positionH relativeFrom="column">
            <wp:posOffset>3268345</wp:posOffset>
          </wp:positionH>
          <wp:positionV relativeFrom="paragraph">
            <wp:posOffset>9759315</wp:posOffset>
          </wp:positionV>
          <wp:extent cx="1485900" cy="534670"/>
          <wp:effectExtent l="19050" t="0" r="0" b="0"/>
          <wp:wrapNone/>
          <wp:docPr id="15" name="Obraz 3"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okik PL- jpg"/>
                  <pic:cNvPicPr>
                    <a:picLocks noChangeAspect="1" noChangeArrowheads="1"/>
                  </pic:cNvPicPr>
                </pic:nvPicPr>
                <pic:blipFill>
                  <a:blip r:embed="rId1"/>
                  <a:srcRect/>
                  <a:stretch>
                    <a:fillRect/>
                  </a:stretch>
                </pic:blipFill>
                <pic:spPr bwMode="auto">
                  <a:xfrm>
                    <a:off x="0" y="0"/>
                    <a:ext cx="1485900" cy="534670"/>
                  </a:xfrm>
                  <a:prstGeom prst="rect">
                    <a:avLst/>
                  </a:prstGeom>
                  <a:noFill/>
                  <a:ln w="9525">
                    <a:noFill/>
                    <a:miter lim="800000"/>
                    <a:headEnd/>
                    <a:tailEnd/>
                  </a:ln>
                </pic:spPr>
              </pic:pic>
            </a:graphicData>
          </a:graphic>
        </wp:anchor>
      </w:drawing>
    </w:r>
    <w:r w:rsidR="00DE51D7">
      <w:rPr>
        <w:noProof/>
        <w:lang w:eastAsia="pl-PL"/>
      </w:rPr>
      <w:drawing>
        <wp:anchor distT="0" distB="0" distL="114300" distR="114300" simplePos="0" relativeHeight="251654656" behindDoc="1" locked="0" layoutInCell="1" allowOverlap="1">
          <wp:simplePos x="0" y="0"/>
          <wp:positionH relativeFrom="column">
            <wp:posOffset>1077595</wp:posOffset>
          </wp:positionH>
          <wp:positionV relativeFrom="paragraph">
            <wp:posOffset>9718040</wp:posOffset>
          </wp:positionV>
          <wp:extent cx="1485900" cy="534670"/>
          <wp:effectExtent l="19050" t="0" r="0" b="0"/>
          <wp:wrapNone/>
          <wp:docPr id="14" name="Obraz 2"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okik PL- jpg"/>
                  <pic:cNvPicPr>
                    <a:picLocks noChangeAspect="1" noChangeArrowheads="1"/>
                  </pic:cNvPicPr>
                </pic:nvPicPr>
                <pic:blipFill>
                  <a:blip r:embed="rId1"/>
                  <a:srcRect/>
                  <a:stretch>
                    <a:fillRect/>
                  </a:stretch>
                </pic:blipFill>
                <pic:spPr bwMode="auto">
                  <a:xfrm>
                    <a:off x="0" y="0"/>
                    <a:ext cx="1485900" cy="534670"/>
                  </a:xfrm>
                  <a:prstGeom prst="rect">
                    <a:avLst/>
                  </a:prstGeom>
                  <a:noFill/>
                  <a:ln w="9525">
                    <a:noFill/>
                    <a:miter lim="800000"/>
                    <a:headEnd/>
                    <a:tailEnd/>
                  </a:ln>
                </pic:spPr>
              </pic:pic>
            </a:graphicData>
          </a:graphic>
        </wp:anchor>
      </w:drawing>
    </w:r>
    <w:r w:rsidR="00DE51D7">
      <w:rPr>
        <w:noProof/>
        <w:lang w:eastAsia="pl-PL"/>
      </w:rPr>
      <w:drawing>
        <wp:inline distT="0" distB="0" distL="0" distR="0">
          <wp:extent cx="5743575" cy="704850"/>
          <wp:effectExtent l="19050" t="0" r="9525"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srcRect/>
                  <a:stretch>
                    <a:fillRect/>
                  </a:stretch>
                </pic:blipFill>
                <pic:spPr bwMode="auto">
                  <a:xfrm>
                    <a:off x="0" y="0"/>
                    <a:ext cx="5743575" cy="704850"/>
                  </a:xfrm>
                  <a:prstGeom prst="rect">
                    <a:avLst/>
                  </a:prstGeom>
                  <a:noFill/>
                  <a:ln w="9525">
                    <a:noFill/>
                    <a:miter lim="800000"/>
                    <a:headEnd/>
                    <a:tailEnd/>
                  </a:ln>
                </pic:spPr>
              </pic:pic>
            </a:graphicData>
          </a:graphic>
        </wp:inline>
      </w:drawing>
    </w:r>
    <w:r>
      <w:rPr>
        <w:noProof/>
      </w:rPr>
      <w:pict>
        <v:line id="Łącznik prostoliniowy 11" o:spid="_x0000_s2061" style="position:absolute;z-index:-251655680;visibility:visible;mso-position-horizontal-relative:text;mso-position-vertical-relative:text" from="163pt,420.65pt" to="433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74" w:rsidRDefault="005D2474" w:rsidP="007D0C4F">
      <w:pPr>
        <w:spacing w:after="0" w:line="240" w:lineRule="auto"/>
      </w:pPr>
      <w:r>
        <w:separator/>
      </w:r>
    </w:p>
  </w:footnote>
  <w:footnote w:type="continuationSeparator" w:id="0">
    <w:p w:rsidR="005D2474" w:rsidRDefault="005D2474" w:rsidP="007D0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4F" w:rsidRDefault="00F33748">
    <w:pPr>
      <w:pStyle w:val="Nagwek"/>
    </w:pPr>
    <w:r>
      <w:rPr>
        <w:noProof/>
        <w:lang w:eastAsia="pl-PL"/>
      </w:rPr>
      <w:drawing>
        <wp:inline distT="0" distB="0" distL="0" distR="0">
          <wp:extent cx="5760720" cy="7245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p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724535"/>
                  </a:xfrm>
                  <a:prstGeom prst="rect">
                    <a:avLst/>
                  </a:prstGeom>
                </pic:spPr>
              </pic:pic>
            </a:graphicData>
          </a:graphic>
        </wp:inline>
      </w:drawing>
    </w:r>
  </w:p>
  <w:p w:rsidR="007D0C4F" w:rsidRDefault="007D0C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F14"/>
    <w:multiLevelType w:val="hybridMultilevel"/>
    <w:tmpl w:val="51DCFAAA"/>
    <w:lvl w:ilvl="0" w:tplc="4BBAA714">
      <w:start w:val="1"/>
      <w:numFmt w:val="bullet"/>
      <w:lvlText w:val="−"/>
      <w:lvlJc w:val="left"/>
      <w:pPr>
        <w:tabs>
          <w:tab w:val="num" w:pos="1428"/>
        </w:tabs>
        <w:ind w:left="1428" w:hanging="360"/>
      </w:pPr>
      <w:rPr>
        <w:rFonts w:ascii="Times New Roman" w:hAnsi="Times New Roman" w:cs="Times New Roman" w:hint="default"/>
      </w:rPr>
    </w:lvl>
    <w:lvl w:ilvl="1" w:tplc="06FE8686">
      <w:start w:val="1"/>
      <w:numFmt w:val="bullet"/>
      <w:lvlText w:val=""/>
      <w:lvlJc w:val="left"/>
      <w:pPr>
        <w:tabs>
          <w:tab w:val="num" w:pos="340"/>
        </w:tabs>
        <w:ind w:left="340" w:hanging="34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E80751E"/>
    <w:multiLevelType w:val="hybridMultilevel"/>
    <w:tmpl w:val="AE1E5510"/>
    <w:lvl w:ilvl="0" w:tplc="54883AFA">
      <w:start w:val="1"/>
      <w:numFmt w:val="lowerLetter"/>
      <w:lvlText w:val="%1)"/>
      <w:lvlJc w:val="left"/>
      <w:pPr>
        <w:tabs>
          <w:tab w:val="num" w:pos="340"/>
        </w:tabs>
        <w:ind w:left="340" w:hanging="340"/>
      </w:pPr>
      <w:rPr>
        <w:rFonts w:hint="default"/>
        <w:b w:val="0"/>
        <w:i w:val="0"/>
        <w:color w:val="auto"/>
        <w:sz w:val="24"/>
      </w:rPr>
    </w:lvl>
    <w:lvl w:ilvl="1" w:tplc="CAF00BBC">
      <w:start w:val="1"/>
      <w:numFmt w:val="bullet"/>
      <w:lvlText w:val=""/>
      <w:lvlJc w:val="left"/>
      <w:pPr>
        <w:tabs>
          <w:tab w:val="num" w:pos="340"/>
        </w:tabs>
        <w:ind w:left="340" w:hanging="340"/>
      </w:pPr>
      <w:rPr>
        <w:rFonts w:ascii="Wingdings" w:hAnsi="Wingdings"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78834B4"/>
    <w:multiLevelType w:val="hybridMultilevel"/>
    <w:tmpl w:val="515E1C3E"/>
    <w:lvl w:ilvl="0" w:tplc="DC265CA6">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4000E23"/>
    <w:multiLevelType w:val="hybridMultilevel"/>
    <w:tmpl w:val="456822CC"/>
    <w:lvl w:ilvl="0" w:tplc="59A471B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20"/>
        </w:tabs>
        <w:ind w:left="1020" w:hanging="360"/>
      </w:pPr>
      <w:rPr>
        <w:rFonts w:ascii="Courier New" w:hAnsi="Courier New" w:cs="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cs="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cs="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7D0C4F"/>
    <w:rsid w:val="00012D54"/>
    <w:rsid w:val="00016569"/>
    <w:rsid w:val="00017482"/>
    <w:rsid w:val="00022E7C"/>
    <w:rsid w:val="00026A24"/>
    <w:rsid w:val="00030CD0"/>
    <w:rsid w:val="0004211E"/>
    <w:rsid w:val="00051EAC"/>
    <w:rsid w:val="0007437C"/>
    <w:rsid w:val="00092304"/>
    <w:rsid w:val="00093DBA"/>
    <w:rsid w:val="000A2C50"/>
    <w:rsid w:val="000C773F"/>
    <w:rsid w:val="000D574C"/>
    <w:rsid w:val="00100542"/>
    <w:rsid w:val="00105274"/>
    <w:rsid w:val="00126CA0"/>
    <w:rsid w:val="0013114D"/>
    <w:rsid w:val="00132019"/>
    <w:rsid w:val="00140845"/>
    <w:rsid w:val="00151518"/>
    <w:rsid w:val="00155FB9"/>
    <w:rsid w:val="00163EAC"/>
    <w:rsid w:val="0016739E"/>
    <w:rsid w:val="00182992"/>
    <w:rsid w:val="00183244"/>
    <w:rsid w:val="001961A5"/>
    <w:rsid w:val="001C35F4"/>
    <w:rsid w:val="001C60C8"/>
    <w:rsid w:val="001D6115"/>
    <w:rsid w:val="001E2BEA"/>
    <w:rsid w:val="00240662"/>
    <w:rsid w:val="0024748F"/>
    <w:rsid w:val="00266F21"/>
    <w:rsid w:val="00291D7D"/>
    <w:rsid w:val="00292D69"/>
    <w:rsid w:val="00315ED2"/>
    <w:rsid w:val="00317E8E"/>
    <w:rsid w:val="003372BB"/>
    <w:rsid w:val="0035473A"/>
    <w:rsid w:val="003879DD"/>
    <w:rsid w:val="003B7D5B"/>
    <w:rsid w:val="003F08A3"/>
    <w:rsid w:val="00406848"/>
    <w:rsid w:val="00411F42"/>
    <w:rsid w:val="0042778A"/>
    <w:rsid w:val="004348B2"/>
    <w:rsid w:val="00451CBA"/>
    <w:rsid w:val="0045538F"/>
    <w:rsid w:val="00460353"/>
    <w:rsid w:val="00476FFA"/>
    <w:rsid w:val="0048559E"/>
    <w:rsid w:val="004868C9"/>
    <w:rsid w:val="004B426E"/>
    <w:rsid w:val="004C0709"/>
    <w:rsid w:val="004C49B4"/>
    <w:rsid w:val="004D314B"/>
    <w:rsid w:val="004E031B"/>
    <w:rsid w:val="00513BC0"/>
    <w:rsid w:val="005232F6"/>
    <w:rsid w:val="005925A5"/>
    <w:rsid w:val="00595CE5"/>
    <w:rsid w:val="005B69F5"/>
    <w:rsid w:val="005C1CDA"/>
    <w:rsid w:val="005C343C"/>
    <w:rsid w:val="005D1012"/>
    <w:rsid w:val="005D2474"/>
    <w:rsid w:val="005D3300"/>
    <w:rsid w:val="005E34B8"/>
    <w:rsid w:val="00611467"/>
    <w:rsid w:val="006148D0"/>
    <w:rsid w:val="0063516C"/>
    <w:rsid w:val="00677266"/>
    <w:rsid w:val="006818FB"/>
    <w:rsid w:val="006A0C1C"/>
    <w:rsid w:val="006A2870"/>
    <w:rsid w:val="006D3043"/>
    <w:rsid w:val="006D3B02"/>
    <w:rsid w:val="006F005D"/>
    <w:rsid w:val="00710EE8"/>
    <w:rsid w:val="00712A79"/>
    <w:rsid w:val="007331BE"/>
    <w:rsid w:val="00771009"/>
    <w:rsid w:val="00771F7B"/>
    <w:rsid w:val="00775CAA"/>
    <w:rsid w:val="007834C6"/>
    <w:rsid w:val="0078584A"/>
    <w:rsid w:val="00790EE5"/>
    <w:rsid w:val="007A36EB"/>
    <w:rsid w:val="007A63D6"/>
    <w:rsid w:val="007B695B"/>
    <w:rsid w:val="007C214F"/>
    <w:rsid w:val="007D0C4F"/>
    <w:rsid w:val="007E3D3A"/>
    <w:rsid w:val="00804203"/>
    <w:rsid w:val="00812B5D"/>
    <w:rsid w:val="00857C6A"/>
    <w:rsid w:val="00864CE9"/>
    <w:rsid w:val="00890B43"/>
    <w:rsid w:val="00897DC2"/>
    <w:rsid w:val="008B4D4A"/>
    <w:rsid w:val="008D35E6"/>
    <w:rsid w:val="008E065D"/>
    <w:rsid w:val="008E0688"/>
    <w:rsid w:val="0091679A"/>
    <w:rsid w:val="00957460"/>
    <w:rsid w:val="00957A9E"/>
    <w:rsid w:val="0098596A"/>
    <w:rsid w:val="009976D7"/>
    <w:rsid w:val="00997E38"/>
    <w:rsid w:val="009B03AA"/>
    <w:rsid w:val="009B241C"/>
    <w:rsid w:val="009B3824"/>
    <w:rsid w:val="009B6361"/>
    <w:rsid w:val="009D3594"/>
    <w:rsid w:val="009E309A"/>
    <w:rsid w:val="00A01E8F"/>
    <w:rsid w:val="00A42A09"/>
    <w:rsid w:val="00A555D0"/>
    <w:rsid w:val="00A85A25"/>
    <w:rsid w:val="00A90FE6"/>
    <w:rsid w:val="00A96BD9"/>
    <w:rsid w:val="00A974D8"/>
    <w:rsid w:val="00AA1C0B"/>
    <w:rsid w:val="00AC3F4F"/>
    <w:rsid w:val="00AE1027"/>
    <w:rsid w:val="00AE46FA"/>
    <w:rsid w:val="00AF3430"/>
    <w:rsid w:val="00B011BF"/>
    <w:rsid w:val="00B05144"/>
    <w:rsid w:val="00B224DD"/>
    <w:rsid w:val="00B31A3A"/>
    <w:rsid w:val="00B36ECF"/>
    <w:rsid w:val="00B653E2"/>
    <w:rsid w:val="00B67DAA"/>
    <w:rsid w:val="00B81DB4"/>
    <w:rsid w:val="00BA17CC"/>
    <w:rsid w:val="00BB2848"/>
    <w:rsid w:val="00BB52C8"/>
    <w:rsid w:val="00BC306A"/>
    <w:rsid w:val="00BE3F0D"/>
    <w:rsid w:val="00BF6E01"/>
    <w:rsid w:val="00C2388B"/>
    <w:rsid w:val="00C31CAC"/>
    <w:rsid w:val="00C74960"/>
    <w:rsid w:val="00C841D5"/>
    <w:rsid w:val="00C92EFE"/>
    <w:rsid w:val="00CA4E90"/>
    <w:rsid w:val="00CA6527"/>
    <w:rsid w:val="00CD3FCC"/>
    <w:rsid w:val="00CE43C7"/>
    <w:rsid w:val="00CF51A2"/>
    <w:rsid w:val="00D061B2"/>
    <w:rsid w:val="00D36027"/>
    <w:rsid w:val="00D465D4"/>
    <w:rsid w:val="00DA7302"/>
    <w:rsid w:val="00DB645E"/>
    <w:rsid w:val="00DE51D7"/>
    <w:rsid w:val="00DF4392"/>
    <w:rsid w:val="00E22E69"/>
    <w:rsid w:val="00E23FCB"/>
    <w:rsid w:val="00E30827"/>
    <w:rsid w:val="00E513A9"/>
    <w:rsid w:val="00E759FA"/>
    <w:rsid w:val="00E90A0F"/>
    <w:rsid w:val="00E93697"/>
    <w:rsid w:val="00EB6ECC"/>
    <w:rsid w:val="00EE196B"/>
    <w:rsid w:val="00F03A95"/>
    <w:rsid w:val="00F04F47"/>
    <w:rsid w:val="00F05594"/>
    <w:rsid w:val="00F07398"/>
    <w:rsid w:val="00F16F43"/>
    <w:rsid w:val="00F25E56"/>
    <w:rsid w:val="00F33748"/>
    <w:rsid w:val="00F35DDA"/>
    <w:rsid w:val="00F609BD"/>
    <w:rsid w:val="00F72521"/>
    <w:rsid w:val="00FA5856"/>
    <w:rsid w:val="00FD27E2"/>
    <w:rsid w:val="00FD5E3B"/>
    <w:rsid w:val="00FF07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59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KOMUNIKATU">
    <w:name w:val="TEKST KOMUNIKATU"/>
    <w:basedOn w:val="Tekstpodstawowy"/>
    <w:link w:val="TEKSTKOMUNIKATUZnak"/>
    <w:rsid w:val="007D0C4F"/>
    <w:pPr>
      <w:spacing w:after="240" w:line="360" w:lineRule="auto"/>
      <w:jc w:val="both"/>
    </w:pPr>
    <w:rPr>
      <w:rFonts w:ascii="Georgia" w:eastAsia="Times New Roman" w:hAnsi="Georgia"/>
      <w:kern w:val="16"/>
      <w:sz w:val="24"/>
      <w:szCs w:val="24"/>
      <w:lang w:val="en-US" w:eastAsia="pl-PL"/>
    </w:rPr>
  </w:style>
  <w:style w:type="character" w:customStyle="1" w:styleId="TEKSTKOMUNIKATUZnak">
    <w:name w:val="TEKST KOMUNIKATU Znak"/>
    <w:link w:val="TEKSTKOMUNIKATU"/>
    <w:rsid w:val="007D0C4F"/>
    <w:rPr>
      <w:rFonts w:ascii="Georgia" w:eastAsia="Times New Roman" w:hAnsi="Georgia" w:cs="Georgia"/>
      <w:kern w:val="16"/>
      <w:sz w:val="24"/>
      <w:szCs w:val="24"/>
      <w:lang w:val="en-US" w:eastAsia="pl-PL"/>
    </w:rPr>
  </w:style>
  <w:style w:type="character" w:styleId="Uwydatnienie">
    <w:name w:val="Emphasis"/>
    <w:uiPriority w:val="20"/>
    <w:qFormat/>
    <w:rsid w:val="007D0C4F"/>
    <w:rPr>
      <w:i/>
      <w:iCs/>
    </w:rPr>
  </w:style>
  <w:style w:type="character" w:styleId="Pogrubienie">
    <w:name w:val="Strong"/>
    <w:uiPriority w:val="22"/>
    <w:qFormat/>
    <w:rsid w:val="007D0C4F"/>
    <w:rPr>
      <w:b/>
      <w:bCs/>
    </w:rPr>
  </w:style>
  <w:style w:type="paragraph" w:customStyle="1" w:styleId="tekstkomunikatu0">
    <w:name w:val="tekstkomunikatu"/>
    <w:basedOn w:val="Normalny"/>
    <w:rsid w:val="007D0C4F"/>
    <w:pPr>
      <w:spacing w:after="240" w:line="360" w:lineRule="auto"/>
      <w:jc w:val="both"/>
    </w:pPr>
    <w:rPr>
      <w:rFonts w:ascii="Georgia" w:eastAsia="Times New Roman" w:hAnsi="Georgia"/>
      <w:sz w:val="24"/>
      <w:szCs w:val="24"/>
      <w:lang w:eastAsia="pl-PL"/>
    </w:rPr>
  </w:style>
  <w:style w:type="paragraph" w:customStyle="1" w:styleId="tytukomunikatu">
    <w:name w:val="tytukomunikatu"/>
    <w:basedOn w:val="Normalny"/>
    <w:rsid w:val="007D0C4F"/>
    <w:pPr>
      <w:keepNext/>
      <w:spacing w:before="120" w:after="120" w:line="360" w:lineRule="auto"/>
    </w:pPr>
    <w:rPr>
      <w:rFonts w:ascii="Georgia" w:eastAsia="Times New Roman" w:hAnsi="Georgia"/>
      <w:caps/>
      <w:sz w:val="28"/>
      <w:szCs w:val="28"/>
      <w:lang w:eastAsia="pl-PL"/>
    </w:rPr>
  </w:style>
  <w:style w:type="paragraph" w:styleId="Tekstpodstawowy">
    <w:name w:val="Body Text"/>
    <w:basedOn w:val="Normalny"/>
    <w:link w:val="TekstpodstawowyZnak"/>
    <w:uiPriority w:val="99"/>
    <w:semiHidden/>
    <w:unhideWhenUsed/>
    <w:rsid w:val="007D0C4F"/>
    <w:pPr>
      <w:spacing w:after="120"/>
    </w:pPr>
  </w:style>
  <w:style w:type="character" w:customStyle="1" w:styleId="TekstpodstawowyZnak">
    <w:name w:val="Tekst podstawowy Znak"/>
    <w:basedOn w:val="Domylnaczcionkaakapitu"/>
    <w:link w:val="Tekstpodstawowy"/>
    <w:uiPriority w:val="99"/>
    <w:semiHidden/>
    <w:rsid w:val="007D0C4F"/>
  </w:style>
  <w:style w:type="paragraph" w:styleId="Nagwek">
    <w:name w:val="header"/>
    <w:basedOn w:val="Normalny"/>
    <w:link w:val="NagwekZnak"/>
    <w:uiPriority w:val="99"/>
    <w:unhideWhenUsed/>
    <w:rsid w:val="007D0C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C4F"/>
  </w:style>
  <w:style w:type="paragraph" w:styleId="Stopka">
    <w:name w:val="footer"/>
    <w:basedOn w:val="Normalny"/>
    <w:link w:val="StopkaZnak"/>
    <w:uiPriority w:val="99"/>
    <w:unhideWhenUsed/>
    <w:rsid w:val="007D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C4F"/>
  </w:style>
  <w:style w:type="paragraph" w:styleId="Tekstdymka">
    <w:name w:val="Balloon Text"/>
    <w:basedOn w:val="Normalny"/>
    <w:link w:val="TekstdymkaZnak"/>
    <w:uiPriority w:val="99"/>
    <w:semiHidden/>
    <w:unhideWhenUsed/>
    <w:rsid w:val="007D0C4F"/>
    <w:pPr>
      <w:spacing w:after="0" w:line="240" w:lineRule="auto"/>
    </w:pPr>
    <w:rPr>
      <w:rFonts w:ascii="Tahoma" w:hAnsi="Tahoma"/>
      <w:sz w:val="16"/>
      <w:szCs w:val="16"/>
    </w:rPr>
  </w:style>
  <w:style w:type="character" w:customStyle="1" w:styleId="TekstdymkaZnak">
    <w:name w:val="Tekst dymka Znak"/>
    <w:link w:val="Tekstdymka"/>
    <w:uiPriority w:val="99"/>
    <w:semiHidden/>
    <w:rsid w:val="007D0C4F"/>
    <w:rPr>
      <w:rFonts w:ascii="Tahoma" w:hAnsi="Tahoma" w:cs="Tahoma"/>
      <w:sz w:val="16"/>
      <w:szCs w:val="16"/>
    </w:rPr>
  </w:style>
  <w:style w:type="character" w:styleId="Hipercze">
    <w:name w:val="Hyperlink"/>
    <w:basedOn w:val="Domylnaczcionkaakapitu"/>
    <w:rsid w:val="00100542"/>
    <w:rPr>
      <w:color w:val="0000FF"/>
      <w:u w:val="single"/>
    </w:rPr>
  </w:style>
  <w:style w:type="character" w:styleId="Odwoaniedokomentarza">
    <w:name w:val="annotation reference"/>
    <w:basedOn w:val="Domylnaczcionkaakapitu"/>
    <w:uiPriority w:val="99"/>
    <w:semiHidden/>
    <w:unhideWhenUsed/>
    <w:rsid w:val="00B31A3A"/>
    <w:rPr>
      <w:sz w:val="16"/>
      <w:szCs w:val="16"/>
    </w:rPr>
  </w:style>
  <w:style w:type="paragraph" w:styleId="Tekstkomentarza">
    <w:name w:val="annotation text"/>
    <w:basedOn w:val="Normalny"/>
    <w:link w:val="TekstkomentarzaZnak"/>
    <w:uiPriority w:val="99"/>
    <w:semiHidden/>
    <w:unhideWhenUsed/>
    <w:rsid w:val="00B31A3A"/>
    <w:rPr>
      <w:sz w:val="20"/>
      <w:szCs w:val="20"/>
    </w:rPr>
  </w:style>
  <w:style w:type="character" w:customStyle="1" w:styleId="TekstkomentarzaZnak">
    <w:name w:val="Tekst komentarza Znak"/>
    <w:basedOn w:val="Domylnaczcionkaakapitu"/>
    <w:link w:val="Tekstkomentarza"/>
    <w:uiPriority w:val="99"/>
    <w:semiHidden/>
    <w:rsid w:val="00B31A3A"/>
    <w:rPr>
      <w:lang w:eastAsia="en-US"/>
    </w:rPr>
  </w:style>
  <w:style w:type="paragraph" w:styleId="Tematkomentarza">
    <w:name w:val="annotation subject"/>
    <w:basedOn w:val="Tekstkomentarza"/>
    <w:next w:val="Tekstkomentarza"/>
    <w:link w:val="TematkomentarzaZnak"/>
    <w:uiPriority w:val="99"/>
    <w:semiHidden/>
    <w:unhideWhenUsed/>
    <w:rsid w:val="00B31A3A"/>
    <w:rPr>
      <w:b/>
      <w:bCs/>
    </w:rPr>
  </w:style>
  <w:style w:type="character" w:customStyle="1" w:styleId="TematkomentarzaZnak">
    <w:name w:val="Temat komentarza Znak"/>
    <w:basedOn w:val="TekstkomentarzaZnak"/>
    <w:link w:val="Tematkomentarza"/>
    <w:uiPriority w:val="99"/>
    <w:semiHidden/>
    <w:rsid w:val="00B31A3A"/>
    <w:rPr>
      <w:b/>
      <w:bCs/>
      <w:lang w:eastAsia="en-US"/>
    </w:rPr>
  </w:style>
  <w:style w:type="paragraph" w:styleId="NormalnyWeb">
    <w:name w:val="Normal (Web)"/>
    <w:basedOn w:val="Normalny"/>
    <w:uiPriority w:val="99"/>
    <w:rsid w:val="00EB6ECC"/>
    <w:pPr>
      <w:spacing w:after="100" w:afterAutospacing="1" w:line="372" w:lineRule="auto"/>
    </w:pPr>
    <w:rPr>
      <w:rFonts w:ascii="Times New Roman" w:eastAsia="Times New Roman" w:hAnsi="Times New Roman"/>
      <w:sz w:val="24"/>
      <w:szCs w:val="24"/>
      <w:lang w:eastAsia="pl-PL"/>
    </w:rPr>
  </w:style>
  <w:style w:type="paragraph" w:styleId="Tekstprzypisudolnego">
    <w:name w:val="footnote text"/>
    <w:aliases w:val="fn,Schriftart: 9 pt,Schriftart: 10 pt,Schriftart: 8 pt,WB-Fußnotentext,Schriftart,9 pt,10 pt,8 pt,Podrozdział,Footnote,Podrozdzia3,-E Fuﬂnotentext,Fuﬂnotentext Ursprung,Fußnotentext Ursprung,-E Fußnotentext,Footnote text,Fußnote"/>
    <w:basedOn w:val="Normalny"/>
    <w:link w:val="TekstprzypisudolnegoZnak"/>
    <w:semiHidden/>
    <w:rsid w:val="00B011BF"/>
    <w:pPr>
      <w:spacing w:after="0" w:line="240" w:lineRule="auto"/>
    </w:pPr>
    <w:rPr>
      <w:rFonts w:ascii="Times New Roman" w:eastAsia="Times New Roman" w:hAnsi="Times New Roman"/>
      <w:noProof/>
      <w:sz w:val="20"/>
      <w:szCs w:val="20"/>
      <w:lang w:eastAsia="pl-PL"/>
    </w:rPr>
  </w:style>
  <w:style w:type="character" w:customStyle="1" w:styleId="TekstprzypisudolnegoZnak">
    <w:name w:val="Tekst przypisu dolnego Znak"/>
    <w:aliases w:val="fn Znak,Schriftart: 9 pt Znak,Schriftart: 10 pt Znak,Schriftart: 8 pt Znak,WB-Fußnotentext Znak,Schriftart Znak,9 pt Znak,10 pt Znak,8 pt Znak,Podrozdział Znak,Footnote Znak,Podrozdzia3 Znak,-E Fuﬂnotentext Znak,Fußnote Znak"/>
    <w:basedOn w:val="Domylnaczcionkaakapitu"/>
    <w:link w:val="Tekstprzypisudolnego"/>
    <w:semiHidden/>
    <w:rsid w:val="00B011BF"/>
    <w:rPr>
      <w:rFonts w:ascii="Times New Roman" w:eastAsia="Times New Roman" w:hAnsi="Times New Roman"/>
      <w:noProof/>
    </w:rPr>
  </w:style>
  <w:style w:type="character" w:styleId="Odwoanieprzypisudolnego">
    <w:name w:val="footnote reference"/>
    <w:aliases w:val="Footnote Reference Number"/>
    <w:semiHidden/>
    <w:rsid w:val="00B011BF"/>
    <w:rPr>
      <w:vertAlign w:val="superscript"/>
    </w:rPr>
  </w:style>
  <w:style w:type="paragraph" w:styleId="Tekstpodstawowywcity3">
    <w:name w:val="Body Text Indent 3"/>
    <w:basedOn w:val="Normalny"/>
    <w:link w:val="Tekstpodstawowywcity3Znak"/>
    <w:rsid w:val="00B011BF"/>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011BF"/>
    <w:rPr>
      <w:rFonts w:ascii="Times New Roman" w:eastAsia="Times New Roman" w:hAnsi="Times New Roman"/>
      <w:sz w:val="16"/>
      <w:szCs w:val="16"/>
    </w:rPr>
  </w:style>
  <w:style w:type="paragraph" w:customStyle="1" w:styleId="ZnakZnak">
    <w:name w:val="Znak Znak"/>
    <w:basedOn w:val="Normalny"/>
    <w:rsid w:val="00B011BF"/>
    <w:pPr>
      <w:spacing w:after="0" w:line="360" w:lineRule="auto"/>
      <w:jc w:val="both"/>
    </w:pPr>
    <w:rPr>
      <w:rFonts w:ascii="Verdana" w:eastAsia="Times New Roman" w:hAnsi="Verdana"/>
      <w:sz w:val="20"/>
      <w:szCs w:val="20"/>
      <w:lang w:eastAsia="pl-PL"/>
    </w:rPr>
  </w:style>
  <w:style w:type="paragraph" w:customStyle="1" w:styleId="Dopoziomu1">
    <w:name w:val="Do poziomu 1"/>
    <w:rsid w:val="00B011BF"/>
    <w:rPr>
      <w:rFonts w:ascii="Courier" w:eastAsia="Times New Roman" w:hAnsi="Courier"/>
      <w:b/>
      <w:color w:val="000000"/>
      <w:sz w:val="28"/>
      <w:lang w:val="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A7E13-91EF-41CE-A7AE-FC753A2A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LAMA GOLD, MEDFORLIFE – DZIAŁANIA UOKIK</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 GOLD, MEDFORLIFE – DZIAŁANIA UOKIK</dc:title>
  <dc:creator>Agnieszka Jaczyńska</dc:creator>
  <cp:lastModifiedBy>amajchrzak</cp:lastModifiedBy>
  <cp:revision>20</cp:revision>
  <cp:lastPrinted>2014-08-18T13:14:00Z</cp:lastPrinted>
  <dcterms:created xsi:type="dcterms:W3CDTF">2014-09-04T08:07:00Z</dcterms:created>
  <dcterms:modified xsi:type="dcterms:W3CDTF">2014-11-04T08:11:00Z</dcterms:modified>
</cp:coreProperties>
</file>