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26" w:rsidRPr="00416A26" w:rsidRDefault="00416A26" w:rsidP="008311D4">
      <w:pPr>
        <w:widowControl w:val="0"/>
        <w:suppressAutoHyphens/>
        <w:spacing w:line="360" w:lineRule="auto"/>
        <w:jc w:val="both"/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416A26">
        <w:rPr>
          <w:rFonts w:ascii="Trebuchet MS" w:hAnsi="Trebuchet MS"/>
          <w:sz w:val="32"/>
          <w:szCs w:val="32"/>
        </w:rPr>
        <w:t>STANOWISKO UOKIK W ZAKRESIE PODEJŚCIA DO OCENY WSPÓŁPRACY OPERATORÓW TELEKOMUNIKACYJNYCH</w:t>
      </w:r>
    </w:p>
    <w:p w:rsidR="00CB7192" w:rsidRPr="00DC3C1C" w:rsidRDefault="008311D4" w:rsidP="00D22C95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DC3C1C">
        <w:rPr>
          <w:rFonts w:ascii="Trebuchet MS" w:hAnsi="Trebuchet MS"/>
          <w:sz w:val="22"/>
          <w:szCs w:val="22"/>
        </w:rPr>
        <w:t>Urząd Ochrony Konkurencji i Konsumentów zakończył wszczęte 11 kwietnia 2014 r. postępowanie wyjaśniające, w ramach którego analizował kwestie związane ze współpracą operatorów telekomunikacyjnych w zakresie udostępniania, łączenia lub współdzielenia częstotliwości, infrastruktury lub sieci telekomunikacyjnych</w:t>
      </w:r>
    </w:p>
    <w:p w:rsidR="00593FCD" w:rsidRPr="00593FCD" w:rsidRDefault="00245987" w:rsidP="001935EB">
      <w:pPr>
        <w:pStyle w:val="tekstkomunikatu0"/>
        <w:rPr>
          <w:rFonts w:ascii="Trebuchet MS" w:hAnsi="Trebuchet MS"/>
          <w:sz w:val="22"/>
          <w:szCs w:val="22"/>
        </w:rPr>
      </w:pPr>
      <w:r w:rsidRPr="00EE7BED">
        <w:rPr>
          <w:rFonts w:ascii="Trebuchet MS" w:hAnsi="Trebuchet MS"/>
          <w:b/>
          <w:bCs/>
          <w:sz w:val="22"/>
          <w:szCs w:val="22"/>
        </w:rPr>
        <w:t xml:space="preserve">[Warszawa, </w:t>
      </w:r>
      <w:r w:rsidR="007B06FB">
        <w:rPr>
          <w:rFonts w:ascii="Trebuchet MS" w:hAnsi="Trebuchet MS"/>
          <w:b/>
          <w:bCs/>
          <w:sz w:val="22"/>
          <w:szCs w:val="22"/>
        </w:rPr>
        <w:t>15</w:t>
      </w:r>
      <w:r w:rsidR="00B90575" w:rsidRPr="00EE7BED">
        <w:rPr>
          <w:rFonts w:ascii="Trebuchet MS" w:hAnsi="Trebuchet MS"/>
          <w:b/>
          <w:bCs/>
          <w:sz w:val="22"/>
          <w:szCs w:val="22"/>
        </w:rPr>
        <w:t xml:space="preserve"> </w:t>
      </w:r>
      <w:r w:rsidR="00F628D8" w:rsidRPr="00EE7BED">
        <w:rPr>
          <w:rFonts w:ascii="Trebuchet MS" w:hAnsi="Trebuchet MS"/>
          <w:b/>
          <w:bCs/>
          <w:sz w:val="22"/>
          <w:szCs w:val="22"/>
        </w:rPr>
        <w:t>stycznia</w:t>
      </w:r>
      <w:r w:rsidR="002274A1" w:rsidRPr="00EE7BED">
        <w:rPr>
          <w:rFonts w:ascii="Trebuchet MS" w:hAnsi="Trebuchet MS"/>
          <w:b/>
          <w:bCs/>
          <w:sz w:val="22"/>
          <w:szCs w:val="22"/>
        </w:rPr>
        <w:t xml:space="preserve"> 201</w:t>
      </w:r>
      <w:r w:rsidR="00F628D8" w:rsidRPr="00EE7BED">
        <w:rPr>
          <w:rFonts w:ascii="Trebuchet MS" w:hAnsi="Trebuchet MS"/>
          <w:b/>
          <w:bCs/>
          <w:sz w:val="22"/>
          <w:szCs w:val="22"/>
        </w:rPr>
        <w:t>6</w:t>
      </w:r>
      <w:r w:rsidRPr="00EE7BED">
        <w:rPr>
          <w:rFonts w:ascii="Trebuchet MS" w:hAnsi="Trebuchet MS"/>
          <w:b/>
          <w:bCs/>
          <w:sz w:val="22"/>
          <w:szCs w:val="22"/>
        </w:rPr>
        <w:t xml:space="preserve"> r.]</w:t>
      </w:r>
      <w:r w:rsidRPr="00EE7BED">
        <w:rPr>
          <w:rFonts w:ascii="Trebuchet MS" w:hAnsi="Trebuchet MS"/>
          <w:sz w:val="22"/>
          <w:szCs w:val="22"/>
        </w:rPr>
        <w:t xml:space="preserve"> </w:t>
      </w:r>
      <w:r w:rsidR="00593FCD" w:rsidRPr="00593FCD">
        <w:rPr>
          <w:rFonts w:ascii="Trebuchet MS" w:hAnsi="Trebuchet MS"/>
          <w:sz w:val="22"/>
          <w:szCs w:val="22"/>
        </w:rPr>
        <w:t>W toku postępowania dokonano ustaleń dotyczących m.in. struktury rynku, zasad współpracy operatorów w zakresie współdzielenia zasobów oraz potencjalnych korzyści i zagrożeń dla konkurencji wynikających z takiej współpracy.</w:t>
      </w:r>
    </w:p>
    <w:p w:rsidR="00593FCD" w:rsidRPr="00593FCD" w:rsidRDefault="00593FCD" w:rsidP="001935EB">
      <w:pPr>
        <w:spacing w:after="120" w:line="360" w:lineRule="auto"/>
        <w:jc w:val="both"/>
        <w:rPr>
          <w:rFonts w:ascii="Trebuchet MS" w:hAnsi="Trebuchet MS"/>
        </w:rPr>
      </w:pPr>
      <w:r w:rsidRPr="00DC3C1C">
        <w:rPr>
          <w:rFonts w:ascii="Trebuchet MS" w:hAnsi="Trebuchet MS"/>
        </w:rPr>
        <w:t>Ustalenia z przeprowadzonego postępowania UOKiK udostępni Komisji Europejskiej, która obecnie analizuje skargę dotyczącą współpracy międzyoperatorskiej</w:t>
      </w:r>
      <w:r w:rsidRPr="008D6C00">
        <w:rPr>
          <w:rFonts w:ascii="Trebuchet MS" w:hAnsi="Trebuchet MS"/>
          <w:b/>
        </w:rPr>
        <w:t xml:space="preserve"> </w:t>
      </w:r>
      <w:r w:rsidRPr="00593FCD">
        <w:rPr>
          <w:rFonts w:ascii="Trebuchet MS" w:hAnsi="Trebuchet MS"/>
        </w:rPr>
        <w:t>(w tym w zakresie współdzielenia częstotliwości). Komisja Europejska jest głównym strażnikiem przestrzegania przez przedsiębiorców zasad prawa ochrony konkurencji zawartych w Traktacie o Funkcjonowaniu Unii Europejskiej.</w:t>
      </w:r>
    </w:p>
    <w:p w:rsidR="00593FCD" w:rsidRPr="00593FCD" w:rsidRDefault="00593FCD" w:rsidP="001935EB">
      <w:pPr>
        <w:spacing w:after="120" w:line="360" w:lineRule="auto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 xml:space="preserve">Obecna dynamika rozwoju rynku telekomunikacyjnego oraz wzrastające potrzeby i wymagania odbiorców usług powodują, że wzmacnia się tendencja do współdzielenia infrastruktury. </w:t>
      </w:r>
    </w:p>
    <w:p w:rsidR="00593FCD" w:rsidRPr="00593FCD" w:rsidRDefault="00593FCD" w:rsidP="001935EB">
      <w:pPr>
        <w:spacing w:after="120" w:line="360" w:lineRule="auto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 xml:space="preserve">Współpraca operatorów obejmować może różne obszary. Jej najprostszą formą w zakresie współpracy infrastrukturalnej </w:t>
      </w:r>
      <w:r w:rsidRPr="00593FCD">
        <w:rPr>
          <w:rFonts w:ascii="Trebuchet MS" w:hAnsi="Trebuchet MS"/>
          <w:color w:val="000000"/>
        </w:rPr>
        <w:t xml:space="preserve">jest dzielenie elementów infrastruktury pasywnej (kanalizacja, lokalizacje). Dalej idąca współpraca obejmuje dzielenie elementów radiowej sieci dostępowej (RAN), a następnie posiadane przez operatorów zasoby częstotliwości. </w:t>
      </w:r>
    </w:p>
    <w:p w:rsidR="00593FCD" w:rsidRPr="00593FCD" w:rsidRDefault="00593FCD" w:rsidP="001935EB">
      <w:pPr>
        <w:spacing w:after="120" w:line="360" w:lineRule="auto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 xml:space="preserve">Główne korzyści płynące ze współdzielenia to: oszczędności wynikające z uniknięcia duplikacji kosztów używanej infrastruktury, co może przełożyć się na obniżenie cen dla finalnych odbiorców oraz korzyści jakościowe związane z możliwością świadczenia w oparciu o współdzieloną infrastrukturę nowych usług lub usług o lepszej jakości. </w:t>
      </w:r>
    </w:p>
    <w:p w:rsidR="00593FCD" w:rsidRPr="00593FCD" w:rsidRDefault="00593FCD" w:rsidP="001935EB">
      <w:pPr>
        <w:spacing w:line="360" w:lineRule="auto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>Rozważając zagrożenia wynikające ze współdzielenia infrastruktury</w:t>
      </w:r>
      <w:r w:rsidR="00C34E20">
        <w:rPr>
          <w:rFonts w:ascii="Trebuchet MS" w:hAnsi="Trebuchet MS"/>
        </w:rPr>
        <w:t>,</w:t>
      </w:r>
      <w:r w:rsidRPr="00593FCD">
        <w:rPr>
          <w:rFonts w:ascii="Trebuchet MS" w:hAnsi="Trebuchet MS"/>
        </w:rPr>
        <w:t xml:space="preserve"> należy wskazać przede wszystkim na: </w:t>
      </w:r>
    </w:p>
    <w:p w:rsidR="00593FCD" w:rsidRPr="00593FCD" w:rsidRDefault="00593FCD" w:rsidP="001935EB">
      <w:pPr>
        <w:spacing w:line="360" w:lineRule="auto"/>
        <w:ind w:firstLine="709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lastRenderedPageBreak/>
        <w:t xml:space="preserve">1) ograniczenie konkurencji infrastrukturalnej (technologicznej), w tym zmniejszenie bodźców do rozwoju infrastruktury oraz tendencję do konkurowania jedynie w ramach wyznaczonych dzieloną technologią, </w:t>
      </w:r>
    </w:p>
    <w:p w:rsidR="00593FCD" w:rsidRPr="00593FCD" w:rsidRDefault="00593FCD" w:rsidP="001935EB">
      <w:pPr>
        <w:spacing w:line="360" w:lineRule="auto"/>
        <w:ind w:firstLine="709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 xml:space="preserve">2) powstanie istotnych asymetrii w zasobach między przedsiębiorcami je współdzielącymi a pozostałymi, </w:t>
      </w:r>
    </w:p>
    <w:p w:rsidR="00593FCD" w:rsidRPr="00593FCD" w:rsidRDefault="00593FCD" w:rsidP="001935EB">
      <w:pPr>
        <w:spacing w:after="120" w:line="360" w:lineRule="auto"/>
        <w:ind w:firstLine="709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 xml:space="preserve">3) ułatwienie wymiany informacji pomiędzy konkurentami umożliwiającej koordynację zachowań na rynku detalicznym. </w:t>
      </w:r>
    </w:p>
    <w:p w:rsidR="00593FCD" w:rsidRPr="00593FCD" w:rsidRDefault="00593FCD" w:rsidP="001935EB">
      <w:pPr>
        <w:spacing w:after="120" w:line="360" w:lineRule="auto"/>
        <w:jc w:val="both"/>
        <w:rPr>
          <w:rFonts w:ascii="Trebuchet MS" w:hAnsi="Trebuchet MS"/>
        </w:rPr>
      </w:pPr>
      <w:r w:rsidRPr="00DC3C1C">
        <w:rPr>
          <w:rFonts w:ascii="Trebuchet MS" w:hAnsi="Trebuchet MS"/>
        </w:rPr>
        <w:t>Z uwagi na potencjalne ryzyka, jakie współdzielenie infrastruktury (zwłaszcza współdzielenie infrastruktury aktywnej lub częstotliwości) rodzi w kontekście prawa ochrony konkurencji, tego rodzaju inicjatywy przedsiębiorców UOKiK będzie aktywnie monitorował, analizując skutki, jakie współpraca operatorów wywołuje na rynku.</w:t>
      </w:r>
      <w:r w:rsidRPr="00593FCD">
        <w:rPr>
          <w:rFonts w:ascii="Trebuchet MS" w:hAnsi="Trebuchet MS"/>
        </w:rPr>
        <w:t xml:space="preserve"> Ocena takiej współpracy - z punktu widzenia ewentualnych zagrożeń dla konkurencji - będzie dokonywana każdorazowo p</w:t>
      </w:r>
      <w:r w:rsidR="00F76B3A">
        <w:rPr>
          <w:rFonts w:ascii="Trebuchet MS" w:hAnsi="Trebuchet MS"/>
        </w:rPr>
        <w:t xml:space="preserve">o analizie otoczenia rynkowego </w:t>
      </w:r>
      <w:r w:rsidRPr="00593FCD">
        <w:rPr>
          <w:rFonts w:ascii="Trebuchet MS" w:hAnsi="Trebuchet MS"/>
        </w:rPr>
        <w:t xml:space="preserve">przy uwzględnieniu struktury podmiotowej rynków, na których współpraca jest podejmowana, pozycji rynkowej operatorów, stanu konkurencji, poziomu współpracy oraz siły uzyskiwanej przez współdziałających przedsiębiorców.  </w:t>
      </w:r>
    </w:p>
    <w:p w:rsidR="00593FCD" w:rsidRPr="00593FCD" w:rsidRDefault="00593FCD" w:rsidP="001935EB">
      <w:pPr>
        <w:spacing w:after="120" w:line="360" w:lineRule="auto"/>
        <w:jc w:val="both"/>
        <w:rPr>
          <w:rFonts w:ascii="Trebuchet MS" w:hAnsi="Trebuchet MS"/>
        </w:rPr>
      </w:pPr>
      <w:r w:rsidRPr="00593FCD">
        <w:rPr>
          <w:rFonts w:ascii="Trebuchet MS" w:hAnsi="Trebuchet MS"/>
        </w:rPr>
        <w:t xml:space="preserve">Jak wynika z powyższego, porozumienia o współdzieleniu sieci mogą pociągać za sobą zarówno pozytywne jak i negatywne skutki dla konkurencji. </w:t>
      </w:r>
      <w:r w:rsidRPr="00DC3C1C">
        <w:rPr>
          <w:rFonts w:ascii="Trebuchet MS" w:hAnsi="Trebuchet MS"/>
        </w:rPr>
        <w:t>Zdaniem UOKiK, im dalej idzie współpraca międzyoperatorska, obejmując kolejne elementy i poziomy infrastruktury, tym większe jest ryzyko, że może ona stanowić zagrożenie dla konkurencji, sprzyjając w szczególności koordynacji działań podejmowanych przez współpracujących konkurentów.</w:t>
      </w:r>
      <w:r w:rsidRPr="00593FCD">
        <w:rPr>
          <w:rFonts w:ascii="Trebuchet MS" w:hAnsi="Trebuchet MS"/>
        </w:rPr>
        <w:t xml:space="preserve"> Dzielenie infrastruktury pasywnej (kanalizacja, lokalizacje itp.) zwykle nie ogranicza konkurencji i może wywierać pozytywne skutki poprzez np. redukcję kosztów inwestycji w sieci. Za prokonkurencyjną może zostać również uznana </w:t>
      </w:r>
      <w:r w:rsidRPr="00593FCD">
        <w:rPr>
          <w:rFonts w:ascii="Trebuchet MS" w:hAnsi="Trebuchet MS"/>
          <w:color w:val="000000"/>
        </w:rPr>
        <w:t>współpraca prowadząca do istotnej poprawy dostępności usług dla konsumentów</w:t>
      </w:r>
      <w:r w:rsidRPr="00593FCD">
        <w:rPr>
          <w:rFonts w:ascii="Trebuchet MS" w:hAnsi="Trebuchet MS"/>
        </w:rPr>
        <w:t xml:space="preserve"> zwłaszcza na terenach słabo zaludnionych, czy też możliwości ich świadczenia na obszarach, na których w ogóle nie były one dotychczas dostępne (tzw. białe plamy). Z drugiej strony, chociaż współdzielenie aktywnych elementów sieci oraz częstotliwości może istotnie zwiększyć wydajność, może też być źródłem problemów w zakresie konkurencji, szczególnie na obszarach zurbanizowanych. Jako potencjalnie antykonkurencyjną można wskazać np. taką współpracę, która z uwagi na daleko posunięty zakres integracji przedsiębiorców i </w:t>
      </w:r>
      <w:r w:rsidRPr="00593FCD">
        <w:rPr>
          <w:rFonts w:ascii="Trebuchet MS" w:hAnsi="Trebuchet MS"/>
        </w:rPr>
        <w:lastRenderedPageBreak/>
        <w:t xml:space="preserve">ujednolicenie technologiczne będzie skutkowała niemożnością odpowiedniego zróżnicowania usług/oferty detalicznej współpracujących przedsiębiorców. </w:t>
      </w:r>
    </w:p>
    <w:sectPr w:rsidR="00593FCD" w:rsidRPr="00593FCD" w:rsidSect="009D35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1C" w:rsidRDefault="0011671C" w:rsidP="007D0C4F">
      <w:pPr>
        <w:spacing w:after="0" w:line="240" w:lineRule="auto"/>
      </w:pPr>
      <w:r>
        <w:separator/>
      </w:r>
    </w:p>
  </w:endnote>
  <w:endnote w:type="continuationSeparator" w:id="0">
    <w:p w:rsidR="0011671C" w:rsidRDefault="0011671C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F" w:rsidRDefault="00B060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89EA2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23C5D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D24D0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1C" w:rsidRDefault="0011671C" w:rsidP="007D0C4F">
      <w:pPr>
        <w:spacing w:after="0" w:line="240" w:lineRule="auto"/>
      </w:pPr>
      <w:r>
        <w:separator/>
      </w:r>
    </w:p>
  </w:footnote>
  <w:footnote w:type="continuationSeparator" w:id="0">
    <w:p w:rsidR="0011671C" w:rsidRDefault="0011671C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F" w:rsidRDefault="00DE51D7">
    <w:pPr>
      <w:pStyle w:val="Nagwek"/>
    </w:pPr>
    <w:r>
      <w:rPr>
        <w:noProof/>
        <w:lang w:eastAsia="pl-PL"/>
      </w:rPr>
      <w:drawing>
        <wp:inline distT="0" distB="0" distL="0" distR="0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1943"/>
    <w:rsid w:val="00003901"/>
    <w:rsid w:val="0000726F"/>
    <w:rsid w:val="00012D54"/>
    <w:rsid w:val="00016569"/>
    <w:rsid w:val="00017482"/>
    <w:rsid w:val="00022E7C"/>
    <w:rsid w:val="00026A24"/>
    <w:rsid w:val="00030CD0"/>
    <w:rsid w:val="00031081"/>
    <w:rsid w:val="0003356B"/>
    <w:rsid w:val="0003470D"/>
    <w:rsid w:val="00037DB5"/>
    <w:rsid w:val="0004211E"/>
    <w:rsid w:val="000452F2"/>
    <w:rsid w:val="0004580D"/>
    <w:rsid w:val="000468CC"/>
    <w:rsid w:val="000472D9"/>
    <w:rsid w:val="0005019B"/>
    <w:rsid w:val="0005021F"/>
    <w:rsid w:val="00051EAC"/>
    <w:rsid w:val="00053CB4"/>
    <w:rsid w:val="00056306"/>
    <w:rsid w:val="0007437C"/>
    <w:rsid w:val="00086B22"/>
    <w:rsid w:val="00091A4F"/>
    <w:rsid w:val="00092304"/>
    <w:rsid w:val="00093DBA"/>
    <w:rsid w:val="0009708E"/>
    <w:rsid w:val="00097E80"/>
    <w:rsid w:val="000B0C49"/>
    <w:rsid w:val="000B171B"/>
    <w:rsid w:val="000B2E6A"/>
    <w:rsid w:val="000C0487"/>
    <w:rsid w:val="000C773F"/>
    <w:rsid w:val="000D2B37"/>
    <w:rsid w:val="000D574C"/>
    <w:rsid w:val="00100542"/>
    <w:rsid w:val="00103F0E"/>
    <w:rsid w:val="00105274"/>
    <w:rsid w:val="0011671C"/>
    <w:rsid w:val="00120FF2"/>
    <w:rsid w:val="00126CA0"/>
    <w:rsid w:val="0013114D"/>
    <w:rsid w:val="00131F28"/>
    <w:rsid w:val="00132019"/>
    <w:rsid w:val="00140845"/>
    <w:rsid w:val="00150F9B"/>
    <w:rsid w:val="00151518"/>
    <w:rsid w:val="00152306"/>
    <w:rsid w:val="00155FB9"/>
    <w:rsid w:val="00161F8A"/>
    <w:rsid w:val="00163EAC"/>
    <w:rsid w:val="0016739E"/>
    <w:rsid w:val="00174447"/>
    <w:rsid w:val="00175A82"/>
    <w:rsid w:val="00181F67"/>
    <w:rsid w:val="00182992"/>
    <w:rsid w:val="00183244"/>
    <w:rsid w:val="00186193"/>
    <w:rsid w:val="001935EB"/>
    <w:rsid w:val="001961A5"/>
    <w:rsid w:val="001A1599"/>
    <w:rsid w:val="001C1294"/>
    <w:rsid w:val="001C35F4"/>
    <w:rsid w:val="001D0DCE"/>
    <w:rsid w:val="001D62C3"/>
    <w:rsid w:val="001E2BEA"/>
    <w:rsid w:val="001E67E5"/>
    <w:rsid w:val="001F0415"/>
    <w:rsid w:val="001F21BC"/>
    <w:rsid w:val="001F33A5"/>
    <w:rsid w:val="002012A3"/>
    <w:rsid w:val="00201E05"/>
    <w:rsid w:val="00205661"/>
    <w:rsid w:val="0021026D"/>
    <w:rsid w:val="0022084C"/>
    <w:rsid w:val="0022279E"/>
    <w:rsid w:val="002252D9"/>
    <w:rsid w:val="002274A1"/>
    <w:rsid w:val="00231DFA"/>
    <w:rsid w:val="00231EB2"/>
    <w:rsid w:val="002416F8"/>
    <w:rsid w:val="00245987"/>
    <w:rsid w:val="00255775"/>
    <w:rsid w:val="00282730"/>
    <w:rsid w:val="0028354E"/>
    <w:rsid w:val="00291D7D"/>
    <w:rsid w:val="00292D69"/>
    <w:rsid w:val="00295F42"/>
    <w:rsid w:val="002A0D35"/>
    <w:rsid w:val="002A5E2E"/>
    <w:rsid w:val="002B0283"/>
    <w:rsid w:val="002B19A2"/>
    <w:rsid w:val="002C010C"/>
    <w:rsid w:val="002C03F9"/>
    <w:rsid w:val="002C1AC2"/>
    <w:rsid w:val="002C3FD5"/>
    <w:rsid w:val="002D5FDF"/>
    <w:rsid w:val="002E2BDC"/>
    <w:rsid w:val="002E3486"/>
    <w:rsid w:val="002F5403"/>
    <w:rsid w:val="00300FAF"/>
    <w:rsid w:val="00303486"/>
    <w:rsid w:val="00315ED2"/>
    <w:rsid w:val="00317E8E"/>
    <w:rsid w:val="00321C70"/>
    <w:rsid w:val="0033003F"/>
    <w:rsid w:val="003372BB"/>
    <w:rsid w:val="0034096F"/>
    <w:rsid w:val="00357983"/>
    <w:rsid w:val="00361CCD"/>
    <w:rsid w:val="00367DCC"/>
    <w:rsid w:val="00373B31"/>
    <w:rsid w:val="00376AEB"/>
    <w:rsid w:val="003879DD"/>
    <w:rsid w:val="00391ACD"/>
    <w:rsid w:val="003A1124"/>
    <w:rsid w:val="003A11E2"/>
    <w:rsid w:val="003A1F1F"/>
    <w:rsid w:val="003A3D86"/>
    <w:rsid w:val="003B4361"/>
    <w:rsid w:val="003B60B2"/>
    <w:rsid w:val="003B7D5B"/>
    <w:rsid w:val="003D3D4D"/>
    <w:rsid w:val="003D3FC8"/>
    <w:rsid w:val="003D7487"/>
    <w:rsid w:val="003E4E96"/>
    <w:rsid w:val="003F08A3"/>
    <w:rsid w:val="003F17F1"/>
    <w:rsid w:val="004026D6"/>
    <w:rsid w:val="00406848"/>
    <w:rsid w:val="004105B6"/>
    <w:rsid w:val="0041473B"/>
    <w:rsid w:val="00416A26"/>
    <w:rsid w:val="00422B2E"/>
    <w:rsid w:val="0042486F"/>
    <w:rsid w:val="00424BBD"/>
    <w:rsid w:val="0042778A"/>
    <w:rsid w:val="00432885"/>
    <w:rsid w:val="004348B2"/>
    <w:rsid w:val="0043737E"/>
    <w:rsid w:val="004420A7"/>
    <w:rsid w:val="004449E6"/>
    <w:rsid w:val="004479FD"/>
    <w:rsid w:val="004500C1"/>
    <w:rsid w:val="00451CBA"/>
    <w:rsid w:val="0045538F"/>
    <w:rsid w:val="00460353"/>
    <w:rsid w:val="004605B1"/>
    <w:rsid w:val="00466288"/>
    <w:rsid w:val="00475263"/>
    <w:rsid w:val="00476FFA"/>
    <w:rsid w:val="0048559E"/>
    <w:rsid w:val="00486CE8"/>
    <w:rsid w:val="004A2A9A"/>
    <w:rsid w:val="004A32FC"/>
    <w:rsid w:val="004A3E33"/>
    <w:rsid w:val="004A6FAC"/>
    <w:rsid w:val="004C0709"/>
    <w:rsid w:val="004C49B4"/>
    <w:rsid w:val="004C6091"/>
    <w:rsid w:val="004D314B"/>
    <w:rsid w:val="004D72C2"/>
    <w:rsid w:val="004E031B"/>
    <w:rsid w:val="004E045B"/>
    <w:rsid w:val="004E574F"/>
    <w:rsid w:val="004E5960"/>
    <w:rsid w:val="00505C87"/>
    <w:rsid w:val="0050687D"/>
    <w:rsid w:val="0052247C"/>
    <w:rsid w:val="005232F6"/>
    <w:rsid w:val="00526B04"/>
    <w:rsid w:val="0053097B"/>
    <w:rsid w:val="00537CDA"/>
    <w:rsid w:val="005413D2"/>
    <w:rsid w:val="0054748D"/>
    <w:rsid w:val="00554666"/>
    <w:rsid w:val="005748D3"/>
    <w:rsid w:val="00576EF2"/>
    <w:rsid w:val="005925A5"/>
    <w:rsid w:val="00593FCD"/>
    <w:rsid w:val="00595766"/>
    <w:rsid w:val="00595CE5"/>
    <w:rsid w:val="005B69F5"/>
    <w:rsid w:val="005C1CDA"/>
    <w:rsid w:val="005C343C"/>
    <w:rsid w:val="005D0455"/>
    <w:rsid w:val="005D1012"/>
    <w:rsid w:val="005D12F3"/>
    <w:rsid w:val="005D3A25"/>
    <w:rsid w:val="005E031A"/>
    <w:rsid w:val="005E0AB0"/>
    <w:rsid w:val="005E2829"/>
    <w:rsid w:val="005F0F74"/>
    <w:rsid w:val="00600B38"/>
    <w:rsid w:val="00607C15"/>
    <w:rsid w:val="00611467"/>
    <w:rsid w:val="006148D0"/>
    <w:rsid w:val="00623F30"/>
    <w:rsid w:val="0062721B"/>
    <w:rsid w:val="006278A1"/>
    <w:rsid w:val="00627D15"/>
    <w:rsid w:val="00650C95"/>
    <w:rsid w:val="0065131A"/>
    <w:rsid w:val="00666FBE"/>
    <w:rsid w:val="0066709E"/>
    <w:rsid w:val="00677266"/>
    <w:rsid w:val="00677F22"/>
    <w:rsid w:val="006818FB"/>
    <w:rsid w:val="006900F5"/>
    <w:rsid w:val="0069623E"/>
    <w:rsid w:val="006A0A8C"/>
    <w:rsid w:val="006A0C1C"/>
    <w:rsid w:val="006A2688"/>
    <w:rsid w:val="006A2870"/>
    <w:rsid w:val="006A39C2"/>
    <w:rsid w:val="006B33CF"/>
    <w:rsid w:val="006D030D"/>
    <w:rsid w:val="006D3043"/>
    <w:rsid w:val="006D3B02"/>
    <w:rsid w:val="006E0132"/>
    <w:rsid w:val="006E0650"/>
    <w:rsid w:val="006E1014"/>
    <w:rsid w:val="006E5A0A"/>
    <w:rsid w:val="006F005D"/>
    <w:rsid w:val="007037C6"/>
    <w:rsid w:val="00704CAA"/>
    <w:rsid w:val="0071057F"/>
    <w:rsid w:val="00710EE8"/>
    <w:rsid w:val="00712A79"/>
    <w:rsid w:val="00715EF4"/>
    <w:rsid w:val="0071711A"/>
    <w:rsid w:val="0071772C"/>
    <w:rsid w:val="00723301"/>
    <w:rsid w:val="007331BE"/>
    <w:rsid w:val="007428A9"/>
    <w:rsid w:val="00746408"/>
    <w:rsid w:val="00747760"/>
    <w:rsid w:val="00760507"/>
    <w:rsid w:val="007637A4"/>
    <w:rsid w:val="00767531"/>
    <w:rsid w:val="007711B5"/>
    <w:rsid w:val="00771F7B"/>
    <w:rsid w:val="00775CAA"/>
    <w:rsid w:val="00781A91"/>
    <w:rsid w:val="007834C6"/>
    <w:rsid w:val="0078429F"/>
    <w:rsid w:val="00784831"/>
    <w:rsid w:val="00785806"/>
    <w:rsid w:val="0078584A"/>
    <w:rsid w:val="0078733A"/>
    <w:rsid w:val="007A36EB"/>
    <w:rsid w:val="007A63D6"/>
    <w:rsid w:val="007B06FB"/>
    <w:rsid w:val="007B5887"/>
    <w:rsid w:val="007B695B"/>
    <w:rsid w:val="007B6FA5"/>
    <w:rsid w:val="007C214F"/>
    <w:rsid w:val="007C2E9F"/>
    <w:rsid w:val="007C34DC"/>
    <w:rsid w:val="007D0C4F"/>
    <w:rsid w:val="007D6CA5"/>
    <w:rsid w:val="007E3D3A"/>
    <w:rsid w:val="007E7C77"/>
    <w:rsid w:val="007F1365"/>
    <w:rsid w:val="00800813"/>
    <w:rsid w:val="00804203"/>
    <w:rsid w:val="00812B5D"/>
    <w:rsid w:val="00822D0B"/>
    <w:rsid w:val="008311D4"/>
    <w:rsid w:val="00842D04"/>
    <w:rsid w:val="00843FDC"/>
    <w:rsid w:val="008467DA"/>
    <w:rsid w:val="008518CC"/>
    <w:rsid w:val="00857C6A"/>
    <w:rsid w:val="00864CE9"/>
    <w:rsid w:val="008658DB"/>
    <w:rsid w:val="00867F03"/>
    <w:rsid w:val="008901B7"/>
    <w:rsid w:val="00890B43"/>
    <w:rsid w:val="00895EC7"/>
    <w:rsid w:val="00897DC2"/>
    <w:rsid w:val="008A128E"/>
    <w:rsid w:val="008A3F5E"/>
    <w:rsid w:val="008A4A52"/>
    <w:rsid w:val="008A6015"/>
    <w:rsid w:val="008B0A3C"/>
    <w:rsid w:val="008B0AC9"/>
    <w:rsid w:val="008B26B8"/>
    <w:rsid w:val="008B2D6D"/>
    <w:rsid w:val="008B4D4A"/>
    <w:rsid w:val="008C36E9"/>
    <w:rsid w:val="008C764E"/>
    <w:rsid w:val="008D66FF"/>
    <w:rsid w:val="008D6C00"/>
    <w:rsid w:val="008E065D"/>
    <w:rsid w:val="008E0688"/>
    <w:rsid w:val="00902B0B"/>
    <w:rsid w:val="009103DE"/>
    <w:rsid w:val="0091679A"/>
    <w:rsid w:val="00932D10"/>
    <w:rsid w:val="00934AB9"/>
    <w:rsid w:val="00936D29"/>
    <w:rsid w:val="009457CA"/>
    <w:rsid w:val="00951168"/>
    <w:rsid w:val="00957295"/>
    <w:rsid w:val="00957460"/>
    <w:rsid w:val="00957A9E"/>
    <w:rsid w:val="009605EA"/>
    <w:rsid w:val="00971E78"/>
    <w:rsid w:val="00973CA3"/>
    <w:rsid w:val="0097569D"/>
    <w:rsid w:val="0098596A"/>
    <w:rsid w:val="009976D7"/>
    <w:rsid w:val="00997E38"/>
    <w:rsid w:val="009A049F"/>
    <w:rsid w:val="009B03AA"/>
    <w:rsid w:val="009B0DDD"/>
    <w:rsid w:val="009B241C"/>
    <w:rsid w:val="009B3467"/>
    <w:rsid w:val="009B3824"/>
    <w:rsid w:val="009B3A48"/>
    <w:rsid w:val="009B6361"/>
    <w:rsid w:val="009D0995"/>
    <w:rsid w:val="009D3594"/>
    <w:rsid w:val="009E309A"/>
    <w:rsid w:val="009E443E"/>
    <w:rsid w:val="009F0601"/>
    <w:rsid w:val="009F5E1C"/>
    <w:rsid w:val="00A01E8F"/>
    <w:rsid w:val="00A16B9F"/>
    <w:rsid w:val="00A170F8"/>
    <w:rsid w:val="00A25B13"/>
    <w:rsid w:val="00A47093"/>
    <w:rsid w:val="00A523F1"/>
    <w:rsid w:val="00A555D0"/>
    <w:rsid w:val="00A56A93"/>
    <w:rsid w:val="00A654F8"/>
    <w:rsid w:val="00A6565D"/>
    <w:rsid w:val="00A70AD3"/>
    <w:rsid w:val="00A734B2"/>
    <w:rsid w:val="00A85A25"/>
    <w:rsid w:val="00A877A2"/>
    <w:rsid w:val="00A904E7"/>
    <w:rsid w:val="00A90FE6"/>
    <w:rsid w:val="00A96BD9"/>
    <w:rsid w:val="00A974D8"/>
    <w:rsid w:val="00AA1C0B"/>
    <w:rsid w:val="00AA6B79"/>
    <w:rsid w:val="00AB06B9"/>
    <w:rsid w:val="00AB5C3D"/>
    <w:rsid w:val="00AB6ACD"/>
    <w:rsid w:val="00AB7171"/>
    <w:rsid w:val="00AC0BED"/>
    <w:rsid w:val="00AC21BF"/>
    <w:rsid w:val="00AC259A"/>
    <w:rsid w:val="00AC3F4F"/>
    <w:rsid w:val="00AD037A"/>
    <w:rsid w:val="00AD489F"/>
    <w:rsid w:val="00AD4D11"/>
    <w:rsid w:val="00AD5884"/>
    <w:rsid w:val="00AE1027"/>
    <w:rsid w:val="00AE23BF"/>
    <w:rsid w:val="00AE25AB"/>
    <w:rsid w:val="00AE46FA"/>
    <w:rsid w:val="00AE7C7A"/>
    <w:rsid w:val="00AF3430"/>
    <w:rsid w:val="00B03F4D"/>
    <w:rsid w:val="00B050FD"/>
    <w:rsid w:val="00B06038"/>
    <w:rsid w:val="00B176C3"/>
    <w:rsid w:val="00B224DD"/>
    <w:rsid w:val="00B31A3A"/>
    <w:rsid w:val="00B33693"/>
    <w:rsid w:val="00B36ECF"/>
    <w:rsid w:val="00B3789D"/>
    <w:rsid w:val="00B545BA"/>
    <w:rsid w:val="00B5542C"/>
    <w:rsid w:val="00B55AF7"/>
    <w:rsid w:val="00B56F9A"/>
    <w:rsid w:val="00B6390D"/>
    <w:rsid w:val="00B647A2"/>
    <w:rsid w:val="00B653E2"/>
    <w:rsid w:val="00B67DAA"/>
    <w:rsid w:val="00B72E79"/>
    <w:rsid w:val="00B81DB4"/>
    <w:rsid w:val="00B90575"/>
    <w:rsid w:val="00B916EF"/>
    <w:rsid w:val="00BA17CC"/>
    <w:rsid w:val="00BA319A"/>
    <w:rsid w:val="00BB2848"/>
    <w:rsid w:val="00BB52C8"/>
    <w:rsid w:val="00BC1EF9"/>
    <w:rsid w:val="00BC1FE4"/>
    <w:rsid w:val="00BC306A"/>
    <w:rsid w:val="00BD187E"/>
    <w:rsid w:val="00BD2D10"/>
    <w:rsid w:val="00BE25BD"/>
    <w:rsid w:val="00BF50CF"/>
    <w:rsid w:val="00BF6E01"/>
    <w:rsid w:val="00BF75D0"/>
    <w:rsid w:val="00C0696A"/>
    <w:rsid w:val="00C16244"/>
    <w:rsid w:val="00C2388B"/>
    <w:rsid w:val="00C27BEF"/>
    <w:rsid w:val="00C31CAC"/>
    <w:rsid w:val="00C332EB"/>
    <w:rsid w:val="00C34E20"/>
    <w:rsid w:val="00C3508B"/>
    <w:rsid w:val="00C43682"/>
    <w:rsid w:val="00C50A45"/>
    <w:rsid w:val="00C5124D"/>
    <w:rsid w:val="00C542B5"/>
    <w:rsid w:val="00C552B4"/>
    <w:rsid w:val="00C61233"/>
    <w:rsid w:val="00C61C05"/>
    <w:rsid w:val="00C642E2"/>
    <w:rsid w:val="00C73B3B"/>
    <w:rsid w:val="00C74960"/>
    <w:rsid w:val="00C823E2"/>
    <w:rsid w:val="00C841D5"/>
    <w:rsid w:val="00C8693C"/>
    <w:rsid w:val="00C86959"/>
    <w:rsid w:val="00C92EFE"/>
    <w:rsid w:val="00C95978"/>
    <w:rsid w:val="00C97707"/>
    <w:rsid w:val="00C97EE1"/>
    <w:rsid w:val="00CA449B"/>
    <w:rsid w:val="00CA4E90"/>
    <w:rsid w:val="00CA6527"/>
    <w:rsid w:val="00CA6AB6"/>
    <w:rsid w:val="00CB7192"/>
    <w:rsid w:val="00CD2F15"/>
    <w:rsid w:val="00CD3FCC"/>
    <w:rsid w:val="00CE43C7"/>
    <w:rsid w:val="00CE5505"/>
    <w:rsid w:val="00CE65DE"/>
    <w:rsid w:val="00D061B2"/>
    <w:rsid w:val="00D10951"/>
    <w:rsid w:val="00D11F7C"/>
    <w:rsid w:val="00D21135"/>
    <w:rsid w:val="00D22C95"/>
    <w:rsid w:val="00D24DA0"/>
    <w:rsid w:val="00D25073"/>
    <w:rsid w:val="00D32977"/>
    <w:rsid w:val="00D36843"/>
    <w:rsid w:val="00D458C0"/>
    <w:rsid w:val="00D55791"/>
    <w:rsid w:val="00D60159"/>
    <w:rsid w:val="00D73AB2"/>
    <w:rsid w:val="00D912F8"/>
    <w:rsid w:val="00D91799"/>
    <w:rsid w:val="00D95D66"/>
    <w:rsid w:val="00DA32A7"/>
    <w:rsid w:val="00DA6339"/>
    <w:rsid w:val="00DA7302"/>
    <w:rsid w:val="00DA7900"/>
    <w:rsid w:val="00DB0EE1"/>
    <w:rsid w:val="00DB482E"/>
    <w:rsid w:val="00DB645E"/>
    <w:rsid w:val="00DC3C1C"/>
    <w:rsid w:val="00DE51D7"/>
    <w:rsid w:val="00DF1F6C"/>
    <w:rsid w:val="00DF33A0"/>
    <w:rsid w:val="00DF4392"/>
    <w:rsid w:val="00DF4C26"/>
    <w:rsid w:val="00DF5793"/>
    <w:rsid w:val="00E04307"/>
    <w:rsid w:val="00E051C8"/>
    <w:rsid w:val="00E1018A"/>
    <w:rsid w:val="00E15919"/>
    <w:rsid w:val="00E178BB"/>
    <w:rsid w:val="00E20788"/>
    <w:rsid w:val="00E23A19"/>
    <w:rsid w:val="00E23FCB"/>
    <w:rsid w:val="00E252BE"/>
    <w:rsid w:val="00E25916"/>
    <w:rsid w:val="00E3075D"/>
    <w:rsid w:val="00E30F3F"/>
    <w:rsid w:val="00E31114"/>
    <w:rsid w:val="00E3211B"/>
    <w:rsid w:val="00E378F6"/>
    <w:rsid w:val="00E43FF2"/>
    <w:rsid w:val="00E469D9"/>
    <w:rsid w:val="00E513A9"/>
    <w:rsid w:val="00E626C1"/>
    <w:rsid w:val="00E65567"/>
    <w:rsid w:val="00E70E63"/>
    <w:rsid w:val="00E725C3"/>
    <w:rsid w:val="00E759FA"/>
    <w:rsid w:val="00E76290"/>
    <w:rsid w:val="00E779B1"/>
    <w:rsid w:val="00E82FA4"/>
    <w:rsid w:val="00E860FB"/>
    <w:rsid w:val="00E8760A"/>
    <w:rsid w:val="00E90A0F"/>
    <w:rsid w:val="00E92452"/>
    <w:rsid w:val="00E93697"/>
    <w:rsid w:val="00E95429"/>
    <w:rsid w:val="00EA0DDA"/>
    <w:rsid w:val="00EA2EB0"/>
    <w:rsid w:val="00EA3CB8"/>
    <w:rsid w:val="00EB0394"/>
    <w:rsid w:val="00EB0CD3"/>
    <w:rsid w:val="00EB2AA4"/>
    <w:rsid w:val="00EB6ECC"/>
    <w:rsid w:val="00ED24DD"/>
    <w:rsid w:val="00ED40D4"/>
    <w:rsid w:val="00ED4CDC"/>
    <w:rsid w:val="00EE196B"/>
    <w:rsid w:val="00EE3D22"/>
    <w:rsid w:val="00EE7BED"/>
    <w:rsid w:val="00EF5E91"/>
    <w:rsid w:val="00F04F47"/>
    <w:rsid w:val="00F058EE"/>
    <w:rsid w:val="00F07398"/>
    <w:rsid w:val="00F07696"/>
    <w:rsid w:val="00F25E56"/>
    <w:rsid w:val="00F30444"/>
    <w:rsid w:val="00F35DDA"/>
    <w:rsid w:val="00F35F65"/>
    <w:rsid w:val="00F37518"/>
    <w:rsid w:val="00F42355"/>
    <w:rsid w:val="00F52D82"/>
    <w:rsid w:val="00F56004"/>
    <w:rsid w:val="00F609BD"/>
    <w:rsid w:val="00F628D8"/>
    <w:rsid w:val="00F71607"/>
    <w:rsid w:val="00F71E59"/>
    <w:rsid w:val="00F72521"/>
    <w:rsid w:val="00F76B3A"/>
    <w:rsid w:val="00F80F0C"/>
    <w:rsid w:val="00F90677"/>
    <w:rsid w:val="00F926B8"/>
    <w:rsid w:val="00F93359"/>
    <w:rsid w:val="00FA2BB9"/>
    <w:rsid w:val="00FA2D50"/>
    <w:rsid w:val="00FA5856"/>
    <w:rsid w:val="00FA74EF"/>
    <w:rsid w:val="00FC25CD"/>
    <w:rsid w:val="00FC58D3"/>
    <w:rsid w:val="00FD27E2"/>
    <w:rsid w:val="00FD431E"/>
    <w:rsid w:val="00FD5E3B"/>
    <w:rsid w:val="00FE5C59"/>
    <w:rsid w:val="00FF07D8"/>
    <w:rsid w:val="00FF3E6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797A9-86DF-4FC7-8461-49E5B5EC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7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1329-021D-43F9-91E6-BC67F756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Paweł Ratyński</cp:lastModifiedBy>
  <cp:revision>2</cp:revision>
  <cp:lastPrinted>2015-12-30T12:50:00Z</cp:lastPrinted>
  <dcterms:created xsi:type="dcterms:W3CDTF">2016-01-15T09:32:00Z</dcterms:created>
  <dcterms:modified xsi:type="dcterms:W3CDTF">2016-01-15T09:32:00Z</dcterms:modified>
</cp:coreProperties>
</file>