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6C" w:rsidRDefault="00237A71" w:rsidP="00A73C3E">
      <w:pPr>
        <w:spacing w:after="0"/>
        <w:jc w:val="both"/>
      </w:pPr>
      <w:r>
        <w:t xml:space="preserve">Próbkę tekstu </w:t>
      </w:r>
      <w:r w:rsidR="00AC7FEC">
        <w:t>sprawozdania</w:t>
      </w:r>
      <w:r>
        <w:t xml:space="preserve"> należy</w:t>
      </w:r>
      <w:r w:rsidR="00583E6C">
        <w:t>:</w:t>
      </w:r>
    </w:p>
    <w:p w:rsidR="00583E6C" w:rsidRDefault="00A73C3E" w:rsidP="00A73C3E">
      <w:pPr>
        <w:pStyle w:val="Akapitzlist"/>
        <w:numPr>
          <w:ilvl w:val="0"/>
          <w:numId w:val="4"/>
        </w:numPr>
        <w:spacing w:after="0"/>
        <w:jc w:val="both"/>
      </w:pPr>
      <w:r>
        <w:t>opracować graficznie,</w:t>
      </w:r>
    </w:p>
    <w:p w:rsidR="00583E6C" w:rsidRDefault="00CC6493" w:rsidP="00583E6C">
      <w:pPr>
        <w:pStyle w:val="Akapitzlist"/>
        <w:numPr>
          <w:ilvl w:val="0"/>
          <w:numId w:val="4"/>
        </w:numPr>
        <w:jc w:val="both"/>
      </w:pPr>
      <w:r>
        <w:t xml:space="preserve">wykonać skład i łamanie </w:t>
      </w:r>
      <w:r w:rsidR="00583E6C">
        <w:t>tekstu</w:t>
      </w:r>
      <w:r w:rsidR="00A73C3E">
        <w:t>,</w:t>
      </w:r>
    </w:p>
    <w:p w:rsidR="00583E6C" w:rsidRDefault="00CC6493" w:rsidP="00583E6C">
      <w:pPr>
        <w:pStyle w:val="Akapitzlist"/>
        <w:jc w:val="both"/>
      </w:pPr>
      <w:r>
        <w:t>oraz</w:t>
      </w:r>
    </w:p>
    <w:p w:rsidR="00583E6C" w:rsidRDefault="00CC6493" w:rsidP="00583E6C">
      <w:pPr>
        <w:pStyle w:val="Akapitzlist"/>
        <w:numPr>
          <w:ilvl w:val="0"/>
          <w:numId w:val="4"/>
        </w:numPr>
        <w:jc w:val="both"/>
      </w:pPr>
      <w:r>
        <w:t>przygotować wers</w:t>
      </w:r>
      <w:r w:rsidR="00583E6C">
        <w:t>ję</w:t>
      </w:r>
      <w:r w:rsidR="00A73C3E">
        <w:t xml:space="preserve"> internetową (pdf z nawigacją).</w:t>
      </w:r>
    </w:p>
    <w:p w:rsidR="00CC6493" w:rsidRDefault="00583E6C" w:rsidP="00A73C3E">
      <w:pPr>
        <w:spacing w:after="0"/>
        <w:jc w:val="both"/>
      </w:pPr>
      <w:r>
        <w:t>Opracowując materiał Wykonawca weźmie pod uwagę następujące informacje</w:t>
      </w:r>
      <w:r w:rsidR="00CC6493">
        <w:t>:</w:t>
      </w:r>
    </w:p>
    <w:p w:rsidR="00CC6493" w:rsidRDefault="00AC7FEC" w:rsidP="00A73C3E">
      <w:pPr>
        <w:pStyle w:val="Akapitzlist"/>
        <w:numPr>
          <w:ilvl w:val="0"/>
          <w:numId w:val="4"/>
        </w:numPr>
        <w:spacing w:after="0"/>
        <w:jc w:val="both"/>
      </w:pPr>
      <w:r>
        <w:t>format: A4</w:t>
      </w:r>
      <w:r w:rsidR="00A73C3E">
        <w:t>,</w:t>
      </w:r>
    </w:p>
    <w:p w:rsidR="00583E6C" w:rsidRDefault="00583E6C" w:rsidP="00583E6C">
      <w:pPr>
        <w:pStyle w:val="Akapitzlist"/>
        <w:numPr>
          <w:ilvl w:val="0"/>
          <w:numId w:val="4"/>
        </w:numPr>
        <w:jc w:val="both"/>
      </w:pPr>
      <w:r>
        <w:t>odbiorcy: konsumenci</w:t>
      </w:r>
      <w:r w:rsidR="00AC7FEC">
        <w:t>, przedsiębiorcy, prawnicy, przedstawiciele zagranicznych urzędów antymonopolowych, krajowa administracja publiczna</w:t>
      </w:r>
      <w:r w:rsidR="00A73C3E">
        <w:t>,</w:t>
      </w:r>
    </w:p>
    <w:p w:rsidR="00583E6C" w:rsidRDefault="00583E6C" w:rsidP="00B01A7E">
      <w:pPr>
        <w:pStyle w:val="Akapitzlist"/>
        <w:numPr>
          <w:ilvl w:val="0"/>
          <w:numId w:val="4"/>
        </w:numPr>
        <w:jc w:val="both"/>
      </w:pPr>
      <w:r>
        <w:t>Wykonawca przygotowując skład zwróci uwagę na takie elementy jak: odpowiednie wyróżnienia, poprawne linkowanie, wzbog</w:t>
      </w:r>
      <w:r w:rsidR="00AC7FEC">
        <w:t xml:space="preserve">acenie tekstu </w:t>
      </w:r>
      <w:r w:rsidR="00A73C3E">
        <w:t xml:space="preserve">elementami graficznymi, np. </w:t>
      </w:r>
      <w:r w:rsidR="00AC7FEC">
        <w:t>grafiką/zdjęciami (zamieszczenie zdjęć/grafik nie jest obligatoryjne. Jeżeli jednak oferent zdecyduje się na zamieszczenie zdjęć może umieścić tzw. prevki, aby nie ponosić kosztu zakupu zdjęcia na etapie postępowania przetargowego)</w:t>
      </w:r>
      <w:r w:rsidR="00A73C3E">
        <w:t>.</w:t>
      </w:r>
    </w:p>
    <w:p w:rsidR="00B921B9" w:rsidRDefault="00B921B9" w:rsidP="00B921B9">
      <w:pPr>
        <w:jc w:val="both"/>
      </w:pPr>
      <w:r w:rsidRPr="00B921B9">
        <w:t xml:space="preserve">Przyznając punkty w kryterium </w:t>
      </w:r>
      <w:r w:rsidR="00583E6C">
        <w:t>„</w:t>
      </w:r>
      <w:r w:rsidRPr="00B921B9">
        <w:t>Jakość materiału próbnego</w:t>
      </w:r>
      <w:r w:rsidR="00583E6C">
        <w:t>”</w:t>
      </w:r>
      <w:r w:rsidRPr="00B921B9">
        <w:t xml:space="preserve"> Zamawiający będzie oceniał</w:t>
      </w:r>
      <w:r>
        <w:t xml:space="preserve"> j</w:t>
      </w:r>
      <w:r w:rsidRPr="00B921B9">
        <w:t>akość przygotowanego materiału</w:t>
      </w:r>
      <w:r w:rsidR="00237A71">
        <w:t>,</w:t>
      </w:r>
      <w:r w:rsidRPr="00B921B9">
        <w:t xml:space="preserve"> w tym</w:t>
      </w:r>
      <w:r w:rsidR="00A73C3E">
        <w:t xml:space="preserve"> następujące elementy</w:t>
      </w:r>
      <w:r w:rsidRPr="00B921B9">
        <w:t xml:space="preserve">: </w:t>
      </w:r>
    </w:p>
    <w:tbl>
      <w:tblPr>
        <w:tblStyle w:val="Tabela-Siatka"/>
        <w:tblW w:w="0" w:type="auto"/>
        <w:tblInd w:w="108" w:type="dxa"/>
        <w:tblLook w:val="04A0" w:firstRow="1" w:lastRow="0" w:firstColumn="1" w:lastColumn="0" w:noHBand="0" w:noVBand="1"/>
      </w:tblPr>
      <w:tblGrid>
        <w:gridCol w:w="1961"/>
        <w:gridCol w:w="5257"/>
        <w:gridCol w:w="1690"/>
      </w:tblGrid>
      <w:tr w:rsidR="00A73C3E" w:rsidRPr="00B8190C" w:rsidTr="009D43F9">
        <w:tc>
          <w:tcPr>
            <w:tcW w:w="1985" w:type="dxa"/>
            <w:shd w:val="clear" w:color="auto" w:fill="CCCCCC"/>
            <w:vAlign w:val="center"/>
          </w:tcPr>
          <w:p w:rsidR="00A73C3E" w:rsidRPr="00320630" w:rsidRDefault="00A73C3E" w:rsidP="00320630">
            <w:pPr>
              <w:jc w:val="center"/>
              <w:rPr>
                <w:rFonts w:asciiTheme="minorHAnsi" w:hAnsiTheme="minorHAnsi" w:cstheme="minorHAnsi"/>
                <w:b/>
                <w:sz w:val="22"/>
                <w:szCs w:val="22"/>
                <w:lang w:eastAsia="pl-PL"/>
              </w:rPr>
            </w:pPr>
            <w:r w:rsidRPr="00320630">
              <w:rPr>
                <w:rFonts w:asciiTheme="minorHAnsi" w:hAnsiTheme="minorHAnsi" w:cstheme="minorHAnsi"/>
                <w:b/>
                <w:sz w:val="22"/>
                <w:szCs w:val="22"/>
                <w:lang w:eastAsia="pl-PL"/>
              </w:rPr>
              <w:t>Nazwa</w:t>
            </w:r>
          </w:p>
        </w:tc>
        <w:tc>
          <w:tcPr>
            <w:tcW w:w="5386" w:type="dxa"/>
            <w:shd w:val="clear" w:color="auto" w:fill="CCCCCC"/>
            <w:vAlign w:val="center"/>
          </w:tcPr>
          <w:p w:rsidR="00A73C3E" w:rsidRPr="00320630" w:rsidRDefault="00A73C3E" w:rsidP="00320630">
            <w:pPr>
              <w:jc w:val="center"/>
              <w:rPr>
                <w:rFonts w:asciiTheme="minorHAnsi" w:hAnsiTheme="minorHAnsi" w:cstheme="minorHAnsi"/>
                <w:b/>
                <w:sz w:val="22"/>
                <w:szCs w:val="22"/>
                <w:lang w:eastAsia="pl-PL"/>
              </w:rPr>
            </w:pPr>
            <w:r w:rsidRPr="00320630">
              <w:rPr>
                <w:rFonts w:asciiTheme="minorHAnsi" w:hAnsiTheme="minorHAnsi" w:cstheme="minorHAnsi"/>
                <w:b/>
                <w:sz w:val="22"/>
                <w:szCs w:val="22"/>
                <w:lang w:eastAsia="pl-PL"/>
              </w:rPr>
              <w:t>Sposób oceny</w:t>
            </w:r>
          </w:p>
        </w:tc>
        <w:tc>
          <w:tcPr>
            <w:tcW w:w="1701" w:type="dxa"/>
            <w:shd w:val="clear" w:color="auto" w:fill="CCCCCC"/>
          </w:tcPr>
          <w:p w:rsidR="00A73C3E" w:rsidRPr="00320630" w:rsidRDefault="00A73C3E" w:rsidP="00320630">
            <w:pPr>
              <w:jc w:val="center"/>
              <w:rPr>
                <w:rFonts w:asciiTheme="minorHAnsi" w:hAnsiTheme="minorHAnsi" w:cstheme="minorHAnsi"/>
                <w:b/>
                <w:sz w:val="22"/>
                <w:szCs w:val="22"/>
                <w:lang w:eastAsia="pl-PL"/>
              </w:rPr>
            </w:pPr>
            <w:r w:rsidRPr="00320630">
              <w:rPr>
                <w:rFonts w:asciiTheme="minorHAnsi" w:hAnsiTheme="minorHAnsi" w:cstheme="minorHAnsi"/>
                <w:b/>
                <w:sz w:val="22"/>
                <w:szCs w:val="22"/>
                <w:lang w:eastAsia="pl-PL"/>
              </w:rPr>
              <w:t>Maksymalna liczba punktów do otrzymania</w:t>
            </w:r>
          </w:p>
        </w:tc>
      </w:tr>
      <w:tr w:rsidR="00A73C3E" w:rsidTr="009D43F9">
        <w:tc>
          <w:tcPr>
            <w:tcW w:w="1985" w:type="dxa"/>
            <w:vAlign w:val="center"/>
          </w:tcPr>
          <w:p w:rsidR="00A73C3E" w:rsidRPr="00320630" w:rsidRDefault="00A73C3E" w:rsidP="00320630">
            <w:pPr>
              <w:jc w:val="center"/>
              <w:rPr>
                <w:rFonts w:asciiTheme="minorHAnsi" w:hAnsiTheme="minorHAnsi" w:cstheme="minorHAnsi"/>
                <w:sz w:val="22"/>
                <w:szCs w:val="22"/>
                <w:lang w:eastAsia="pl-PL"/>
              </w:rPr>
            </w:pPr>
            <w:r w:rsidRPr="00320630">
              <w:rPr>
                <w:rFonts w:asciiTheme="minorHAnsi" w:hAnsiTheme="minorHAnsi" w:cstheme="minorHAnsi"/>
                <w:sz w:val="22"/>
                <w:szCs w:val="22"/>
                <w:lang w:eastAsia="pl-PL"/>
              </w:rPr>
              <w:t>Szata graficzna</w:t>
            </w:r>
          </w:p>
        </w:tc>
        <w:tc>
          <w:tcPr>
            <w:tcW w:w="5386" w:type="dxa"/>
          </w:tcPr>
          <w:p w:rsidR="00A73C3E" w:rsidRPr="00320630" w:rsidRDefault="00010F35" w:rsidP="00320630">
            <w:pPr>
              <w:jc w:val="center"/>
              <w:rPr>
                <w:rFonts w:asciiTheme="minorHAnsi" w:hAnsiTheme="minorHAnsi" w:cstheme="minorHAnsi"/>
                <w:sz w:val="22"/>
                <w:szCs w:val="22"/>
                <w:lang w:eastAsia="pl-PL"/>
              </w:rPr>
            </w:pPr>
            <w:r w:rsidRPr="00010F35">
              <w:rPr>
                <w:rFonts w:asciiTheme="minorHAnsi" w:hAnsiTheme="minorHAnsi" w:cstheme="minorHAnsi"/>
                <w:sz w:val="22"/>
                <w:szCs w:val="22"/>
                <w:lang w:eastAsia="pl-PL"/>
              </w:rPr>
              <w:t>Przy ocenie Zamawiający weźmie pod uwagę spójność opracowania z systemem identyfikacji wizualnej UOKiK, spójność opracowania graficznego z tekstem (poprzez zastosowane elementy graficzne, np. ew. ikony, zdjęcia, grafiki), doboru zdjęć/grafik z tekstem, estetykę przygotowanego materiału, dobór kolorystki (współgrającej ze sobą), kreatywność rozumianą jako przygotowanie opracowania, które nie jest nudne, a jednocześnie dostosowane do instytucji, dla której jest przygotowywane</w:t>
            </w:r>
          </w:p>
        </w:tc>
        <w:tc>
          <w:tcPr>
            <w:tcW w:w="1701" w:type="dxa"/>
            <w:vAlign w:val="center"/>
          </w:tcPr>
          <w:p w:rsidR="00A73C3E" w:rsidRPr="00320630" w:rsidRDefault="00A73C3E" w:rsidP="00320630">
            <w:pPr>
              <w:jc w:val="center"/>
              <w:rPr>
                <w:rFonts w:asciiTheme="minorHAnsi" w:hAnsiTheme="minorHAnsi" w:cstheme="minorHAnsi"/>
                <w:sz w:val="22"/>
                <w:szCs w:val="22"/>
                <w:lang w:eastAsia="pl-PL"/>
              </w:rPr>
            </w:pPr>
            <w:r w:rsidRPr="00320630">
              <w:rPr>
                <w:rFonts w:asciiTheme="minorHAnsi" w:hAnsiTheme="minorHAnsi" w:cstheme="minorHAnsi"/>
                <w:sz w:val="22"/>
                <w:szCs w:val="22"/>
                <w:lang w:eastAsia="pl-PL"/>
              </w:rPr>
              <w:t>20</w:t>
            </w:r>
          </w:p>
        </w:tc>
      </w:tr>
      <w:tr w:rsidR="00A73C3E" w:rsidTr="009D43F9">
        <w:tc>
          <w:tcPr>
            <w:tcW w:w="1985" w:type="dxa"/>
            <w:vAlign w:val="center"/>
          </w:tcPr>
          <w:p w:rsidR="00A73C3E" w:rsidRPr="00320630" w:rsidRDefault="00A73C3E" w:rsidP="00320630">
            <w:pPr>
              <w:jc w:val="center"/>
              <w:rPr>
                <w:rFonts w:asciiTheme="minorHAnsi" w:hAnsiTheme="minorHAnsi" w:cstheme="minorHAnsi"/>
                <w:sz w:val="22"/>
                <w:szCs w:val="22"/>
                <w:lang w:eastAsia="pl-PL"/>
              </w:rPr>
            </w:pPr>
            <w:r w:rsidRPr="00320630">
              <w:rPr>
                <w:rFonts w:asciiTheme="minorHAnsi" w:hAnsiTheme="minorHAnsi" w:cstheme="minorHAnsi"/>
                <w:sz w:val="22"/>
                <w:szCs w:val="22"/>
                <w:lang w:eastAsia="pl-PL"/>
              </w:rPr>
              <w:t>Poprawność linkowania</w:t>
            </w:r>
          </w:p>
        </w:tc>
        <w:tc>
          <w:tcPr>
            <w:tcW w:w="5386" w:type="dxa"/>
          </w:tcPr>
          <w:p w:rsidR="00A73C3E" w:rsidRPr="00320630" w:rsidRDefault="00010F35" w:rsidP="00320630">
            <w:pPr>
              <w:jc w:val="center"/>
              <w:rPr>
                <w:rFonts w:asciiTheme="minorHAnsi" w:hAnsiTheme="minorHAnsi" w:cstheme="minorHAnsi"/>
                <w:sz w:val="22"/>
                <w:szCs w:val="22"/>
                <w:lang w:eastAsia="pl-PL"/>
              </w:rPr>
            </w:pPr>
            <w:r w:rsidRPr="00010F35">
              <w:rPr>
                <w:rFonts w:asciiTheme="minorHAnsi" w:hAnsiTheme="minorHAnsi" w:cstheme="minorHAnsi"/>
                <w:sz w:val="22"/>
                <w:szCs w:val="22"/>
                <w:lang w:eastAsia="pl-PL"/>
              </w:rPr>
              <w:t>Wykonawca otrzy</w:t>
            </w:r>
            <w:r>
              <w:rPr>
                <w:rFonts w:asciiTheme="minorHAnsi" w:hAnsiTheme="minorHAnsi" w:cstheme="minorHAnsi"/>
                <w:sz w:val="22"/>
                <w:szCs w:val="22"/>
                <w:lang w:eastAsia="pl-PL"/>
              </w:rPr>
              <w:t>ma maksymalną liczbę punktów, w </w:t>
            </w:r>
            <w:r w:rsidRPr="00010F35">
              <w:rPr>
                <w:rFonts w:asciiTheme="minorHAnsi" w:hAnsiTheme="minorHAnsi" w:cstheme="minorHAnsi"/>
                <w:sz w:val="22"/>
                <w:szCs w:val="22"/>
                <w:lang w:eastAsia="pl-PL"/>
              </w:rPr>
              <w:t>przypadku gdy wszystkie linki będą poprawnie linkowały. Błąd w li</w:t>
            </w:r>
            <w:r>
              <w:rPr>
                <w:rFonts w:asciiTheme="minorHAnsi" w:hAnsiTheme="minorHAnsi" w:cstheme="minorHAnsi"/>
                <w:sz w:val="22"/>
                <w:szCs w:val="22"/>
                <w:lang w:eastAsia="pl-PL"/>
              </w:rPr>
              <w:t>nkowaniu skutkuje przyznaniem 0 </w:t>
            </w:r>
            <w:r w:rsidRPr="00010F35">
              <w:rPr>
                <w:rFonts w:asciiTheme="minorHAnsi" w:hAnsiTheme="minorHAnsi" w:cstheme="minorHAnsi"/>
                <w:sz w:val="22"/>
                <w:szCs w:val="22"/>
                <w:lang w:eastAsia="pl-PL"/>
              </w:rPr>
              <w:t>punktów.</w:t>
            </w:r>
          </w:p>
        </w:tc>
        <w:tc>
          <w:tcPr>
            <w:tcW w:w="1701" w:type="dxa"/>
            <w:vAlign w:val="center"/>
          </w:tcPr>
          <w:p w:rsidR="00A73C3E" w:rsidRPr="00320630" w:rsidRDefault="00A73C3E" w:rsidP="00320630">
            <w:pPr>
              <w:jc w:val="center"/>
              <w:rPr>
                <w:rFonts w:asciiTheme="minorHAnsi" w:hAnsiTheme="minorHAnsi" w:cstheme="minorHAnsi"/>
                <w:sz w:val="22"/>
                <w:szCs w:val="22"/>
                <w:lang w:eastAsia="pl-PL"/>
              </w:rPr>
            </w:pPr>
            <w:r w:rsidRPr="00320630">
              <w:rPr>
                <w:rFonts w:asciiTheme="minorHAnsi" w:hAnsiTheme="minorHAnsi" w:cstheme="minorHAnsi"/>
                <w:sz w:val="22"/>
                <w:szCs w:val="22"/>
                <w:lang w:eastAsia="pl-PL"/>
              </w:rPr>
              <w:t>5</w:t>
            </w:r>
          </w:p>
        </w:tc>
      </w:tr>
      <w:tr w:rsidR="00A73C3E" w:rsidTr="009D43F9">
        <w:tc>
          <w:tcPr>
            <w:tcW w:w="1985" w:type="dxa"/>
            <w:vAlign w:val="center"/>
          </w:tcPr>
          <w:p w:rsidR="00A73C3E" w:rsidRPr="00320630" w:rsidRDefault="00A73C3E" w:rsidP="00320630">
            <w:pPr>
              <w:jc w:val="center"/>
              <w:rPr>
                <w:rFonts w:asciiTheme="minorHAnsi" w:hAnsiTheme="minorHAnsi" w:cstheme="minorHAnsi"/>
                <w:sz w:val="22"/>
                <w:szCs w:val="22"/>
                <w:lang w:eastAsia="pl-PL"/>
              </w:rPr>
            </w:pPr>
            <w:r w:rsidRPr="00320630">
              <w:rPr>
                <w:rFonts w:asciiTheme="minorHAnsi" w:hAnsiTheme="minorHAnsi" w:cstheme="minorHAnsi"/>
                <w:sz w:val="22"/>
                <w:szCs w:val="22"/>
                <w:lang w:eastAsia="pl-PL"/>
              </w:rPr>
              <w:t>Poprawność składu</w:t>
            </w:r>
          </w:p>
        </w:tc>
        <w:tc>
          <w:tcPr>
            <w:tcW w:w="5386" w:type="dxa"/>
          </w:tcPr>
          <w:p w:rsidR="00A73C3E" w:rsidRPr="00320630" w:rsidRDefault="00010F35" w:rsidP="00320630">
            <w:pPr>
              <w:jc w:val="center"/>
              <w:rPr>
                <w:rFonts w:asciiTheme="minorHAnsi" w:hAnsiTheme="minorHAnsi" w:cstheme="minorHAnsi"/>
                <w:sz w:val="22"/>
                <w:szCs w:val="22"/>
                <w:lang w:eastAsia="pl-PL"/>
              </w:rPr>
            </w:pPr>
            <w:r w:rsidRPr="00010F35">
              <w:rPr>
                <w:rFonts w:asciiTheme="minorHAnsi" w:hAnsiTheme="minorHAnsi" w:cstheme="minorHAnsi"/>
                <w:sz w:val="22"/>
                <w:szCs w:val="22"/>
                <w:lang w:eastAsia="pl-PL"/>
              </w:rPr>
              <w:t>Wykonawca otrzy</w:t>
            </w:r>
            <w:r>
              <w:rPr>
                <w:rFonts w:asciiTheme="minorHAnsi" w:hAnsiTheme="minorHAnsi" w:cstheme="minorHAnsi"/>
                <w:sz w:val="22"/>
                <w:szCs w:val="22"/>
                <w:lang w:eastAsia="pl-PL"/>
              </w:rPr>
              <w:t>ma maksymalną liczbę punktów, w </w:t>
            </w:r>
            <w:r w:rsidRPr="00010F35">
              <w:rPr>
                <w:rFonts w:asciiTheme="minorHAnsi" w:hAnsiTheme="minorHAnsi" w:cstheme="minorHAnsi"/>
                <w:sz w:val="22"/>
                <w:szCs w:val="22"/>
                <w:lang w:eastAsia="pl-PL"/>
              </w:rPr>
              <w:t>przypadku gdy nie będzi</w:t>
            </w:r>
            <w:r>
              <w:rPr>
                <w:rFonts w:asciiTheme="minorHAnsi" w:hAnsiTheme="minorHAnsi" w:cstheme="minorHAnsi"/>
                <w:sz w:val="22"/>
                <w:szCs w:val="22"/>
                <w:lang w:eastAsia="pl-PL"/>
              </w:rPr>
              <w:t>e błędów w składzie, np. </w:t>
            </w:r>
            <w:r w:rsidRPr="00010F35">
              <w:rPr>
                <w:rFonts w:asciiTheme="minorHAnsi" w:hAnsiTheme="minorHAnsi" w:cstheme="minorHAnsi"/>
                <w:sz w:val="22"/>
                <w:szCs w:val="22"/>
                <w:lang w:eastAsia="pl-PL"/>
              </w:rPr>
              <w:t>literówki (o ile nie były w przesłanej próbce tekstu), złe łamanie wyrazów, itp. Błąd w składzie skutkuje przyznaniem 0 punktów.</w:t>
            </w:r>
          </w:p>
        </w:tc>
        <w:tc>
          <w:tcPr>
            <w:tcW w:w="1701" w:type="dxa"/>
            <w:vAlign w:val="center"/>
          </w:tcPr>
          <w:p w:rsidR="00A73C3E" w:rsidRPr="00320630" w:rsidRDefault="00A73C3E" w:rsidP="00320630">
            <w:pPr>
              <w:jc w:val="center"/>
              <w:rPr>
                <w:rFonts w:asciiTheme="minorHAnsi" w:hAnsiTheme="minorHAnsi" w:cstheme="minorHAnsi"/>
                <w:sz w:val="22"/>
                <w:szCs w:val="22"/>
                <w:lang w:eastAsia="pl-PL"/>
              </w:rPr>
            </w:pPr>
            <w:r w:rsidRPr="00320630">
              <w:rPr>
                <w:rFonts w:asciiTheme="minorHAnsi" w:hAnsiTheme="minorHAnsi" w:cstheme="minorHAnsi"/>
                <w:sz w:val="22"/>
                <w:szCs w:val="22"/>
                <w:lang w:eastAsia="pl-PL"/>
              </w:rPr>
              <w:t>5</w:t>
            </w:r>
          </w:p>
        </w:tc>
      </w:tr>
    </w:tbl>
    <w:p w:rsidR="00B921B9" w:rsidRDefault="00B921B9" w:rsidP="00B921B9">
      <w:pPr>
        <w:jc w:val="both"/>
      </w:pPr>
      <w:r w:rsidRPr="00B921B9">
        <w:t>Przyjmuje się że 1 pkt = 1% .</w:t>
      </w:r>
    </w:p>
    <w:p w:rsidR="009D43F9" w:rsidRPr="009D43F9" w:rsidRDefault="009D43F9" w:rsidP="00B921B9">
      <w:pPr>
        <w:jc w:val="both"/>
        <w:rPr>
          <w:b/>
        </w:rPr>
      </w:pPr>
      <w:r w:rsidRPr="009D43F9">
        <w:rPr>
          <w:b/>
        </w:rPr>
        <w:t>Sposób przygotowania materiału</w:t>
      </w:r>
    </w:p>
    <w:p w:rsidR="009D43F9" w:rsidRDefault="00B921B9" w:rsidP="00320630">
      <w:pPr>
        <w:spacing w:after="200"/>
        <w:jc w:val="both"/>
      </w:pPr>
      <w:r>
        <w:t xml:space="preserve">Materiał ma być złożony w formie </w:t>
      </w:r>
      <w:r w:rsidR="009D43F9">
        <w:t xml:space="preserve">kolorowego </w:t>
      </w:r>
      <w:r>
        <w:t>wydruku</w:t>
      </w:r>
      <w:r w:rsidR="009D43F9">
        <w:t xml:space="preserve"> w formacie A4 (wydruk dwustronny) oraz zapisany na płycie cd.</w:t>
      </w:r>
    </w:p>
    <w:p w:rsidR="00B921B9" w:rsidRPr="009D43F9" w:rsidRDefault="009638E8" w:rsidP="00320630">
      <w:pPr>
        <w:spacing w:after="200"/>
        <w:jc w:val="both"/>
        <w:rPr>
          <w:b/>
        </w:rPr>
      </w:pPr>
      <w:r w:rsidRPr="009D43F9">
        <w:rPr>
          <w:b/>
        </w:rPr>
        <w:t>Brak załączenia przez Wykonawcę do oferty przygotowanego materiału próbnego będzie uznany przez Zamawiającego jako niezgodność z treścią SIWZ</w:t>
      </w:r>
      <w:r w:rsidR="00A73C3E" w:rsidRPr="009D43F9">
        <w:rPr>
          <w:b/>
        </w:rPr>
        <w:t>,</w:t>
      </w:r>
      <w:r w:rsidRPr="009D43F9">
        <w:rPr>
          <w:b/>
        </w:rPr>
        <w:t xml:space="preserve"> co spowoduje odrzucenie oferty w trybie art. 89 ust. 1 pkt 2 us</w:t>
      </w:r>
      <w:r w:rsidR="00320630">
        <w:rPr>
          <w:b/>
        </w:rPr>
        <w:t>tawy Prawo zamówień publicznych.</w:t>
      </w:r>
    </w:p>
    <w:p w:rsidR="00B921B9" w:rsidRDefault="009D43F9" w:rsidP="009638E8">
      <w:pPr>
        <w:rPr>
          <w:b/>
          <w:sz w:val="24"/>
          <w:szCs w:val="24"/>
        </w:rPr>
      </w:pPr>
      <w:bookmarkStart w:id="0" w:name="_GoBack"/>
      <w:bookmarkEnd w:id="0"/>
      <w:r>
        <w:rPr>
          <w:b/>
          <w:sz w:val="24"/>
          <w:szCs w:val="24"/>
        </w:rPr>
        <w:lastRenderedPageBreak/>
        <w:t>Sprawozdanie</w:t>
      </w:r>
      <w:r w:rsidR="00B921B9" w:rsidRPr="00B921B9">
        <w:rPr>
          <w:b/>
          <w:sz w:val="24"/>
          <w:szCs w:val="24"/>
        </w:rPr>
        <w:t xml:space="preserve"> – tekst </w:t>
      </w:r>
      <w:r w:rsidR="00B921B9">
        <w:rPr>
          <w:b/>
          <w:sz w:val="24"/>
          <w:szCs w:val="24"/>
        </w:rPr>
        <w:t>do ocenienia</w:t>
      </w:r>
      <w:r w:rsidR="00B921B9" w:rsidRPr="00B921B9">
        <w:rPr>
          <w:b/>
          <w:sz w:val="24"/>
          <w:szCs w:val="24"/>
        </w:rPr>
        <w:t xml:space="preserve"> </w:t>
      </w:r>
      <w:r w:rsidR="009F663E">
        <w:rPr>
          <w:b/>
          <w:sz w:val="24"/>
          <w:szCs w:val="24"/>
        </w:rPr>
        <w:t xml:space="preserve">w </w:t>
      </w:r>
      <w:r w:rsidR="00B921B9" w:rsidRPr="00B921B9">
        <w:rPr>
          <w:b/>
          <w:sz w:val="24"/>
          <w:szCs w:val="24"/>
        </w:rPr>
        <w:t>kryterium Jakości materiału próbnego</w:t>
      </w:r>
    </w:p>
    <w:bookmarkStart w:id="1" w:name="_Toc455927424" w:displacedByCustomXml="next"/>
    <w:bookmarkStart w:id="2" w:name="_Toc455927482" w:displacedByCustomXml="next"/>
    <w:sdt>
      <w:sdtPr>
        <w:rPr>
          <w:rFonts w:asciiTheme="minorHAnsi" w:eastAsiaTheme="minorHAnsi" w:hAnsiTheme="minorHAnsi" w:cstheme="minorBidi"/>
          <w:color w:val="auto"/>
          <w:sz w:val="22"/>
          <w:szCs w:val="22"/>
          <w:lang w:eastAsia="en-US"/>
        </w:rPr>
        <w:id w:val="-1249121203"/>
        <w:docPartObj>
          <w:docPartGallery w:val="Table of Contents"/>
          <w:docPartUnique/>
        </w:docPartObj>
      </w:sdtPr>
      <w:sdtEndPr>
        <w:rPr>
          <w:b/>
          <w:bCs/>
        </w:rPr>
      </w:sdtEndPr>
      <w:sdtContent>
        <w:p w:rsidR="00320630" w:rsidRDefault="00320630">
          <w:pPr>
            <w:pStyle w:val="Nagwekspisutreci"/>
          </w:pPr>
          <w:r>
            <w:t>Spis treści</w:t>
          </w:r>
        </w:p>
        <w:p w:rsidR="00862C0F" w:rsidRDefault="00320630">
          <w:pPr>
            <w:pStyle w:val="Spistreci1"/>
            <w:tabs>
              <w:tab w:val="right" w:leader="dot" w:pos="9016"/>
            </w:tabs>
            <w:rPr>
              <w:rFonts w:eastAsiaTheme="minorEastAsia"/>
              <w:noProof/>
              <w:lang w:eastAsia="pl-PL"/>
            </w:rPr>
          </w:pPr>
          <w:r>
            <w:fldChar w:fldCharType="begin"/>
          </w:r>
          <w:r>
            <w:instrText xml:space="preserve"> TOC \o "1-3" \h \z \u </w:instrText>
          </w:r>
          <w:r>
            <w:fldChar w:fldCharType="separate"/>
          </w:r>
          <w:hyperlink w:anchor="_Toc490807734" w:history="1">
            <w:r w:rsidR="00862C0F" w:rsidRPr="00902565">
              <w:rPr>
                <w:rStyle w:val="Hipercze"/>
                <w:rFonts w:cs="Arial"/>
                <w:noProof/>
              </w:rPr>
              <w:t>Kalendarium 2015</w:t>
            </w:r>
            <w:r w:rsidR="00862C0F">
              <w:rPr>
                <w:noProof/>
                <w:webHidden/>
              </w:rPr>
              <w:tab/>
            </w:r>
            <w:r w:rsidR="00862C0F">
              <w:rPr>
                <w:noProof/>
                <w:webHidden/>
              </w:rPr>
              <w:fldChar w:fldCharType="begin"/>
            </w:r>
            <w:r w:rsidR="00862C0F">
              <w:rPr>
                <w:noProof/>
                <w:webHidden/>
              </w:rPr>
              <w:instrText xml:space="preserve"> PAGEREF _Toc490807734 \h </w:instrText>
            </w:r>
            <w:r w:rsidR="00862C0F">
              <w:rPr>
                <w:noProof/>
                <w:webHidden/>
              </w:rPr>
            </w:r>
            <w:r w:rsidR="00862C0F">
              <w:rPr>
                <w:noProof/>
                <w:webHidden/>
              </w:rPr>
              <w:fldChar w:fldCharType="separate"/>
            </w:r>
            <w:r w:rsidR="00862C0F">
              <w:rPr>
                <w:noProof/>
                <w:webHidden/>
              </w:rPr>
              <w:t>3</w:t>
            </w:r>
            <w:r w:rsidR="00862C0F">
              <w:rPr>
                <w:noProof/>
                <w:webHidden/>
              </w:rPr>
              <w:fldChar w:fldCharType="end"/>
            </w:r>
          </w:hyperlink>
        </w:p>
        <w:p w:rsidR="00862C0F" w:rsidRDefault="0087027E">
          <w:pPr>
            <w:pStyle w:val="Spistreci1"/>
            <w:tabs>
              <w:tab w:val="right" w:leader="dot" w:pos="9016"/>
            </w:tabs>
            <w:rPr>
              <w:rFonts w:eastAsiaTheme="minorEastAsia"/>
              <w:noProof/>
              <w:lang w:eastAsia="pl-PL"/>
            </w:rPr>
          </w:pPr>
          <w:hyperlink w:anchor="_Toc490807735" w:history="1">
            <w:r w:rsidR="00862C0F" w:rsidRPr="00902565">
              <w:rPr>
                <w:rStyle w:val="Hipercze"/>
                <w:noProof/>
              </w:rPr>
              <w:t>Rozdział 1. Ochrona konsumentów</w:t>
            </w:r>
            <w:r w:rsidR="00862C0F">
              <w:rPr>
                <w:noProof/>
                <w:webHidden/>
              </w:rPr>
              <w:tab/>
            </w:r>
            <w:r w:rsidR="00862C0F">
              <w:rPr>
                <w:noProof/>
                <w:webHidden/>
              </w:rPr>
              <w:fldChar w:fldCharType="begin"/>
            </w:r>
            <w:r w:rsidR="00862C0F">
              <w:rPr>
                <w:noProof/>
                <w:webHidden/>
              </w:rPr>
              <w:instrText xml:space="preserve"> PAGEREF _Toc490807735 \h </w:instrText>
            </w:r>
            <w:r w:rsidR="00862C0F">
              <w:rPr>
                <w:noProof/>
                <w:webHidden/>
              </w:rPr>
            </w:r>
            <w:r w:rsidR="00862C0F">
              <w:rPr>
                <w:noProof/>
                <w:webHidden/>
              </w:rPr>
              <w:fldChar w:fldCharType="separate"/>
            </w:r>
            <w:r w:rsidR="00862C0F">
              <w:rPr>
                <w:noProof/>
                <w:webHidden/>
              </w:rPr>
              <w:t>4</w:t>
            </w:r>
            <w:r w:rsidR="00862C0F">
              <w:rPr>
                <w:noProof/>
                <w:webHidden/>
              </w:rPr>
              <w:fldChar w:fldCharType="end"/>
            </w:r>
          </w:hyperlink>
        </w:p>
        <w:p w:rsidR="00862C0F" w:rsidRDefault="0087027E">
          <w:pPr>
            <w:pStyle w:val="Spistreci2"/>
            <w:tabs>
              <w:tab w:val="right" w:leader="dot" w:pos="9016"/>
            </w:tabs>
            <w:rPr>
              <w:rFonts w:eastAsiaTheme="minorEastAsia"/>
              <w:noProof/>
              <w:lang w:eastAsia="pl-PL"/>
            </w:rPr>
          </w:pPr>
          <w:hyperlink w:anchor="_Toc490807736" w:history="1">
            <w:r w:rsidR="00862C0F" w:rsidRPr="00902565">
              <w:rPr>
                <w:rStyle w:val="Hipercze"/>
                <w:rFonts w:cstheme="minorHAnsi"/>
                <w:noProof/>
              </w:rPr>
              <w:t>I. Praktyki naruszaj</w:t>
            </w:r>
            <w:r w:rsidR="00862C0F" w:rsidRPr="00902565">
              <w:rPr>
                <w:rStyle w:val="Hipercze"/>
                <w:rFonts w:cstheme="minorHAnsi"/>
                <w:bCs/>
                <w:iCs/>
                <w:noProof/>
              </w:rPr>
              <w:t>ące zbiorowe interesy konsumentów oraz niedozwolone wzorce umów</w:t>
            </w:r>
            <w:r w:rsidR="00862C0F">
              <w:rPr>
                <w:noProof/>
                <w:webHidden/>
              </w:rPr>
              <w:tab/>
            </w:r>
            <w:r w:rsidR="00862C0F">
              <w:rPr>
                <w:noProof/>
                <w:webHidden/>
              </w:rPr>
              <w:fldChar w:fldCharType="begin"/>
            </w:r>
            <w:r w:rsidR="00862C0F">
              <w:rPr>
                <w:noProof/>
                <w:webHidden/>
              </w:rPr>
              <w:instrText xml:space="preserve"> PAGEREF _Toc490807736 \h </w:instrText>
            </w:r>
            <w:r w:rsidR="00862C0F">
              <w:rPr>
                <w:noProof/>
                <w:webHidden/>
              </w:rPr>
            </w:r>
            <w:r w:rsidR="00862C0F">
              <w:rPr>
                <w:noProof/>
                <w:webHidden/>
              </w:rPr>
              <w:fldChar w:fldCharType="separate"/>
            </w:r>
            <w:r w:rsidR="00862C0F">
              <w:rPr>
                <w:noProof/>
                <w:webHidden/>
              </w:rPr>
              <w:t>4</w:t>
            </w:r>
            <w:r w:rsidR="00862C0F">
              <w:rPr>
                <w:noProof/>
                <w:webHidden/>
              </w:rPr>
              <w:fldChar w:fldCharType="end"/>
            </w:r>
          </w:hyperlink>
        </w:p>
        <w:p w:rsidR="00862C0F" w:rsidRDefault="0087027E">
          <w:pPr>
            <w:pStyle w:val="Spistreci3"/>
            <w:tabs>
              <w:tab w:val="right" w:leader="dot" w:pos="9016"/>
            </w:tabs>
            <w:rPr>
              <w:rFonts w:eastAsiaTheme="minorEastAsia"/>
              <w:noProof/>
              <w:lang w:eastAsia="pl-PL"/>
            </w:rPr>
          </w:pPr>
          <w:hyperlink w:anchor="_Toc490807737" w:history="1">
            <w:r w:rsidR="00862C0F" w:rsidRPr="00902565">
              <w:rPr>
                <w:rStyle w:val="Hipercze"/>
                <w:rFonts w:cstheme="minorHAnsi"/>
                <w:noProof/>
                <w:shd w:val="clear" w:color="auto" w:fill="FFFFFF"/>
              </w:rPr>
              <w:t>1.1. Praktyki naruszające zbiorowe interesy konsumentów</w:t>
            </w:r>
            <w:r w:rsidR="00862C0F">
              <w:rPr>
                <w:noProof/>
                <w:webHidden/>
              </w:rPr>
              <w:tab/>
            </w:r>
            <w:r w:rsidR="00862C0F">
              <w:rPr>
                <w:noProof/>
                <w:webHidden/>
              </w:rPr>
              <w:fldChar w:fldCharType="begin"/>
            </w:r>
            <w:r w:rsidR="00862C0F">
              <w:rPr>
                <w:noProof/>
                <w:webHidden/>
              </w:rPr>
              <w:instrText xml:space="preserve"> PAGEREF _Toc490807737 \h </w:instrText>
            </w:r>
            <w:r w:rsidR="00862C0F">
              <w:rPr>
                <w:noProof/>
                <w:webHidden/>
              </w:rPr>
            </w:r>
            <w:r w:rsidR="00862C0F">
              <w:rPr>
                <w:noProof/>
                <w:webHidden/>
              </w:rPr>
              <w:fldChar w:fldCharType="separate"/>
            </w:r>
            <w:r w:rsidR="00862C0F">
              <w:rPr>
                <w:noProof/>
                <w:webHidden/>
              </w:rPr>
              <w:t>4</w:t>
            </w:r>
            <w:r w:rsidR="00862C0F">
              <w:rPr>
                <w:noProof/>
                <w:webHidden/>
              </w:rPr>
              <w:fldChar w:fldCharType="end"/>
            </w:r>
          </w:hyperlink>
        </w:p>
        <w:p w:rsidR="00862C0F" w:rsidRDefault="0087027E">
          <w:pPr>
            <w:pStyle w:val="Spistreci3"/>
            <w:tabs>
              <w:tab w:val="right" w:leader="dot" w:pos="9016"/>
            </w:tabs>
            <w:rPr>
              <w:rFonts w:eastAsiaTheme="minorEastAsia"/>
              <w:noProof/>
              <w:lang w:eastAsia="pl-PL"/>
            </w:rPr>
          </w:pPr>
          <w:hyperlink w:anchor="_Toc490807738" w:history="1">
            <w:r w:rsidR="00862C0F" w:rsidRPr="00902565">
              <w:rPr>
                <w:rStyle w:val="Hipercze"/>
                <w:rFonts w:eastAsia="Times New Roman"/>
                <w:noProof/>
              </w:rPr>
              <w:t xml:space="preserve">1.2. </w:t>
            </w:r>
            <w:r w:rsidR="00862C0F" w:rsidRPr="00902565">
              <w:rPr>
                <w:rStyle w:val="Hipercze"/>
                <w:noProof/>
              </w:rPr>
              <w:t>Wybrane</w:t>
            </w:r>
            <w:r w:rsidR="00862C0F" w:rsidRPr="00902565">
              <w:rPr>
                <w:rStyle w:val="Hipercze"/>
                <w:rFonts w:eastAsia="Times New Roman"/>
                <w:noProof/>
              </w:rPr>
              <w:t xml:space="preserve"> postępowania i </w:t>
            </w:r>
            <w:r w:rsidR="00862C0F" w:rsidRPr="00902565">
              <w:rPr>
                <w:rStyle w:val="Hipercze"/>
                <w:noProof/>
              </w:rPr>
              <w:t xml:space="preserve">decyzje </w:t>
            </w:r>
            <w:r w:rsidR="00862C0F" w:rsidRPr="00902565">
              <w:rPr>
                <w:rStyle w:val="Hipercze"/>
                <w:rFonts w:eastAsia="Times New Roman"/>
                <w:noProof/>
              </w:rPr>
              <w:t>dotyczące zbiorowych interesów konsumentów</w:t>
            </w:r>
            <w:r w:rsidR="00862C0F">
              <w:rPr>
                <w:noProof/>
                <w:webHidden/>
              </w:rPr>
              <w:tab/>
            </w:r>
            <w:r w:rsidR="00862C0F">
              <w:rPr>
                <w:noProof/>
                <w:webHidden/>
              </w:rPr>
              <w:fldChar w:fldCharType="begin"/>
            </w:r>
            <w:r w:rsidR="00862C0F">
              <w:rPr>
                <w:noProof/>
                <w:webHidden/>
              </w:rPr>
              <w:instrText xml:space="preserve"> PAGEREF _Toc490807738 \h </w:instrText>
            </w:r>
            <w:r w:rsidR="00862C0F">
              <w:rPr>
                <w:noProof/>
                <w:webHidden/>
              </w:rPr>
            </w:r>
            <w:r w:rsidR="00862C0F">
              <w:rPr>
                <w:noProof/>
                <w:webHidden/>
              </w:rPr>
              <w:fldChar w:fldCharType="separate"/>
            </w:r>
            <w:r w:rsidR="00862C0F">
              <w:rPr>
                <w:noProof/>
                <w:webHidden/>
              </w:rPr>
              <w:t>6</w:t>
            </w:r>
            <w:r w:rsidR="00862C0F">
              <w:rPr>
                <w:noProof/>
                <w:webHidden/>
              </w:rPr>
              <w:fldChar w:fldCharType="end"/>
            </w:r>
          </w:hyperlink>
        </w:p>
        <w:p w:rsidR="00862C0F" w:rsidRDefault="0087027E">
          <w:pPr>
            <w:pStyle w:val="Spistreci3"/>
            <w:tabs>
              <w:tab w:val="right" w:leader="dot" w:pos="9016"/>
            </w:tabs>
            <w:rPr>
              <w:rFonts w:eastAsiaTheme="minorEastAsia"/>
              <w:noProof/>
              <w:lang w:eastAsia="pl-PL"/>
            </w:rPr>
          </w:pPr>
          <w:hyperlink w:anchor="_Toc490807739" w:history="1">
            <w:r w:rsidR="00862C0F" w:rsidRPr="00902565">
              <w:rPr>
                <w:rStyle w:val="Hipercze"/>
                <w:i/>
                <w:iCs/>
                <w:noProof/>
              </w:rPr>
              <w:t>1.2.1 Rynek finansowy</w:t>
            </w:r>
            <w:r w:rsidR="00862C0F">
              <w:rPr>
                <w:noProof/>
                <w:webHidden/>
              </w:rPr>
              <w:tab/>
            </w:r>
            <w:r w:rsidR="00862C0F">
              <w:rPr>
                <w:noProof/>
                <w:webHidden/>
              </w:rPr>
              <w:fldChar w:fldCharType="begin"/>
            </w:r>
            <w:r w:rsidR="00862C0F">
              <w:rPr>
                <w:noProof/>
                <w:webHidden/>
              </w:rPr>
              <w:instrText xml:space="preserve"> PAGEREF _Toc490807739 \h </w:instrText>
            </w:r>
            <w:r w:rsidR="00862C0F">
              <w:rPr>
                <w:noProof/>
                <w:webHidden/>
              </w:rPr>
            </w:r>
            <w:r w:rsidR="00862C0F">
              <w:rPr>
                <w:noProof/>
                <w:webHidden/>
              </w:rPr>
              <w:fldChar w:fldCharType="separate"/>
            </w:r>
            <w:r w:rsidR="00862C0F">
              <w:rPr>
                <w:noProof/>
                <w:webHidden/>
              </w:rPr>
              <w:t>6</w:t>
            </w:r>
            <w:r w:rsidR="00862C0F">
              <w:rPr>
                <w:noProof/>
                <w:webHidden/>
              </w:rPr>
              <w:fldChar w:fldCharType="end"/>
            </w:r>
          </w:hyperlink>
        </w:p>
        <w:p w:rsidR="00862C0F" w:rsidRDefault="0087027E">
          <w:pPr>
            <w:pStyle w:val="Spistreci1"/>
            <w:tabs>
              <w:tab w:val="right" w:leader="dot" w:pos="9016"/>
            </w:tabs>
            <w:rPr>
              <w:rFonts w:eastAsiaTheme="minorEastAsia"/>
              <w:noProof/>
              <w:lang w:eastAsia="pl-PL"/>
            </w:rPr>
          </w:pPr>
          <w:hyperlink w:anchor="_Toc490807740" w:history="1">
            <w:r w:rsidR="00862C0F" w:rsidRPr="00902565">
              <w:rPr>
                <w:rStyle w:val="Hipercze"/>
                <w:noProof/>
              </w:rPr>
              <w:t>Rozdział 2. Ochrona konkurencji</w:t>
            </w:r>
            <w:r w:rsidR="00862C0F">
              <w:rPr>
                <w:noProof/>
                <w:webHidden/>
              </w:rPr>
              <w:tab/>
            </w:r>
            <w:r w:rsidR="00862C0F">
              <w:rPr>
                <w:noProof/>
                <w:webHidden/>
              </w:rPr>
              <w:fldChar w:fldCharType="begin"/>
            </w:r>
            <w:r w:rsidR="00862C0F">
              <w:rPr>
                <w:noProof/>
                <w:webHidden/>
              </w:rPr>
              <w:instrText xml:space="preserve"> PAGEREF _Toc490807740 \h </w:instrText>
            </w:r>
            <w:r w:rsidR="00862C0F">
              <w:rPr>
                <w:noProof/>
                <w:webHidden/>
              </w:rPr>
            </w:r>
            <w:r w:rsidR="00862C0F">
              <w:rPr>
                <w:noProof/>
                <w:webHidden/>
              </w:rPr>
              <w:fldChar w:fldCharType="separate"/>
            </w:r>
            <w:r w:rsidR="00862C0F">
              <w:rPr>
                <w:noProof/>
                <w:webHidden/>
              </w:rPr>
              <w:t>7</w:t>
            </w:r>
            <w:r w:rsidR="00862C0F">
              <w:rPr>
                <w:noProof/>
                <w:webHidden/>
              </w:rPr>
              <w:fldChar w:fldCharType="end"/>
            </w:r>
          </w:hyperlink>
        </w:p>
        <w:p w:rsidR="00862C0F" w:rsidRDefault="0087027E">
          <w:pPr>
            <w:pStyle w:val="Spistreci2"/>
            <w:tabs>
              <w:tab w:val="left" w:pos="660"/>
              <w:tab w:val="right" w:leader="dot" w:pos="9016"/>
            </w:tabs>
            <w:rPr>
              <w:rFonts w:eastAsiaTheme="minorEastAsia"/>
              <w:noProof/>
              <w:lang w:eastAsia="pl-PL"/>
            </w:rPr>
          </w:pPr>
          <w:hyperlink w:anchor="_Toc490807741" w:history="1">
            <w:r w:rsidR="00862C0F" w:rsidRPr="00902565">
              <w:rPr>
                <w:rStyle w:val="Hipercze"/>
                <w:noProof/>
              </w:rPr>
              <w:t>I.</w:t>
            </w:r>
            <w:r w:rsidR="00862C0F">
              <w:rPr>
                <w:rFonts w:eastAsiaTheme="minorEastAsia"/>
                <w:noProof/>
                <w:lang w:eastAsia="pl-PL"/>
              </w:rPr>
              <w:t xml:space="preserve"> </w:t>
            </w:r>
            <w:r w:rsidR="00862C0F" w:rsidRPr="00902565">
              <w:rPr>
                <w:rStyle w:val="Hipercze"/>
                <w:noProof/>
              </w:rPr>
              <w:t>Praktyki ograniczające konkurencję</w:t>
            </w:r>
            <w:r w:rsidR="00862C0F">
              <w:rPr>
                <w:noProof/>
                <w:webHidden/>
              </w:rPr>
              <w:tab/>
            </w:r>
            <w:r w:rsidR="00862C0F">
              <w:rPr>
                <w:noProof/>
                <w:webHidden/>
              </w:rPr>
              <w:fldChar w:fldCharType="begin"/>
            </w:r>
            <w:r w:rsidR="00862C0F">
              <w:rPr>
                <w:noProof/>
                <w:webHidden/>
              </w:rPr>
              <w:instrText xml:space="preserve"> PAGEREF _Toc490807741 \h </w:instrText>
            </w:r>
            <w:r w:rsidR="00862C0F">
              <w:rPr>
                <w:noProof/>
                <w:webHidden/>
              </w:rPr>
            </w:r>
            <w:r w:rsidR="00862C0F">
              <w:rPr>
                <w:noProof/>
                <w:webHidden/>
              </w:rPr>
              <w:fldChar w:fldCharType="separate"/>
            </w:r>
            <w:r w:rsidR="00862C0F">
              <w:rPr>
                <w:noProof/>
                <w:webHidden/>
              </w:rPr>
              <w:t>7</w:t>
            </w:r>
            <w:r w:rsidR="00862C0F">
              <w:rPr>
                <w:noProof/>
                <w:webHidden/>
              </w:rPr>
              <w:fldChar w:fldCharType="end"/>
            </w:r>
          </w:hyperlink>
        </w:p>
        <w:p w:rsidR="00862C0F" w:rsidRDefault="0087027E">
          <w:pPr>
            <w:pStyle w:val="Spistreci3"/>
            <w:tabs>
              <w:tab w:val="right" w:leader="dot" w:pos="9016"/>
            </w:tabs>
            <w:rPr>
              <w:rFonts w:eastAsiaTheme="minorEastAsia"/>
              <w:noProof/>
              <w:lang w:eastAsia="pl-PL"/>
            </w:rPr>
          </w:pPr>
          <w:hyperlink w:anchor="_Toc490807742" w:history="1">
            <w:r w:rsidR="00862C0F" w:rsidRPr="00902565">
              <w:rPr>
                <w:rStyle w:val="Hipercze"/>
                <w:noProof/>
              </w:rPr>
              <w:t>1.1. Wybrane decyzje i postępowania dotyczące praktyk ograniczających konkurencję</w:t>
            </w:r>
            <w:r w:rsidR="00862C0F">
              <w:rPr>
                <w:noProof/>
                <w:webHidden/>
              </w:rPr>
              <w:tab/>
            </w:r>
            <w:r w:rsidR="00862C0F">
              <w:rPr>
                <w:noProof/>
                <w:webHidden/>
              </w:rPr>
              <w:fldChar w:fldCharType="begin"/>
            </w:r>
            <w:r w:rsidR="00862C0F">
              <w:rPr>
                <w:noProof/>
                <w:webHidden/>
              </w:rPr>
              <w:instrText xml:space="preserve"> PAGEREF _Toc490807742 \h </w:instrText>
            </w:r>
            <w:r w:rsidR="00862C0F">
              <w:rPr>
                <w:noProof/>
                <w:webHidden/>
              </w:rPr>
            </w:r>
            <w:r w:rsidR="00862C0F">
              <w:rPr>
                <w:noProof/>
                <w:webHidden/>
              </w:rPr>
              <w:fldChar w:fldCharType="separate"/>
            </w:r>
            <w:r w:rsidR="00862C0F">
              <w:rPr>
                <w:noProof/>
                <w:webHidden/>
              </w:rPr>
              <w:t>8</w:t>
            </w:r>
            <w:r w:rsidR="00862C0F">
              <w:rPr>
                <w:noProof/>
                <w:webHidden/>
              </w:rPr>
              <w:fldChar w:fldCharType="end"/>
            </w:r>
          </w:hyperlink>
        </w:p>
        <w:p w:rsidR="00862C0F" w:rsidRDefault="0087027E">
          <w:pPr>
            <w:pStyle w:val="Spistreci2"/>
            <w:tabs>
              <w:tab w:val="left" w:pos="660"/>
              <w:tab w:val="right" w:leader="dot" w:pos="9016"/>
            </w:tabs>
            <w:rPr>
              <w:rFonts w:eastAsiaTheme="minorEastAsia"/>
              <w:noProof/>
              <w:lang w:eastAsia="pl-PL"/>
            </w:rPr>
          </w:pPr>
          <w:hyperlink w:anchor="_Toc490807743" w:history="1">
            <w:r w:rsidR="00862C0F" w:rsidRPr="00902565">
              <w:rPr>
                <w:rStyle w:val="Hipercze"/>
                <w:noProof/>
              </w:rPr>
              <w:t>II.Kontrola koncentracji przedsiębiorców</w:t>
            </w:r>
            <w:r w:rsidR="00862C0F">
              <w:rPr>
                <w:noProof/>
                <w:webHidden/>
              </w:rPr>
              <w:tab/>
            </w:r>
            <w:r w:rsidR="00862C0F">
              <w:rPr>
                <w:noProof/>
                <w:webHidden/>
              </w:rPr>
              <w:fldChar w:fldCharType="begin"/>
            </w:r>
            <w:r w:rsidR="00862C0F">
              <w:rPr>
                <w:noProof/>
                <w:webHidden/>
              </w:rPr>
              <w:instrText xml:space="preserve"> PAGEREF _Toc490807743 \h </w:instrText>
            </w:r>
            <w:r w:rsidR="00862C0F">
              <w:rPr>
                <w:noProof/>
                <w:webHidden/>
              </w:rPr>
            </w:r>
            <w:r w:rsidR="00862C0F">
              <w:rPr>
                <w:noProof/>
                <w:webHidden/>
              </w:rPr>
              <w:fldChar w:fldCharType="separate"/>
            </w:r>
            <w:r w:rsidR="00862C0F">
              <w:rPr>
                <w:noProof/>
                <w:webHidden/>
              </w:rPr>
              <w:t>10</w:t>
            </w:r>
            <w:r w:rsidR="00862C0F">
              <w:rPr>
                <w:noProof/>
                <w:webHidden/>
              </w:rPr>
              <w:fldChar w:fldCharType="end"/>
            </w:r>
          </w:hyperlink>
        </w:p>
        <w:p w:rsidR="00862C0F" w:rsidRDefault="0087027E">
          <w:pPr>
            <w:pStyle w:val="Spistreci1"/>
            <w:tabs>
              <w:tab w:val="right" w:leader="dot" w:pos="9016"/>
            </w:tabs>
            <w:rPr>
              <w:rFonts w:eastAsiaTheme="minorEastAsia"/>
              <w:noProof/>
              <w:lang w:eastAsia="pl-PL"/>
            </w:rPr>
          </w:pPr>
          <w:hyperlink w:anchor="_Toc490807744" w:history="1">
            <w:r w:rsidR="00862C0F" w:rsidRPr="00902565">
              <w:rPr>
                <w:rStyle w:val="Hipercze"/>
                <w:rFonts w:eastAsia="Calibri"/>
                <w:noProof/>
              </w:rPr>
              <w:t xml:space="preserve">Rozdział 4. </w:t>
            </w:r>
            <w:r w:rsidR="00862C0F" w:rsidRPr="00902565">
              <w:rPr>
                <w:rStyle w:val="Hipercze"/>
                <w:noProof/>
              </w:rPr>
              <w:t>Prace legislacyjne</w:t>
            </w:r>
            <w:r w:rsidR="00862C0F">
              <w:rPr>
                <w:noProof/>
                <w:webHidden/>
              </w:rPr>
              <w:tab/>
            </w:r>
            <w:r w:rsidR="00862C0F">
              <w:rPr>
                <w:noProof/>
                <w:webHidden/>
              </w:rPr>
              <w:fldChar w:fldCharType="begin"/>
            </w:r>
            <w:r w:rsidR="00862C0F">
              <w:rPr>
                <w:noProof/>
                <w:webHidden/>
              </w:rPr>
              <w:instrText xml:space="preserve"> PAGEREF _Toc490807744 \h </w:instrText>
            </w:r>
            <w:r w:rsidR="00862C0F">
              <w:rPr>
                <w:noProof/>
                <w:webHidden/>
              </w:rPr>
            </w:r>
            <w:r w:rsidR="00862C0F">
              <w:rPr>
                <w:noProof/>
                <w:webHidden/>
              </w:rPr>
              <w:fldChar w:fldCharType="separate"/>
            </w:r>
            <w:r w:rsidR="00862C0F">
              <w:rPr>
                <w:noProof/>
                <w:webHidden/>
              </w:rPr>
              <w:t>11</w:t>
            </w:r>
            <w:r w:rsidR="00862C0F">
              <w:rPr>
                <w:noProof/>
                <w:webHidden/>
              </w:rPr>
              <w:fldChar w:fldCharType="end"/>
            </w:r>
          </w:hyperlink>
        </w:p>
        <w:p w:rsidR="00862C0F" w:rsidRDefault="0087027E">
          <w:pPr>
            <w:pStyle w:val="Spistreci2"/>
            <w:tabs>
              <w:tab w:val="right" w:leader="dot" w:pos="9016"/>
            </w:tabs>
            <w:rPr>
              <w:rFonts w:eastAsiaTheme="minorEastAsia"/>
              <w:noProof/>
              <w:lang w:eastAsia="pl-PL"/>
            </w:rPr>
          </w:pPr>
          <w:hyperlink w:anchor="_Toc490807745" w:history="1">
            <w:r w:rsidR="00862C0F" w:rsidRPr="00902565">
              <w:rPr>
                <w:rStyle w:val="Hipercze"/>
                <w:rFonts w:cstheme="minorHAnsi"/>
                <w:noProof/>
              </w:rPr>
              <w:t>1.1. Prace legislacyjne prowadzone z inicjatywy UOKiK</w:t>
            </w:r>
            <w:r w:rsidR="00862C0F">
              <w:rPr>
                <w:noProof/>
                <w:webHidden/>
              </w:rPr>
              <w:tab/>
            </w:r>
            <w:r w:rsidR="00862C0F">
              <w:rPr>
                <w:noProof/>
                <w:webHidden/>
              </w:rPr>
              <w:fldChar w:fldCharType="begin"/>
            </w:r>
            <w:r w:rsidR="00862C0F">
              <w:rPr>
                <w:noProof/>
                <w:webHidden/>
              </w:rPr>
              <w:instrText xml:space="preserve"> PAGEREF _Toc490807745 \h </w:instrText>
            </w:r>
            <w:r w:rsidR="00862C0F">
              <w:rPr>
                <w:noProof/>
                <w:webHidden/>
              </w:rPr>
            </w:r>
            <w:r w:rsidR="00862C0F">
              <w:rPr>
                <w:noProof/>
                <w:webHidden/>
              </w:rPr>
              <w:fldChar w:fldCharType="separate"/>
            </w:r>
            <w:r w:rsidR="00862C0F">
              <w:rPr>
                <w:noProof/>
                <w:webHidden/>
              </w:rPr>
              <w:t>11</w:t>
            </w:r>
            <w:r w:rsidR="00862C0F">
              <w:rPr>
                <w:noProof/>
                <w:webHidden/>
              </w:rPr>
              <w:fldChar w:fldCharType="end"/>
            </w:r>
          </w:hyperlink>
        </w:p>
        <w:p w:rsidR="00320630" w:rsidRDefault="00320630">
          <w:r>
            <w:rPr>
              <w:b/>
              <w:bCs/>
            </w:rPr>
            <w:fldChar w:fldCharType="end"/>
          </w:r>
        </w:p>
      </w:sdtContent>
    </w:sdt>
    <w:p w:rsidR="00320630" w:rsidRDefault="00320630">
      <w:pPr>
        <w:rPr>
          <w:rFonts w:cs="Arial"/>
          <w:color w:val="8496B0" w:themeColor="text2" w:themeTint="99"/>
          <w:sz w:val="36"/>
        </w:rPr>
      </w:pPr>
    </w:p>
    <w:p w:rsidR="00320630" w:rsidRDefault="00320630">
      <w:pPr>
        <w:rPr>
          <w:rFonts w:ascii="Arial" w:eastAsia="Times New Roman" w:hAnsi="Arial" w:cs="Arial"/>
          <w:b/>
          <w:bCs/>
          <w:color w:val="8496B0" w:themeColor="text2" w:themeTint="99"/>
          <w:sz w:val="36"/>
          <w:szCs w:val="24"/>
          <w:lang w:eastAsia="x-none"/>
        </w:rPr>
      </w:pPr>
      <w:r>
        <w:rPr>
          <w:rFonts w:cs="Arial"/>
          <w:color w:val="8496B0" w:themeColor="text2" w:themeTint="99"/>
          <w:sz w:val="36"/>
        </w:rPr>
        <w:br w:type="page"/>
      </w:r>
    </w:p>
    <w:p w:rsidR="00A66A2B" w:rsidRPr="0045295C" w:rsidRDefault="00A66A2B" w:rsidP="00A66A2B">
      <w:pPr>
        <w:pStyle w:val="Nagwek1"/>
        <w:numPr>
          <w:ilvl w:val="0"/>
          <w:numId w:val="0"/>
        </w:numPr>
        <w:ind w:left="360" w:hanging="360"/>
        <w:rPr>
          <w:rFonts w:cs="Arial"/>
          <w:b w:val="0"/>
          <w:color w:val="8496B0" w:themeColor="text2" w:themeTint="99"/>
          <w:sz w:val="36"/>
          <w:lang w:val="pl-PL"/>
        </w:rPr>
      </w:pPr>
      <w:bookmarkStart w:id="3" w:name="_Toc490807734"/>
      <w:r w:rsidRPr="0045295C">
        <w:rPr>
          <w:rFonts w:cs="Arial"/>
          <w:color w:val="8496B0" w:themeColor="text2" w:themeTint="99"/>
          <w:sz w:val="36"/>
          <w:lang w:val="pl-PL"/>
        </w:rPr>
        <w:lastRenderedPageBreak/>
        <w:t>Kalendarium 2015</w:t>
      </w:r>
      <w:bookmarkEnd w:id="2"/>
      <w:bookmarkEnd w:id="1"/>
      <w:bookmarkEnd w:id="3"/>
    </w:p>
    <w:p w:rsidR="00A66A2B" w:rsidRPr="0045295C" w:rsidRDefault="00A66A2B" w:rsidP="00A66A2B">
      <w:pPr>
        <w:spacing w:after="120"/>
        <w:rPr>
          <w:rFonts w:cs="Arial"/>
          <w:b/>
          <w:color w:val="8496B0" w:themeColor="text2" w:themeTint="99"/>
        </w:rPr>
      </w:pPr>
      <w:r w:rsidRPr="0045295C">
        <w:rPr>
          <w:rFonts w:cs="Arial"/>
          <w:color w:val="8496B0" w:themeColor="text2" w:themeTint="99"/>
        </w:rPr>
        <w:t>–</w:t>
      </w:r>
      <w:r w:rsidRPr="0045295C">
        <w:rPr>
          <w:rFonts w:cs="Arial"/>
          <w:b/>
          <w:color w:val="8496B0" w:themeColor="text2" w:themeTint="99"/>
        </w:rPr>
        <w:t xml:space="preserve"> wybrane wydarzenia i osiągnięcia </w:t>
      </w:r>
    </w:p>
    <w:p w:rsidR="00A66A2B" w:rsidRPr="0045295C" w:rsidRDefault="00A66A2B" w:rsidP="00A66A2B">
      <w:pPr>
        <w:spacing w:after="120"/>
        <w:rPr>
          <w:rFonts w:cs="Arial"/>
          <w:color w:val="2E74B5"/>
        </w:rPr>
      </w:pPr>
      <w:r w:rsidRPr="0045295C">
        <w:rPr>
          <w:rFonts w:cs="Arial"/>
          <w:color w:val="2E74B5"/>
        </w:rPr>
        <w:t>Decyzje, postępowania, badania</w:t>
      </w:r>
    </w:p>
    <w:p w:rsidR="00A66A2B" w:rsidRPr="0045295C" w:rsidRDefault="00A66A2B" w:rsidP="00A66A2B">
      <w:pPr>
        <w:spacing w:after="120"/>
        <w:jc w:val="both"/>
        <w:rPr>
          <w:rFonts w:cs="Arial"/>
          <w:color w:val="FF0000"/>
        </w:rPr>
      </w:pPr>
      <w:r w:rsidRPr="0045295C">
        <w:rPr>
          <w:rFonts w:cs="Arial"/>
          <w:b/>
        </w:rPr>
        <w:t>15.01</w:t>
      </w:r>
      <w:r w:rsidRPr="0045295C">
        <w:rPr>
          <w:rFonts w:cs="Arial"/>
        </w:rPr>
        <w:t xml:space="preserve"> – zakończenie </w:t>
      </w:r>
      <w:r w:rsidRPr="0045295C">
        <w:rPr>
          <w:rFonts w:cs="Arial"/>
          <w:b/>
        </w:rPr>
        <w:t>badania społecznego</w:t>
      </w:r>
      <w:r w:rsidRPr="0045295C">
        <w:rPr>
          <w:rStyle w:val="Odwoanieprzypisudolnego"/>
          <w:rFonts w:cs="Arial"/>
        </w:rPr>
        <w:footnoteReference w:id="1"/>
      </w:r>
      <w:r w:rsidRPr="0045295C">
        <w:rPr>
          <w:rFonts w:cs="Arial"/>
          <w:b/>
        </w:rPr>
        <w:t xml:space="preserve"> dotyczącego znajomości produktów finansowych</w:t>
      </w:r>
      <w:r w:rsidRPr="0045295C">
        <w:rPr>
          <w:rFonts w:cs="Arial"/>
        </w:rPr>
        <w:t xml:space="preserve"> przez polskich konsumentów. </w:t>
      </w:r>
    </w:p>
    <w:p w:rsidR="00A66A2B" w:rsidRPr="0045295C" w:rsidRDefault="00A66A2B" w:rsidP="00A66A2B">
      <w:pPr>
        <w:shd w:val="clear" w:color="auto" w:fill="FFFFFF"/>
        <w:spacing w:after="120"/>
        <w:jc w:val="both"/>
        <w:rPr>
          <w:rFonts w:cs="Arial"/>
        </w:rPr>
      </w:pPr>
      <w:r w:rsidRPr="0045295C">
        <w:rPr>
          <w:rFonts w:cs="Arial"/>
          <w:b/>
        </w:rPr>
        <w:t xml:space="preserve">27.03 </w:t>
      </w:r>
      <w:r w:rsidRPr="0045295C">
        <w:rPr>
          <w:rFonts w:cs="Arial"/>
        </w:rPr>
        <w:t xml:space="preserve">– </w:t>
      </w:r>
      <w:r w:rsidRPr="0045295C">
        <w:rPr>
          <w:rFonts w:cs="Arial"/>
          <w:b/>
        </w:rPr>
        <w:t>pierwsze zastosowanie rekompensaty publicznej</w:t>
      </w:r>
      <w:r w:rsidRPr="0045295C">
        <w:rPr>
          <w:rFonts w:cs="Arial"/>
        </w:rPr>
        <w:t xml:space="preserve"> w orzecznictwie UOKiK, w ramach zakończonego postępowania wobec Canal+. </w:t>
      </w:r>
      <w:r w:rsidRPr="0045295C">
        <w:rPr>
          <w:rFonts w:eastAsia="Times New Roman" w:cs="Arial"/>
          <w:lang w:eastAsia="pl-PL"/>
        </w:rPr>
        <w:t>Przedsiębiorca zobowiązał się m.in. do zwrotu określonej kwoty konsumentom w</w:t>
      </w:r>
      <w:r w:rsidRPr="0045295C">
        <w:rPr>
          <w:rFonts w:cs="Arial"/>
        </w:rPr>
        <w:t xml:space="preserve"> związku z nieuzasadnioną, jednostronną zmianą warunków umów dla klientów. </w:t>
      </w:r>
    </w:p>
    <w:p w:rsidR="00A66A2B" w:rsidRPr="0045295C" w:rsidRDefault="00A66A2B" w:rsidP="00A66A2B">
      <w:pPr>
        <w:shd w:val="clear" w:color="auto" w:fill="FFFFFF"/>
        <w:spacing w:after="120"/>
        <w:jc w:val="both"/>
        <w:rPr>
          <w:rFonts w:cs="Arial"/>
        </w:rPr>
      </w:pPr>
      <w:r w:rsidRPr="0045295C">
        <w:rPr>
          <w:rFonts w:cs="Arial"/>
          <w:b/>
        </w:rPr>
        <w:t xml:space="preserve">16.09 – zgoda na koncentrację rynku przewozów regionalnych. </w:t>
      </w:r>
      <w:r w:rsidRPr="0045295C">
        <w:rPr>
          <w:rFonts w:cs="Arial"/>
        </w:rPr>
        <w:t>Wniosek koncentracyjny dotyczył przejęcia przez Agencję Rozwoju Przemysłu (ARP) ponad 50 proc. udziałów w kapitale zakładowym Przewozów Regionalnych.</w:t>
      </w:r>
    </w:p>
    <w:p w:rsidR="00A66A2B" w:rsidRPr="0045295C" w:rsidRDefault="00A66A2B" w:rsidP="00A66A2B">
      <w:pPr>
        <w:shd w:val="clear" w:color="auto" w:fill="FFFFFF"/>
        <w:spacing w:after="120"/>
        <w:jc w:val="both"/>
        <w:rPr>
          <w:rFonts w:cs="Arial"/>
        </w:rPr>
      </w:pPr>
      <w:r w:rsidRPr="0045295C">
        <w:rPr>
          <w:rFonts w:cs="Arial"/>
          <w:b/>
        </w:rPr>
        <w:t>25.09</w:t>
      </w:r>
      <w:r w:rsidRPr="0045295C">
        <w:rPr>
          <w:rFonts w:cs="Arial"/>
        </w:rPr>
        <w:t xml:space="preserve"> – </w:t>
      </w:r>
      <w:r w:rsidRPr="0045295C">
        <w:rPr>
          <w:rFonts w:cs="Arial"/>
          <w:b/>
        </w:rPr>
        <w:t>nałożenie kary na PGNiG</w:t>
      </w:r>
      <w:r w:rsidRPr="0045295C">
        <w:rPr>
          <w:rFonts w:cs="Arial"/>
        </w:rPr>
        <w:t xml:space="preserve"> </w:t>
      </w:r>
      <w:r w:rsidRPr="0045295C">
        <w:rPr>
          <w:rFonts w:cs="Arial"/>
          <w:b/>
        </w:rPr>
        <w:t xml:space="preserve">za niewykonanie postanowień decyzji </w:t>
      </w:r>
      <w:r w:rsidRPr="0045295C">
        <w:rPr>
          <w:rFonts w:cs="Arial"/>
        </w:rPr>
        <w:t>dotyczącej usunięcia kwestionowanych przez UOKiK postanowień umownych, w stosunku do których zostało uprawdopodobnione, że mogły ograniczać konkurencję na rynku energetycznym.</w:t>
      </w:r>
    </w:p>
    <w:p w:rsidR="00A66A2B" w:rsidRPr="0045295C" w:rsidRDefault="00A66A2B" w:rsidP="00A66A2B">
      <w:pPr>
        <w:spacing w:after="120"/>
        <w:jc w:val="both"/>
        <w:rPr>
          <w:rFonts w:cs="Arial"/>
        </w:rPr>
      </w:pPr>
      <w:r w:rsidRPr="0045295C">
        <w:rPr>
          <w:rFonts w:cs="Arial"/>
          <w:b/>
          <w:lang w:eastAsia="x-none"/>
        </w:rPr>
        <w:t>7.10</w:t>
      </w:r>
      <w:r w:rsidRPr="0045295C">
        <w:rPr>
          <w:rFonts w:cs="Arial"/>
          <w:lang w:eastAsia="x-none"/>
        </w:rPr>
        <w:t xml:space="preserve"> –</w:t>
      </w:r>
      <w:r w:rsidRPr="0045295C">
        <w:rPr>
          <w:rFonts w:cs="Arial"/>
          <w:color w:val="FF0000"/>
          <w:lang w:eastAsia="x-none"/>
        </w:rPr>
        <w:t xml:space="preserve"> </w:t>
      </w:r>
      <w:r w:rsidRPr="0045295C">
        <w:rPr>
          <w:rFonts w:cs="Arial"/>
          <w:b/>
        </w:rPr>
        <w:t xml:space="preserve">zakończenie postępowania wyjaśniającego </w:t>
      </w:r>
      <w:r>
        <w:rPr>
          <w:rFonts w:cs="Arial"/>
          <w:b/>
        </w:rPr>
        <w:t xml:space="preserve">w sprawie </w:t>
      </w:r>
      <w:r w:rsidRPr="0045295C">
        <w:rPr>
          <w:rFonts w:cs="Arial"/>
          <w:b/>
        </w:rPr>
        <w:t>internetowych platform</w:t>
      </w:r>
      <w:r w:rsidRPr="0045295C">
        <w:rPr>
          <w:rFonts w:cs="Arial"/>
        </w:rPr>
        <w:t xml:space="preserve"> </w:t>
      </w:r>
      <w:r w:rsidRPr="0045295C">
        <w:rPr>
          <w:rFonts w:cs="Arial"/>
          <w:b/>
        </w:rPr>
        <w:t>oferujących zakwaterowanie.</w:t>
      </w:r>
      <w:r w:rsidRPr="0045295C">
        <w:rPr>
          <w:rFonts w:cs="Arial"/>
        </w:rPr>
        <w:t xml:space="preserve"> W jego wyniku przedsiębiorcy dobrowolnie zrezygnowali ze stosowania zakwestionowanych przez UOKiK tzw. szerokich klauzul najwyższego uprzywilejowania.</w:t>
      </w:r>
    </w:p>
    <w:p w:rsidR="00A66A2B" w:rsidRPr="0045295C" w:rsidRDefault="00A66A2B" w:rsidP="00A66A2B">
      <w:pPr>
        <w:spacing w:after="120"/>
        <w:jc w:val="both"/>
        <w:rPr>
          <w:rFonts w:cs="Arial"/>
        </w:rPr>
      </w:pPr>
      <w:r w:rsidRPr="0045295C">
        <w:rPr>
          <w:rFonts w:cs="Arial"/>
          <w:b/>
        </w:rPr>
        <w:t>26.11</w:t>
      </w:r>
      <w:r w:rsidRPr="0045295C">
        <w:rPr>
          <w:rFonts w:cs="Arial"/>
        </w:rPr>
        <w:t xml:space="preserve"> – </w:t>
      </w:r>
      <w:r w:rsidRPr="0045295C">
        <w:rPr>
          <w:rFonts w:cs="Arial"/>
          <w:b/>
          <w:bCs/>
          <w:color w:val="000000"/>
          <w:shd w:val="clear" w:color="auto" w:fill="FFFFFF"/>
        </w:rPr>
        <w:t xml:space="preserve">zgoda Komisji Europejskiej </w:t>
      </w:r>
      <w:r w:rsidRPr="0045295C">
        <w:rPr>
          <w:rFonts w:cs="Arial"/>
          <w:bCs/>
          <w:color w:val="000000"/>
          <w:shd w:val="clear" w:color="auto" w:fill="FFFFFF"/>
        </w:rPr>
        <w:t>(KE)</w:t>
      </w:r>
      <w:r w:rsidRPr="0045295C">
        <w:rPr>
          <w:rFonts w:cs="Arial"/>
          <w:b/>
          <w:bCs/>
          <w:color w:val="000000"/>
          <w:shd w:val="clear" w:color="auto" w:fill="FFFFFF"/>
        </w:rPr>
        <w:t xml:space="preserve"> na rekompensatę dla Poczty Polskiej w ramach udzielonej pomocy publicznej. </w:t>
      </w:r>
      <w:r w:rsidRPr="0045295C">
        <w:rPr>
          <w:rFonts w:cs="Arial"/>
          <w:bCs/>
          <w:color w:val="000000"/>
          <w:shd w:val="clear" w:color="auto" w:fill="FFFFFF"/>
        </w:rPr>
        <w:t>KE po raz pierwszy wydała zgodę na zastosowanie funduszu kompensacyjnego w sektorze pocztowym.</w:t>
      </w:r>
    </w:p>
    <w:p w:rsidR="00A66A2B" w:rsidRPr="0045295C" w:rsidRDefault="00A66A2B" w:rsidP="00A66A2B">
      <w:pPr>
        <w:spacing w:after="120"/>
        <w:jc w:val="both"/>
        <w:rPr>
          <w:rFonts w:cs="Arial"/>
          <w:b/>
        </w:rPr>
      </w:pPr>
      <w:r w:rsidRPr="0045295C">
        <w:rPr>
          <w:rFonts w:cs="Arial"/>
          <w:b/>
        </w:rPr>
        <w:t>8.12</w:t>
      </w:r>
      <w:r w:rsidRPr="0045295C">
        <w:rPr>
          <w:rFonts w:cs="Arial"/>
        </w:rPr>
        <w:t xml:space="preserve"> – </w:t>
      </w:r>
      <w:r w:rsidRPr="0045295C">
        <w:rPr>
          <w:rFonts w:cs="Arial"/>
          <w:b/>
        </w:rPr>
        <w:t xml:space="preserve">wydanie decyzji dotyczących niedozwolonych porozumień ograniczających konkurencję na rynku dystrybucji zegarków. </w:t>
      </w:r>
      <w:r w:rsidRPr="0045295C">
        <w:rPr>
          <w:rFonts w:cs="Arial"/>
        </w:rPr>
        <w:t>Zakończone postępowanie dotyczyło kilku marek,</w:t>
      </w:r>
      <w:r w:rsidRPr="0045295C">
        <w:rPr>
          <w:rFonts w:cs="Arial"/>
          <w:b/>
        </w:rPr>
        <w:t xml:space="preserve"> </w:t>
      </w:r>
      <w:r w:rsidRPr="0045295C">
        <w:rPr>
          <w:rFonts w:cs="Arial"/>
        </w:rPr>
        <w:t>których wyłącznym dystrybutorem jest Swatch Group Polska.</w:t>
      </w:r>
    </w:p>
    <w:p w:rsidR="00A66A2B" w:rsidRPr="0045295C" w:rsidRDefault="00A66A2B" w:rsidP="00A66A2B">
      <w:pPr>
        <w:spacing w:after="120"/>
        <w:jc w:val="both"/>
        <w:rPr>
          <w:rFonts w:cs="Arial"/>
        </w:rPr>
      </w:pPr>
      <w:r w:rsidRPr="0045295C">
        <w:rPr>
          <w:rStyle w:val="Pogrubienie"/>
          <w:rFonts w:cs="Arial"/>
          <w:shd w:val="clear" w:color="auto" w:fill="FFFFFF"/>
        </w:rPr>
        <w:t xml:space="preserve">28.12 – wydanie pierwszych decyzji wobec banków oferujących kredyty hipoteczne we frankach szwajcarskich (ING </w:t>
      </w:r>
      <w:r w:rsidRPr="0045295C">
        <w:rPr>
          <w:rFonts w:eastAsia="Times New Roman" w:cs="Arial"/>
          <w:lang w:eastAsia="pl-PL"/>
        </w:rPr>
        <w:t>Bank Śląski oraz mBank). Zarzuty dotyczyły nieuwzględniania przez przedsiębiorców ujemnego oprocentowania.</w:t>
      </w:r>
    </w:p>
    <w:p w:rsidR="00A66A2B" w:rsidRPr="0045295C" w:rsidRDefault="00A66A2B" w:rsidP="00A66A2B">
      <w:pPr>
        <w:spacing w:after="120"/>
        <w:jc w:val="both"/>
        <w:rPr>
          <w:rStyle w:val="Pogrubienie"/>
          <w:rFonts w:cs="Arial"/>
          <w:b w:val="0"/>
          <w:shd w:val="clear" w:color="auto" w:fill="FFFFFF"/>
        </w:rPr>
      </w:pPr>
      <w:r w:rsidRPr="0045295C">
        <w:rPr>
          <w:rFonts w:cs="Arial"/>
          <w:b/>
        </w:rPr>
        <w:t>30.12</w:t>
      </w:r>
      <w:r w:rsidRPr="0045295C">
        <w:rPr>
          <w:rFonts w:cs="Arial"/>
        </w:rPr>
        <w:t xml:space="preserve"> – </w:t>
      </w:r>
      <w:r w:rsidRPr="0045295C">
        <w:rPr>
          <w:rFonts w:cs="Arial"/>
          <w:b/>
        </w:rPr>
        <w:t>wydanie</w:t>
      </w:r>
      <w:r w:rsidRPr="0045295C">
        <w:rPr>
          <w:rFonts w:cs="Arial"/>
        </w:rPr>
        <w:t xml:space="preserve"> </w:t>
      </w:r>
      <w:r w:rsidRPr="0045295C">
        <w:rPr>
          <w:rFonts w:cs="Arial"/>
          <w:b/>
        </w:rPr>
        <w:t>ostatniej w roku decyzji, dotyczącej</w:t>
      </w:r>
      <w:r w:rsidRPr="0045295C">
        <w:rPr>
          <w:rFonts w:cs="Arial"/>
        </w:rPr>
        <w:t xml:space="preserve"> </w:t>
      </w:r>
      <w:r w:rsidRPr="0045295C">
        <w:rPr>
          <w:rFonts w:cs="Arial"/>
          <w:b/>
        </w:rPr>
        <w:t xml:space="preserve">ubezpieczycieli oferujących polisy ubezpieczeniowe z ufk. </w:t>
      </w:r>
      <w:r w:rsidRPr="0045295C">
        <w:rPr>
          <w:rFonts w:cs="Arial"/>
        </w:rPr>
        <w:t xml:space="preserve">W 2015 r. zakończono łącznie 16 z 17 prowadzonych w tej sprawie postępowań. Przedsiębiorcy </w:t>
      </w:r>
      <w:r w:rsidRPr="0045295C">
        <w:rPr>
          <w:rFonts w:cs="Arial"/>
          <w:shd w:val="clear" w:color="auto" w:fill="FFFFFF"/>
        </w:rPr>
        <w:t>zobowiązali się do</w:t>
      </w:r>
      <w:r w:rsidRPr="0045295C">
        <w:rPr>
          <w:rFonts w:cs="Arial"/>
          <w:b/>
          <w:shd w:val="clear" w:color="auto" w:fill="FFFFFF"/>
        </w:rPr>
        <w:t xml:space="preserve"> </w:t>
      </w:r>
      <w:r w:rsidRPr="0045295C">
        <w:rPr>
          <w:rStyle w:val="Pogrubienie"/>
          <w:rFonts w:cs="Arial"/>
          <w:shd w:val="clear" w:color="auto" w:fill="FFFFFF"/>
        </w:rPr>
        <w:t>znacznego obniżenia opłat likwidacyjnych w istniejących umowach i wyeliminowania ich z nowych wzorców umownych.</w:t>
      </w:r>
    </w:p>
    <w:p w:rsidR="00606666" w:rsidRPr="0045295C" w:rsidRDefault="00A66A2B" w:rsidP="00A66A2B">
      <w:pPr>
        <w:spacing w:after="120"/>
        <w:jc w:val="both"/>
        <w:rPr>
          <w:rFonts w:cs="Arial"/>
          <w:lang w:eastAsia="x-none"/>
        </w:rPr>
      </w:pPr>
      <w:r w:rsidRPr="0045295C">
        <w:rPr>
          <w:rStyle w:val="Pogrubienie"/>
          <w:rFonts w:cs="Arial"/>
          <w:shd w:val="clear" w:color="auto" w:fill="FFFFFF"/>
        </w:rPr>
        <w:t xml:space="preserve">30.12 – wydanie pierwszego ostrzeżenia w sprawach praktyk naruszających zbiorowe interesy konsumentów. Informacja dotyczyła przedsiębiorcy </w:t>
      </w:r>
      <w:r w:rsidRPr="0045295C">
        <w:rPr>
          <w:rFonts w:cs="Arial"/>
          <w:lang w:eastAsia="x-none"/>
        </w:rPr>
        <w:t xml:space="preserve">Invest-Net Braniewski Tomasz, który nie informował w sposób rzetelny </w:t>
      </w:r>
      <w:r w:rsidRPr="0045295C">
        <w:rPr>
          <w:rStyle w:val="Pogrubienie"/>
          <w:rFonts w:cs="Arial"/>
          <w:shd w:val="clear" w:color="auto" w:fill="FFFFFF"/>
        </w:rPr>
        <w:t xml:space="preserve">o opłatach związanych z </w:t>
      </w:r>
      <w:r w:rsidRPr="0045295C">
        <w:rPr>
          <w:rFonts w:cs="Arial"/>
          <w:lang w:eastAsia="x-none"/>
        </w:rPr>
        <w:t xml:space="preserve">zamieszczeniem ogłoszeń na należących do niego stronach WWW. </w:t>
      </w:r>
    </w:p>
    <w:p w:rsidR="00320630" w:rsidRDefault="00320630">
      <w:pPr>
        <w:rPr>
          <w:rFonts w:ascii="Arial" w:eastAsia="Times New Roman" w:hAnsi="Arial" w:cs="Times New Roman"/>
          <w:bCs/>
          <w:color w:val="00B0F0"/>
          <w:sz w:val="28"/>
          <w:szCs w:val="28"/>
          <w:lang w:eastAsia="x-none"/>
        </w:rPr>
      </w:pPr>
      <w:bookmarkStart w:id="4" w:name="_Toc486338487"/>
      <w:bookmarkStart w:id="5" w:name="_Toc455927428"/>
      <w:bookmarkStart w:id="6" w:name="_Toc455927492"/>
      <w:r>
        <w:rPr>
          <w:b/>
          <w:color w:val="00B0F0"/>
          <w:sz w:val="28"/>
          <w:szCs w:val="28"/>
        </w:rPr>
        <w:br w:type="page"/>
      </w:r>
    </w:p>
    <w:p w:rsidR="00606666" w:rsidRPr="001F58A6" w:rsidRDefault="00192C50" w:rsidP="001F58A6">
      <w:pPr>
        <w:pStyle w:val="Nagwek1"/>
        <w:numPr>
          <w:ilvl w:val="0"/>
          <w:numId w:val="0"/>
        </w:numPr>
        <w:ind w:left="360" w:hanging="360"/>
      </w:pPr>
      <w:bookmarkStart w:id="7" w:name="_Toc490807735"/>
      <w:r w:rsidRPr="001F58A6">
        <w:lastRenderedPageBreak/>
        <w:t>Rozdział 1</w:t>
      </w:r>
      <w:r w:rsidR="00320630" w:rsidRPr="001F58A6">
        <w:t xml:space="preserve">. </w:t>
      </w:r>
      <w:r w:rsidR="00606666" w:rsidRPr="001F58A6">
        <w:t>O</w:t>
      </w:r>
      <w:r w:rsidR="00320630" w:rsidRPr="001F58A6">
        <w:t>chrona konsumentów</w:t>
      </w:r>
      <w:bookmarkEnd w:id="4"/>
      <w:bookmarkEnd w:id="5"/>
      <w:bookmarkEnd w:id="6"/>
      <w:bookmarkEnd w:id="7"/>
    </w:p>
    <w:p w:rsidR="00606666" w:rsidRPr="00320630" w:rsidRDefault="00606666" w:rsidP="00606666">
      <w:pPr>
        <w:spacing w:after="120"/>
        <w:jc w:val="both"/>
        <w:rPr>
          <w:rFonts w:cstheme="minorHAnsi"/>
          <w:bCs/>
          <w:sz w:val="20"/>
          <w:szCs w:val="20"/>
        </w:rPr>
      </w:pPr>
      <w:r w:rsidRPr="00320630">
        <w:rPr>
          <w:rFonts w:cstheme="minorHAnsi"/>
          <w:sz w:val="20"/>
          <w:szCs w:val="20"/>
        </w:rPr>
        <w:t xml:space="preserve">Działania UOKiK w zakresie ochrony konsumentów dotyczą przede wszystkim: </w:t>
      </w:r>
    </w:p>
    <w:p w:rsidR="00606666" w:rsidRPr="00320630" w:rsidRDefault="00606666" w:rsidP="00606666">
      <w:pPr>
        <w:pStyle w:val="Akapitzlist"/>
        <w:numPr>
          <w:ilvl w:val="0"/>
          <w:numId w:val="8"/>
        </w:numPr>
        <w:spacing w:after="120" w:line="276" w:lineRule="auto"/>
        <w:jc w:val="both"/>
        <w:rPr>
          <w:rFonts w:cstheme="minorHAnsi"/>
          <w:sz w:val="20"/>
          <w:szCs w:val="20"/>
        </w:rPr>
      </w:pPr>
      <w:r w:rsidRPr="00320630">
        <w:rPr>
          <w:rFonts w:cstheme="minorHAnsi"/>
          <w:sz w:val="20"/>
          <w:szCs w:val="20"/>
        </w:rPr>
        <w:t>prowadzenia postępowań w sprawach praktyk naruszających zbiorowe interesy konsumentów</w:t>
      </w:r>
      <w:r w:rsidRPr="00320630" w:rsidDel="00A26D88">
        <w:rPr>
          <w:rFonts w:cstheme="minorHAnsi"/>
          <w:sz w:val="20"/>
          <w:szCs w:val="20"/>
        </w:rPr>
        <w:t xml:space="preserve"> </w:t>
      </w:r>
      <w:r w:rsidRPr="00320630">
        <w:rPr>
          <w:rFonts w:cstheme="minorHAnsi"/>
          <w:sz w:val="20"/>
          <w:szCs w:val="20"/>
        </w:rPr>
        <w:t xml:space="preserve">i postępowań w sprawie o uznanie postanowień wzorców umów za niedozowolone, </w:t>
      </w:r>
    </w:p>
    <w:p w:rsidR="00606666" w:rsidRPr="00320630" w:rsidRDefault="00606666" w:rsidP="00606666">
      <w:pPr>
        <w:pStyle w:val="Akapitzlist"/>
        <w:numPr>
          <w:ilvl w:val="0"/>
          <w:numId w:val="8"/>
        </w:numPr>
        <w:autoSpaceDE w:val="0"/>
        <w:autoSpaceDN w:val="0"/>
        <w:adjustRightInd w:val="0"/>
        <w:spacing w:after="120" w:line="276" w:lineRule="auto"/>
        <w:jc w:val="both"/>
        <w:rPr>
          <w:rFonts w:cstheme="minorHAnsi"/>
          <w:sz w:val="20"/>
          <w:szCs w:val="20"/>
        </w:rPr>
      </w:pPr>
      <w:r w:rsidRPr="00320630">
        <w:rPr>
          <w:rFonts w:cstheme="minorHAnsi"/>
          <w:sz w:val="20"/>
          <w:szCs w:val="20"/>
        </w:rPr>
        <w:t xml:space="preserve">monitorowania systemu kontroli wyrobów pod kątem ich zgodności z wymaganiami, sprawowanie nadzoru nad bezpieczeństwem produktów oraz zarządzanie systemem monitorowania i kontroli jakości paliw – we współpracy z Inspekcją Handlową, która prowadzi kontrole. </w:t>
      </w:r>
    </w:p>
    <w:p w:rsidR="00606666" w:rsidRPr="00320630" w:rsidRDefault="00606666" w:rsidP="00606666">
      <w:pPr>
        <w:pStyle w:val="Akapitzlist"/>
        <w:autoSpaceDE w:val="0"/>
        <w:autoSpaceDN w:val="0"/>
        <w:adjustRightInd w:val="0"/>
        <w:spacing w:after="120"/>
        <w:jc w:val="both"/>
        <w:rPr>
          <w:rFonts w:cstheme="minorHAnsi"/>
          <w:sz w:val="20"/>
          <w:szCs w:val="20"/>
        </w:rPr>
      </w:pPr>
    </w:p>
    <w:p w:rsidR="00606666" w:rsidRPr="00320630" w:rsidRDefault="00606666" w:rsidP="00606666">
      <w:pPr>
        <w:autoSpaceDE w:val="0"/>
        <w:autoSpaceDN w:val="0"/>
        <w:adjustRightInd w:val="0"/>
        <w:spacing w:after="120"/>
        <w:jc w:val="both"/>
        <w:rPr>
          <w:rFonts w:cstheme="minorHAnsi"/>
          <w:sz w:val="20"/>
          <w:szCs w:val="20"/>
        </w:rPr>
      </w:pPr>
      <w:r w:rsidRPr="00320630">
        <w:rPr>
          <w:rFonts w:cstheme="minorHAnsi"/>
          <w:sz w:val="20"/>
          <w:szCs w:val="20"/>
        </w:rPr>
        <w:t xml:space="preserve">Ochronie konsumentów służą także działania UOKiK w zakresie legislacji, prowadzone przez Urząd kampanie i wydarzenia edukacyjno-informacyjne, badania społeczne oraz współpraca na forum międzynarodowym. Zagadnienia te przedstawiono w odrębnych rozdziałach. </w:t>
      </w:r>
    </w:p>
    <w:p w:rsidR="00D41B07" w:rsidRPr="00320630" w:rsidRDefault="00EC6387" w:rsidP="00D41B07">
      <w:pPr>
        <w:pStyle w:val="Nagwek2"/>
        <w:spacing w:line="240" w:lineRule="auto"/>
        <w:rPr>
          <w:rFonts w:asciiTheme="minorHAnsi" w:hAnsiTheme="minorHAnsi" w:cstheme="minorHAnsi"/>
          <w:color w:val="00B0F0"/>
          <w:sz w:val="20"/>
          <w:szCs w:val="20"/>
        </w:rPr>
      </w:pPr>
      <w:bookmarkStart w:id="8" w:name="_Toc455927429"/>
      <w:bookmarkStart w:id="9" w:name="_Toc455927493"/>
      <w:bookmarkStart w:id="10" w:name="_Toc486338488"/>
      <w:bookmarkStart w:id="11" w:name="_Toc490807736"/>
      <w:r>
        <w:rPr>
          <w:rFonts w:asciiTheme="minorHAnsi" w:hAnsiTheme="minorHAnsi" w:cstheme="minorHAnsi"/>
          <w:color w:val="00B0F0"/>
          <w:sz w:val="20"/>
          <w:szCs w:val="20"/>
        </w:rPr>
        <w:t>I</w:t>
      </w:r>
      <w:r w:rsidR="00D41B07" w:rsidRPr="00320630">
        <w:rPr>
          <w:rFonts w:asciiTheme="minorHAnsi" w:hAnsiTheme="minorHAnsi" w:cstheme="minorHAnsi"/>
          <w:color w:val="00B0F0"/>
          <w:sz w:val="20"/>
          <w:szCs w:val="20"/>
        </w:rPr>
        <w:t>. Praktyki naruszaj</w:t>
      </w:r>
      <w:r w:rsidR="00D41B07" w:rsidRPr="00320630">
        <w:rPr>
          <w:rStyle w:val="Nagwek2Znak"/>
          <w:rFonts w:asciiTheme="minorHAnsi" w:hAnsiTheme="minorHAnsi" w:cstheme="minorHAnsi"/>
          <w:bCs/>
          <w:iCs/>
          <w:color w:val="00B0F0"/>
          <w:sz w:val="20"/>
          <w:szCs w:val="20"/>
        </w:rPr>
        <w:t>ące zbiorowe interesy konsumentów</w:t>
      </w:r>
      <w:bookmarkEnd w:id="8"/>
      <w:bookmarkEnd w:id="9"/>
      <w:r w:rsidR="00D41B07" w:rsidRPr="00320630">
        <w:rPr>
          <w:rStyle w:val="Nagwek2Znak"/>
          <w:rFonts w:asciiTheme="minorHAnsi" w:hAnsiTheme="minorHAnsi" w:cstheme="minorHAnsi"/>
          <w:bCs/>
          <w:iCs/>
          <w:color w:val="00B0F0"/>
          <w:sz w:val="20"/>
          <w:szCs w:val="20"/>
        </w:rPr>
        <w:t xml:space="preserve"> oraz niedozwolone wzorce umów</w:t>
      </w:r>
      <w:bookmarkEnd w:id="10"/>
      <w:bookmarkEnd w:id="11"/>
    </w:p>
    <w:p w:rsidR="00D41B07" w:rsidRPr="00320630" w:rsidRDefault="00192C50" w:rsidP="00D41B07">
      <w:pPr>
        <w:pStyle w:val="Nagwek3"/>
        <w:rPr>
          <w:rFonts w:asciiTheme="minorHAnsi" w:hAnsiTheme="minorHAnsi" w:cstheme="minorHAnsi"/>
          <w:color w:val="00B0F0"/>
          <w:sz w:val="20"/>
          <w:szCs w:val="20"/>
          <w:shd w:val="clear" w:color="auto" w:fill="FFFFFF"/>
        </w:rPr>
      </w:pPr>
      <w:bookmarkStart w:id="12" w:name="_Toc486338489"/>
      <w:bookmarkStart w:id="13" w:name="_Toc490807737"/>
      <w:r>
        <w:rPr>
          <w:rFonts w:asciiTheme="minorHAnsi" w:hAnsiTheme="minorHAnsi" w:cstheme="minorHAnsi"/>
          <w:color w:val="00B0F0"/>
          <w:sz w:val="20"/>
          <w:szCs w:val="20"/>
          <w:shd w:val="clear" w:color="auto" w:fill="FFFFFF"/>
        </w:rPr>
        <w:t>1.</w:t>
      </w:r>
      <w:r w:rsidR="00D41B07" w:rsidRPr="00320630">
        <w:rPr>
          <w:rFonts w:asciiTheme="minorHAnsi" w:hAnsiTheme="minorHAnsi" w:cstheme="minorHAnsi"/>
          <w:color w:val="00B0F0"/>
          <w:sz w:val="20"/>
          <w:szCs w:val="20"/>
          <w:shd w:val="clear" w:color="auto" w:fill="FFFFFF"/>
        </w:rPr>
        <w:t>1. Praktyki naruszające zbiorowe interesy konsumentów</w:t>
      </w:r>
      <w:bookmarkEnd w:id="12"/>
      <w:bookmarkEnd w:id="13"/>
    </w:p>
    <w:p w:rsidR="00606666" w:rsidRPr="00320630" w:rsidRDefault="00606666" w:rsidP="00606666">
      <w:pPr>
        <w:spacing w:after="120"/>
        <w:jc w:val="both"/>
        <w:rPr>
          <w:rFonts w:cstheme="minorHAnsi"/>
          <w:sz w:val="20"/>
          <w:szCs w:val="20"/>
        </w:rPr>
      </w:pPr>
      <w:r w:rsidRPr="00320630">
        <w:rPr>
          <w:rFonts w:cstheme="minorHAnsi"/>
          <w:b/>
          <w:sz w:val="20"/>
          <w:szCs w:val="20"/>
          <w:shd w:val="clear" w:color="auto" w:fill="FFFFFF"/>
        </w:rPr>
        <w:t>Praktyka naruszająca zbiorowe interesy konsumentów</w:t>
      </w:r>
      <w:r w:rsidR="00D41B07" w:rsidRPr="00320630">
        <w:rPr>
          <w:rFonts w:cstheme="minorHAnsi"/>
          <w:sz w:val="20"/>
          <w:szCs w:val="20"/>
          <w:shd w:val="clear" w:color="auto" w:fill="FFFFFF"/>
        </w:rPr>
        <w:t xml:space="preserve"> to bezpraw</w:t>
      </w:r>
      <w:r w:rsidRPr="00320630">
        <w:rPr>
          <w:rFonts w:cstheme="minorHAnsi"/>
          <w:sz w:val="20"/>
          <w:szCs w:val="20"/>
          <w:shd w:val="clear" w:color="auto" w:fill="FFFFFF"/>
        </w:rPr>
        <w:t xml:space="preserve">ne działanie przedsiębiorcy, które co do zasady </w:t>
      </w:r>
      <w:r w:rsidRPr="00320630">
        <w:rPr>
          <w:rFonts w:cstheme="minorHAnsi"/>
          <w:b/>
          <w:sz w:val="20"/>
          <w:szCs w:val="20"/>
          <w:shd w:val="clear" w:color="auto" w:fill="FFFFFF"/>
        </w:rPr>
        <w:t xml:space="preserve">dotyka potencjalnie </w:t>
      </w:r>
      <w:r w:rsidRPr="00320630">
        <w:rPr>
          <w:rFonts w:cstheme="minorHAnsi"/>
          <w:b/>
          <w:bCs/>
          <w:sz w:val="20"/>
          <w:szCs w:val="20"/>
          <w:shd w:val="clear" w:color="auto" w:fill="FFFFFF"/>
        </w:rPr>
        <w:t>nieograniczonej liczby osób</w:t>
      </w:r>
      <w:r w:rsidRPr="00320630">
        <w:rPr>
          <w:rFonts w:cstheme="minorHAnsi"/>
          <w:sz w:val="20"/>
          <w:szCs w:val="20"/>
          <w:shd w:val="clear" w:color="auto" w:fill="FFFFFF"/>
        </w:rPr>
        <w:t xml:space="preserve">. </w:t>
      </w:r>
      <w:r w:rsidRPr="00320630">
        <w:rPr>
          <w:rFonts w:cstheme="minorHAnsi"/>
          <w:sz w:val="20"/>
          <w:szCs w:val="20"/>
        </w:rPr>
        <w:t>W 2015 r. UOKiK wszczął</w:t>
      </w:r>
      <w:r w:rsidRPr="00320630">
        <w:rPr>
          <w:rFonts w:cstheme="minorHAnsi"/>
          <w:sz w:val="20"/>
          <w:szCs w:val="20"/>
          <w:vertAlign w:val="superscript"/>
        </w:rPr>
        <w:footnoteReference w:id="2"/>
      </w:r>
      <w:r w:rsidRPr="00320630">
        <w:rPr>
          <w:rFonts w:cstheme="minorHAnsi"/>
          <w:sz w:val="20"/>
          <w:szCs w:val="20"/>
        </w:rPr>
        <w:t xml:space="preserve"> </w:t>
      </w:r>
      <w:r w:rsidRPr="00320630">
        <w:rPr>
          <w:rFonts w:cstheme="minorHAnsi"/>
          <w:b/>
          <w:sz w:val="20"/>
          <w:szCs w:val="20"/>
        </w:rPr>
        <w:t xml:space="preserve">106 </w:t>
      </w:r>
      <w:r w:rsidRPr="00320630">
        <w:rPr>
          <w:rFonts w:cstheme="minorHAnsi"/>
          <w:sz w:val="20"/>
          <w:szCs w:val="20"/>
        </w:rPr>
        <w:t xml:space="preserve">postępowań w sprawie praktyk naruszających zbiorowe interesy konsumentów oraz </w:t>
      </w:r>
      <w:r w:rsidRPr="00320630">
        <w:rPr>
          <w:rFonts w:cstheme="minorHAnsi"/>
          <w:b/>
          <w:sz w:val="20"/>
          <w:szCs w:val="20"/>
        </w:rPr>
        <w:t>473</w:t>
      </w:r>
      <w:r w:rsidRPr="00320630">
        <w:rPr>
          <w:rFonts w:cstheme="minorHAnsi"/>
          <w:sz w:val="20"/>
          <w:szCs w:val="20"/>
        </w:rPr>
        <w:t xml:space="preserve"> postępowania wyjaśniające w tym zakresie. </w:t>
      </w:r>
    </w:p>
    <w:p w:rsidR="00606666" w:rsidRPr="00320630" w:rsidRDefault="00606666" w:rsidP="00606666">
      <w:pPr>
        <w:spacing w:after="120"/>
        <w:jc w:val="both"/>
        <w:rPr>
          <w:rFonts w:cstheme="minorHAnsi"/>
          <w:sz w:val="20"/>
          <w:szCs w:val="20"/>
        </w:rPr>
      </w:pPr>
      <w:r w:rsidRPr="00320630">
        <w:rPr>
          <w:rFonts w:cstheme="minorHAnsi"/>
          <w:sz w:val="20"/>
          <w:szCs w:val="20"/>
        </w:rPr>
        <w:t xml:space="preserve">Mniejsza niż w latach poprzednich liczba postępowań (tabela 2) i wydanych w związku z tym decyzji (tabela 3) związana jest z intensyfikacją </w:t>
      </w:r>
      <w:r w:rsidRPr="00320630">
        <w:rPr>
          <w:rFonts w:cstheme="minorHAnsi"/>
          <w:b/>
          <w:sz w:val="20"/>
          <w:szCs w:val="20"/>
        </w:rPr>
        <w:t xml:space="preserve">działań miękkich </w:t>
      </w:r>
      <w:r w:rsidRPr="00320630">
        <w:rPr>
          <w:rFonts w:cstheme="minorHAnsi"/>
          <w:sz w:val="20"/>
          <w:szCs w:val="20"/>
        </w:rPr>
        <w:t xml:space="preserve">prowadzonych przez UOKiK. Działania te obejmują wskazywanie najlepszych praktyk i wezwania do dokonania zmian. </w:t>
      </w:r>
    </w:p>
    <w:p w:rsidR="00606666" w:rsidRPr="00320630" w:rsidRDefault="00606666" w:rsidP="00606666">
      <w:pPr>
        <w:spacing w:after="120"/>
        <w:jc w:val="both"/>
        <w:rPr>
          <w:rFonts w:cstheme="minorHAnsi"/>
          <w:sz w:val="20"/>
          <w:szCs w:val="20"/>
        </w:rPr>
      </w:pPr>
      <w:r w:rsidRPr="00320630">
        <w:rPr>
          <w:rFonts w:cstheme="minorHAnsi"/>
          <w:sz w:val="20"/>
          <w:szCs w:val="20"/>
        </w:rPr>
        <w:t xml:space="preserve">Działania miękkie związane są z </w:t>
      </w:r>
      <w:r w:rsidRPr="00320630">
        <w:rPr>
          <w:rFonts w:cstheme="minorHAnsi"/>
          <w:b/>
          <w:sz w:val="20"/>
          <w:szCs w:val="20"/>
        </w:rPr>
        <w:t>negocjacyjnym modelem stosowania prawa ochrony konsumentów</w:t>
      </w:r>
      <w:r w:rsidRPr="00320630">
        <w:rPr>
          <w:rFonts w:cstheme="minorHAnsi"/>
          <w:sz w:val="20"/>
          <w:szCs w:val="20"/>
        </w:rPr>
        <w:t xml:space="preserve"> (więcej informacji: rozdz.1). Umożliwiają one egzekwowanie zasad uczciwości na rynku i eliminowanie naruszeń bez konieczności wszczynania postępowań przeciwko przedsiębiorcy. </w:t>
      </w:r>
    </w:p>
    <w:p w:rsidR="00606666" w:rsidRPr="00320630" w:rsidRDefault="00606666" w:rsidP="00606666">
      <w:pPr>
        <w:spacing w:after="120"/>
        <w:jc w:val="both"/>
        <w:rPr>
          <w:rFonts w:cstheme="minorHAnsi"/>
          <w:sz w:val="20"/>
          <w:szCs w:val="20"/>
        </w:rPr>
      </w:pPr>
      <w:r w:rsidRPr="00320630">
        <w:rPr>
          <w:rFonts w:cstheme="minorHAnsi"/>
          <w:sz w:val="20"/>
          <w:szCs w:val="20"/>
        </w:rPr>
        <w:t>W 2015 r. prowadzono 523 działania miękkie, a zakończono 357, czyli trzykrotnie więcej niż w roku 2014. W zdecydowanej większości – 351 przypadków – działania te przyniosły oczekiwany skutek w postaci zastosowania się przedsiębiorcy do wskazań UOKiK.</w:t>
      </w:r>
    </w:p>
    <w:p w:rsidR="00606666" w:rsidRPr="00320630" w:rsidRDefault="00606666" w:rsidP="00606666">
      <w:pPr>
        <w:tabs>
          <w:tab w:val="left" w:pos="709"/>
          <w:tab w:val="left" w:pos="7740"/>
        </w:tabs>
        <w:spacing w:before="120" w:line="240" w:lineRule="auto"/>
        <w:ind w:right="74"/>
        <w:jc w:val="both"/>
        <w:rPr>
          <w:rFonts w:cstheme="minorHAnsi"/>
          <w:b/>
          <w:sz w:val="20"/>
          <w:szCs w:val="20"/>
        </w:rPr>
      </w:pPr>
      <w:r w:rsidRPr="00320630">
        <w:rPr>
          <w:rFonts w:cstheme="minorHAnsi"/>
          <w:b/>
          <w:sz w:val="20"/>
          <w:szCs w:val="20"/>
        </w:rPr>
        <w:t xml:space="preserve">Tabela </w:t>
      </w:r>
      <w:r w:rsidR="00D41B07" w:rsidRPr="00320630">
        <w:rPr>
          <w:rFonts w:cstheme="minorHAnsi"/>
          <w:b/>
          <w:sz w:val="20"/>
          <w:szCs w:val="20"/>
        </w:rPr>
        <w:t>1</w:t>
      </w:r>
      <w:r w:rsidRPr="00320630">
        <w:rPr>
          <w:rFonts w:cstheme="minorHAnsi"/>
          <w:b/>
          <w:sz w:val="20"/>
          <w:szCs w:val="20"/>
        </w:rPr>
        <w:t>. Liczba postępowań w sprawach praktyk naruszających zbiorowe interesy konsumentów, lata 2013–2015</w:t>
      </w: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2268"/>
        <w:gridCol w:w="992"/>
        <w:gridCol w:w="1843"/>
        <w:gridCol w:w="1129"/>
      </w:tblGrid>
      <w:tr w:rsidR="00606666" w:rsidRPr="00320630" w:rsidTr="00192C50">
        <w:tc>
          <w:tcPr>
            <w:tcW w:w="1985" w:type="dxa"/>
            <w:tcBorders>
              <w:top w:val="single" w:sz="12" w:space="0" w:color="auto"/>
              <w:bottom w:val="single" w:sz="12" w:space="0" w:color="auto"/>
            </w:tcBorders>
          </w:tcPr>
          <w:p w:rsidR="00606666" w:rsidRPr="00320630" w:rsidRDefault="00606666" w:rsidP="00192C50">
            <w:pPr>
              <w:tabs>
                <w:tab w:val="left" w:pos="709"/>
              </w:tabs>
              <w:spacing w:after="0" w:line="240" w:lineRule="auto"/>
              <w:rPr>
                <w:rFonts w:cstheme="minorHAnsi"/>
                <w:b/>
                <w:sz w:val="20"/>
                <w:szCs w:val="20"/>
              </w:rPr>
            </w:pPr>
            <w:r w:rsidRPr="00320630">
              <w:rPr>
                <w:rFonts w:eastAsia="Times New Roman" w:cstheme="minorHAnsi"/>
                <w:b/>
                <w:sz w:val="20"/>
                <w:szCs w:val="20"/>
                <w:lang w:eastAsia="pl-PL"/>
              </w:rPr>
              <w:t>2013</w:t>
            </w:r>
          </w:p>
        </w:tc>
        <w:tc>
          <w:tcPr>
            <w:tcW w:w="992" w:type="dxa"/>
            <w:tcBorders>
              <w:top w:val="single" w:sz="12" w:space="0" w:color="auto"/>
              <w:bottom w:val="single" w:sz="12" w:space="0" w:color="auto"/>
            </w:tcBorders>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bCs/>
                <w:iCs/>
                <w:sz w:val="20"/>
                <w:szCs w:val="20"/>
                <w:lang w:eastAsia="pl-PL"/>
              </w:rPr>
              <w:t>Liczba</w:t>
            </w:r>
          </w:p>
        </w:tc>
        <w:tc>
          <w:tcPr>
            <w:tcW w:w="2268" w:type="dxa"/>
            <w:tcBorders>
              <w:top w:val="single" w:sz="12" w:space="0" w:color="auto"/>
              <w:bottom w:val="single" w:sz="12" w:space="0" w:color="auto"/>
            </w:tcBorders>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bCs/>
                <w:iCs/>
                <w:sz w:val="20"/>
                <w:szCs w:val="20"/>
                <w:lang w:eastAsia="pl-PL"/>
              </w:rPr>
              <w:t>2014</w:t>
            </w:r>
          </w:p>
        </w:tc>
        <w:tc>
          <w:tcPr>
            <w:tcW w:w="992" w:type="dxa"/>
            <w:tcBorders>
              <w:top w:val="single" w:sz="12" w:space="0" w:color="auto"/>
              <w:bottom w:val="single" w:sz="12" w:space="0" w:color="auto"/>
            </w:tcBorders>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bCs/>
                <w:iCs/>
                <w:sz w:val="20"/>
                <w:szCs w:val="20"/>
                <w:lang w:eastAsia="pl-PL"/>
              </w:rPr>
              <w:t>Liczba</w:t>
            </w:r>
          </w:p>
        </w:tc>
        <w:tc>
          <w:tcPr>
            <w:tcW w:w="1843" w:type="dxa"/>
            <w:tcBorders>
              <w:top w:val="single" w:sz="12" w:space="0" w:color="auto"/>
              <w:bottom w:val="single" w:sz="12" w:space="0" w:color="auto"/>
            </w:tcBorders>
          </w:tcPr>
          <w:p w:rsidR="00606666" w:rsidRPr="00320630" w:rsidRDefault="00606666" w:rsidP="00192C50">
            <w:pPr>
              <w:tabs>
                <w:tab w:val="left" w:pos="709"/>
              </w:tabs>
              <w:spacing w:after="0" w:line="240" w:lineRule="auto"/>
              <w:jc w:val="center"/>
              <w:rPr>
                <w:rFonts w:eastAsia="Times New Roman" w:cstheme="minorHAnsi"/>
                <w:b/>
                <w:bCs/>
                <w:iCs/>
                <w:sz w:val="20"/>
                <w:szCs w:val="20"/>
                <w:lang w:eastAsia="pl-PL"/>
              </w:rPr>
            </w:pPr>
            <w:r w:rsidRPr="00320630">
              <w:rPr>
                <w:rFonts w:eastAsia="Times New Roman" w:cstheme="minorHAnsi"/>
                <w:b/>
                <w:bCs/>
                <w:iCs/>
                <w:sz w:val="20"/>
                <w:szCs w:val="20"/>
                <w:lang w:eastAsia="pl-PL"/>
              </w:rPr>
              <w:t>2015</w:t>
            </w:r>
          </w:p>
        </w:tc>
        <w:tc>
          <w:tcPr>
            <w:tcW w:w="1129" w:type="dxa"/>
            <w:tcBorders>
              <w:top w:val="single" w:sz="12" w:space="0" w:color="auto"/>
              <w:bottom w:val="single" w:sz="12" w:space="0" w:color="auto"/>
            </w:tcBorders>
          </w:tcPr>
          <w:p w:rsidR="00606666" w:rsidRPr="00320630" w:rsidRDefault="00606666" w:rsidP="00192C50">
            <w:pPr>
              <w:tabs>
                <w:tab w:val="left" w:pos="709"/>
              </w:tabs>
              <w:spacing w:after="0" w:line="240" w:lineRule="auto"/>
              <w:jc w:val="center"/>
              <w:rPr>
                <w:rFonts w:eastAsia="Times New Roman" w:cstheme="minorHAnsi"/>
                <w:b/>
                <w:bCs/>
                <w:iCs/>
                <w:sz w:val="20"/>
                <w:szCs w:val="20"/>
                <w:lang w:eastAsia="pl-PL"/>
              </w:rPr>
            </w:pPr>
            <w:r w:rsidRPr="00320630">
              <w:rPr>
                <w:rFonts w:eastAsia="Times New Roman" w:cstheme="minorHAnsi"/>
                <w:b/>
                <w:bCs/>
                <w:iCs/>
                <w:sz w:val="20"/>
                <w:szCs w:val="20"/>
                <w:lang w:eastAsia="pl-PL"/>
              </w:rPr>
              <w:t>Liczba</w:t>
            </w:r>
          </w:p>
        </w:tc>
      </w:tr>
      <w:tr w:rsidR="00606666" w:rsidRPr="00320630" w:rsidTr="00192C50">
        <w:tc>
          <w:tcPr>
            <w:tcW w:w="1985" w:type="dxa"/>
            <w:tcBorders>
              <w:top w:val="single" w:sz="12" w:space="0" w:color="auto"/>
            </w:tcBorders>
            <w:shd w:val="clear" w:color="auto" w:fill="F2F2F2"/>
            <w:vAlign w:val="center"/>
          </w:tcPr>
          <w:p w:rsidR="00606666" w:rsidRPr="00320630" w:rsidRDefault="00606666" w:rsidP="00192C50">
            <w:pPr>
              <w:tabs>
                <w:tab w:val="left" w:pos="426"/>
              </w:tabs>
              <w:spacing w:before="120" w:after="0" w:line="240" w:lineRule="auto"/>
              <w:ind w:left="142"/>
              <w:rPr>
                <w:rFonts w:cstheme="minorHAnsi"/>
                <w:sz w:val="20"/>
                <w:szCs w:val="20"/>
              </w:rPr>
            </w:pPr>
            <w:r w:rsidRPr="00320630">
              <w:rPr>
                <w:rFonts w:eastAsia="Times New Roman" w:cstheme="minorHAnsi"/>
                <w:sz w:val="20"/>
                <w:szCs w:val="20"/>
                <w:lang w:eastAsia="pl-PL"/>
              </w:rPr>
              <w:t>Postępowania w sprawach praktyk naruszających zbiorowe interesy konsumentów, w tym:</w:t>
            </w:r>
          </w:p>
        </w:tc>
        <w:tc>
          <w:tcPr>
            <w:tcW w:w="992" w:type="dxa"/>
            <w:tcBorders>
              <w:top w:val="single" w:sz="12" w:space="0" w:color="auto"/>
            </w:tcBorders>
            <w:shd w:val="clear" w:color="auto" w:fill="F2F2F2"/>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523</w:t>
            </w:r>
          </w:p>
        </w:tc>
        <w:tc>
          <w:tcPr>
            <w:tcW w:w="2268" w:type="dxa"/>
            <w:tcBorders>
              <w:top w:val="single" w:sz="12" w:space="0" w:color="auto"/>
            </w:tcBorders>
            <w:shd w:val="clear" w:color="auto" w:fill="F2F2F2"/>
            <w:vAlign w:val="center"/>
          </w:tcPr>
          <w:p w:rsidR="00606666" w:rsidRPr="00320630" w:rsidRDefault="00606666" w:rsidP="00192C50">
            <w:pPr>
              <w:tabs>
                <w:tab w:val="left" w:pos="426"/>
              </w:tabs>
              <w:spacing w:before="120" w:after="0" w:line="240" w:lineRule="auto"/>
              <w:ind w:left="142"/>
              <w:rPr>
                <w:rFonts w:cstheme="minorHAnsi"/>
                <w:sz w:val="20"/>
                <w:szCs w:val="20"/>
              </w:rPr>
            </w:pPr>
            <w:r w:rsidRPr="00320630">
              <w:rPr>
                <w:rFonts w:eastAsia="Times New Roman" w:cstheme="minorHAnsi"/>
                <w:sz w:val="20"/>
                <w:szCs w:val="20"/>
                <w:lang w:eastAsia="pl-PL"/>
              </w:rPr>
              <w:t>Postępowania w sprawach praktyk naruszających zbiorowe interesy konsumentów, w tym:</w:t>
            </w:r>
          </w:p>
        </w:tc>
        <w:tc>
          <w:tcPr>
            <w:tcW w:w="992" w:type="dxa"/>
            <w:tcBorders>
              <w:top w:val="single" w:sz="12" w:space="0" w:color="auto"/>
            </w:tcBorders>
            <w:shd w:val="clear" w:color="auto" w:fill="F2F2F2"/>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401</w:t>
            </w:r>
          </w:p>
        </w:tc>
        <w:tc>
          <w:tcPr>
            <w:tcW w:w="1843" w:type="dxa"/>
            <w:tcBorders>
              <w:top w:val="single" w:sz="12" w:space="0" w:color="auto"/>
            </w:tcBorders>
            <w:shd w:val="clear" w:color="auto" w:fill="F2F2F2"/>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Postępowania w sprawach praktyk naruszających zbiorowe interesy konsumentów, w tym:</w:t>
            </w:r>
          </w:p>
        </w:tc>
        <w:tc>
          <w:tcPr>
            <w:tcW w:w="1129" w:type="dxa"/>
            <w:tcBorders>
              <w:top w:val="single" w:sz="12" w:space="0" w:color="auto"/>
            </w:tcBorders>
            <w:shd w:val="clear" w:color="auto" w:fill="F2F2F2"/>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b/>
                <w:sz w:val="20"/>
                <w:szCs w:val="20"/>
                <w:lang w:eastAsia="pl-PL"/>
              </w:rPr>
              <w:t>232</w:t>
            </w:r>
          </w:p>
        </w:tc>
      </w:tr>
      <w:tr w:rsidR="00606666" w:rsidRPr="00320630" w:rsidTr="00192C50">
        <w:trPr>
          <w:trHeight w:val="340"/>
        </w:trPr>
        <w:tc>
          <w:tcPr>
            <w:tcW w:w="1985" w:type="dxa"/>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2013 r.</w:t>
            </w:r>
          </w:p>
        </w:tc>
        <w:tc>
          <w:tcPr>
            <w:tcW w:w="992" w:type="dxa"/>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389</w:t>
            </w:r>
          </w:p>
        </w:tc>
        <w:tc>
          <w:tcPr>
            <w:tcW w:w="2268" w:type="dxa"/>
            <w:shd w:val="clear" w:color="auto" w:fill="FFFFFF"/>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2014 r.</w:t>
            </w:r>
          </w:p>
        </w:tc>
        <w:tc>
          <w:tcPr>
            <w:tcW w:w="992" w:type="dxa"/>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209</w:t>
            </w:r>
          </w:p>
        </w:tc>
        <w:tc>
          <w:tcPr>
            <w:tcW w:w="1843" w:type="dxa"/>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wszczęte w 2015 r.</w:t>
            </w:r>
          </w:p>
        </w:tc>
        <w:tc>
          <w:tcPr>
            <w:tcW w:w="1129" w:type="dxa"/>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b/>
                <w:sz w:val="20"/>
                <w:szCs w:val="20"/>
                <w:lang w:eastAsia="pl-PL"/>
              </w:rPr>
              <w:t>106</w:t>
            </w:r>
          </w:p>
        </w:tc>
      </w:tr>
      <w:tr w:rsidR="00606666" w:rsidRPr="00320630" w:rsidTr="00192C50">
        <w:tc>
          <w:tcPr>
            <w:tcW w:w="1985" w:type="dxa"/>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latach poprzednich, ale prowadzone w 2013 r.</w:t>
            </w:r>
          </w:p>
        </w:tc>
        <w:tc>
          <w:tcPr>
            <w:tcW w:w="992" w:type="dxa"/>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134</w:t>
            </w:r>
          </w:p>
        </w:tc>
        <w:tc>
          <w:tcPr>
            <w:tcW w:w="2268" w:type="dxa"/>
            <w:shd w:val="clear" w:color="auto" w:fill="FFFFFF"/>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latach poprzednich, ale prowadzone w 2014 r.</w:t>
            </w:r>
          </w:p>
        </w:tc>
        <w:tc>
          <w:tcPr>
            <w:tcW w:w="992" w:type="dxa"/>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192</w:t>
            </w:r>
          </w:p>
        </w:tc>
        <w:tc>
          <w:tcPr>
            <w:tcW w:w="1843" w:type="dxa"/>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wszczęte w latach poprzednich, ale prowadzone w 2015 r.</w:t>
            </w:r>
          </w:p>
        </w:tc>
        <w:tc>
          <w:tcPr>
            <w:tcW w:w="1129" w:type="dxa"/>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b/>
                <w:sz w:val="20"/>
                <w:szCs w:val="20"/>
                <w:lang w:eastAsia="pl-PL"/>
              </w:rPr>
              <w:t>126</w:t>
            </w:r>
          </w:p>
        </w:tc>
      </w:tr>
      <w:tr w:rsidR="00606666" w:rsidRPr="00320630" w:rsidTr="00192C50">
        <w:tc>
          <w:tcPr>
            <w:tcW w:w="1985" w:type="dxa"/>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zakończone w 2013 r.</w:t>
            </w:r>
          </w:p>
        </w:tc>
        <w:tc>
          <w:tcPr>
            <w:tcW w:w="992" w:type="dxa"/>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333</w:t>
            </w:r>
          </w:p>
        </w:tc>
        <w:tc>
          <w:tcPr>
            <w:tcW w:w="2268" w:type="dxa"/>
            <w:shd w:val="clear" w:color="auto" w:fill="FFFFFF"/>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zakończone w 2014 r.</w:t>
            </w:r>
          </w:p>
        </w:tc>
        <w:tc>
          <w:tcPr>
            <w:tcW w:w="992" w:type="dxa"/>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281</w:t>
            </w:r>
          </w:p>
        </w:tc>
        <w:tc>
          <w:tcPr>
            <w:tcW w:w="1843" w:type="dxa"/>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zakończone w 2015 r.</w:t>
            </w:r>
          </w:p>
        </w:tc>
        <w:tc>
          <w:tcPr>
            <w:tcW w:w="1129" w:type="dxa"/>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b/>
                <w:sz w:val="20"/>
                <w:szCs w:val="20"/>
                <w:lang w:eastAsia="pl-PL"/>
              </w:rPr>
              <w:t>145</w:t>
            </w:r>
          </w:p>
        </w:tc>
      </w:tr>
      <w:tr w:rsidR="00606666" w:rsidRPr="00320630" w:rsidTr="00192C50">
        <w:trPr>
          <w:trHeight w:val="523"/>
        </w:trPr>
        <w:tc>
          <w:tcPr>
            <w:tcW w:w="1985" w:type="dxa"/>
            <w:tcBorders>
              <w:top w:val="single" w:sz="12" w:space="0" w:color="auto"/>
              <w:bottom w:val="single" w:sz="12" w:space="0" w:color="auto"/>
            </w:tcBorders>
            <w:shd w:val="clear" w:color="auto" w:fill="F2F2F2"/>
            <w:vAlign w:val="center"/>
          </w:tcPr>
          <w:p w:rsidR="00606666" w:rsidRPr="00320630" w:rsidRDefault="00606666" w:rsidP="00192C50">
            <w:pPr>
              <w:tabs>
                <w:tab w:val="left" w:pos="426"/>
              </w:tabs>
              <w:spacing w:before="120" w:after="0" w:line="240" w:lineRule="auto"/>
              <w:rPr>
                <w:rFonts w:cstheme="minorHAnsi"/>
                <w:sz w:val="20"/>
                <w:szCs w:val="20"/>
              </w:rPr>
            </w:pPr>
            <w:r w:rsidRPr="00320630">
              <w:rPr>
                <w:rFonts w:eastAsia="Times New Roman" w:cstheme="minorHAnsi"/>
                <w:sz w:val="20"/>
                <w:szCs w:val="20"/>
                <w:lang w:eastAsia="pl-PL"/>
              </w:rPr>
              <w:lastRenderedPageBreak/>
              <w:t>Postępowania w sprawie nałożenia kary na przedsiębiorcę</w:t>
            </w:r>
            <w:r w:rsidRPr="00320630">
              <w:rPr>
                <w:rFonts w:eastAsia="Times New Roman" w:cstheme="minorHAnsi"/>
                <w:sz w:val="20"/>
                <w:szCs w:val="20"/>
                <w:vertAlign w:val="superscript"/>
                <w:lang w:eastAsia="pl-PL"/>
              </w:rPr>
              <w:footnoteReference w:id="3"/>
            </w:r>
            <w:r w:rsidRPr="00320630">
              <w:rPr>
                <w:rFonts w:eastAsia="Times New Roman" w:cstheme="minorHAnsi"/>
                <w:sz w:val="20"/>
                <w:szCs w:val="20"/>
                <w:lang w:eastAsia="pl-PL"/>
              </w:rPr>
              <w:t xml:space="preserve">, w tym: </w:t>
            </w:r>
          </w:p>
        </w:tc>
        <w:tc>
          <w:tcPr>
            <w:tcW w:w="992" w:type="dxa"/>
            <w:tcBorders>
              <w:top w:val="single" w:sz="12" w:space="0" w:color="auto"/>
            </w:tcBorders>
            <w:shd w:val="clear" w:color="auto" w:fill="F2F2F2"/>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40</w:t>
            </w:r>
          </w:p>
        </w:tc>
        <w:tc>
          <w:tcPr>
            <w:tcW w:w="2268" w:type="dxa"/>
            <w:tcBorders>
              <w:top w:val="single" w:sz="12" w:space="0" w:color="auto"/>
            </w:tcBorders>
            <w:shd w:val="clear" w:color="auto" w:fill="F2F2F2"/>
            <w:vAlign w:val="center"/>
          </w:tcPr>
          <w:p w:rsidR="00606666" w:rsidRPr="00320630" w:rsidRDefault="00606666" w:rsidP="00192C50">
            <w:pPr>
              <w:tabs>
                <w:tab w:val="left" w:pos="426"/>
              </w:tabs>
              <w:spacing w:before="120" w:after="0" w:line="240" w:lineRule="auto"/>
              <w:rPr>
                <w:rFonts w:cstheme="minorHAnsi"/>
                <w:sz w:val="20"/>
                <w:szCs w:val="20"/>
              </w:rPr>
            </w:pPr>
            <w:r w:rsidRPr="00320630">
              <w:rPr>
                <w:rFonts w:eastAsia="Times New Roman" w:cstheme="minorHAnsi"/>
                <w:sz w:val="20"/>
                <w:szCs w:val="20"/>
                <w:lang w:eastAsia="pl-PL"/>
              </w:rPr>
              <w:t>Postępowania w sprawie nałożenia kary na przedsiębiorcę</w:t>
            </w:r>
            <w:r w:rsidRPr="00320630">
              <w:rPr>
                <w:rFonts w:eastAsia="Times New Roman" w:cstheme="minorHAnsi"/>
                <w:sz w:val="20"/>
                <w:szCs w:val="20"/>
                <w:vertAlign w:val="superscript"/>
                <w:lang w:eastAsia="pl-PL"/>
              </w:rPr>
              <w:footnoteReference w:id="4"/>
            </w:r>
            <w:r w:rsidRPr="00320630">
              <w:rPr>
                <w:rFonts w:eastAsia="Times New Roman" w:cstheme="minorHAnsi"/>
                <w:sz w:val="20"/>
                <w:szCs w:val="20"/>
                <w:lang w:eastAsia="pl-PL"/>
              </w:rPr>
              <w:t xml:space="preserve">, w tym: </w:t>
            </w:r>
          </w:p>
        </w:tc>
        <w:tc>
          <w:tcPr>
            <w:tcW w:w="992" w:type="dxa"/>
            <w:tcBorders>
              <w:top w:val="single" w:sz="12" w:space="0" w:color="auto"/>
            </w:tcBorders>
            <w:shd w:val="clear" w:color="auto" w:fill="F2F2F2"/>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26</w:t>
            </w:r>
          </w:p>
        </w:tc>
        <w:tc>
          <w:tcPr>
            <w:tcW w:w="1843" w:type="dxa"/>
            <w:tcBorders>
              <w:top w:val="single" w:sz="12" w:space="0" w:color="auto"/>
            </w:tcBorders>
            <w:shd w:val="clear" w:color="auto" w:fill="F2F2F2"/>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Postępowania w sprawie nałożenia kary na przedsiębiorcę</w:t>
            </w:r>
            <w:r w:rsidRPr="00320630">
              <w:rPr>
                <w:rFonts w:eastAsia="Times New Roman" w:cstheme="minorHAnsi"/>
                <w:sz w:val="20"/>
                <w:szCs w:val="20"/>
                <w:vertAlign w:val="superscript"/>
                <w:lang w:eastAsia="pl-PL"/>
              </w:rPr>
              <w:footnoteReference w:id="5"/>
            </w:r>
            <w:r w:rsidRPr="00320630">
              <w:rPr>
                <w:rFonts w:eastAsia="Times New Roman" w:cstheme="minorHAnsi"/>
                <w:sz w:val="20"/>
                <w:szCs w:val="20"/>
                <w:lang w:eastAsia="pl-PL"/>
              </w:rPr>
              <w:t xml:space="preserve">, w tym: </w:t>
            </w:r>
          </w:p>
        </w:tc>
        <w:tc>
          <w:tcPr>
            <w:tcW w:w="1129" w:type="dxa"/>
            <w:tcBorders>
              <w:top w:val="single" w:sz="12" w:space="0" w:color="auto"/>
            </w:tcBorders>
            <w:shd w:val="clear" w:color="auto" w:fill="F2F2F2"/>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b/>
                <w:sz w:val="20"/>
                <w:szCs w:val="20"/>
                <w:lang w:eastAsia="pl-PL"/>
              </w:rPr>
              <w:t>21</w:t>
            </w:r>
          </w:p>
        </w:tc>
      </w:tr>
      <w:tr w:rsidR="00606666" w:rsidRPr="00320630" w:rsidTr="00192C50">
        <w:trPr>
          <w:trHeight w:val="315"/>
        </w:trPr>
        <w:tc>
          <w:tcPr>
            <w:tcW w:w="1985" w:type="dxa"/>
            <w:tcBorders>
              <w:top w:val="single" w:sz="12" w:space="0" w:color="auto"/>
              <w:bottom w:val="single" w:sz="12" w:space="0" w:color="auto"/>
            </w:tcBorders>
            <w:shd w:val="clear" w:color="auto" w:fill="auto"/>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2013 r.</w:t>
            </w:r>
          </w:p>
        </w:tc>
        <w:tc>
          <w:tcPr>
            <w:tcW w:w="992"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21</w:t>
            </w:r>
          </w:p>
        </w:tc>
        <w:tc>
          <w:tcPr>
            <w:tcW w:w="2268" w:type="dxa"/>
            <w:tcBorders>
              <w:top w:val="single" w:sz="12" w:space="0" w:color="auto"/>
            </w:tcBorders>
            <w:shd w:val="clear" w:color="auto" w:fill="auto"/>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2014 r.</w:t>
            </w:r>
          </w:p>
        </w:tc>
        <w:tc>
          <w:tcPr>
            <w:tcW w:w="992"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22</w:t>
            </w:r>
          </w:p>
        </w:tc>
        <w:tc>
          <w:tcPr>
            <w:tcW w:w="1843"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wszczęte w 2015 r.</w:t>
            </w:r>
          </w:p>
        </w:tc>
        <w:tc>
          <w:tcPr>
            <w:tcW w:w="1129"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b/>
                <w:sz w:val="20"/>
                <w:szCs w:val="20"/>
                <w:lang w:eastAsia="pl-PL"/>
              </w:rPr>
              <w:t>13</w:t>
            </w:r>
          </w:p>
        </w:tc>
      </w:tr>
      <w:tr w:rsidR="00606666" w:rsidRPr="00320630" w:rsidTr="00192C50">
        <w:trPr>
          <w:trHeight w:val="491"/>
        </w:trPr>
        <w:tc>
          <w:tcPr>
            <w:tcW w:w="1985" w:type="dxa"/>
            <w:tcBorders>
              <w:top w:val="single" w:sz="12" w:space="0" w:color="auto"/>
              <w:bottom w:val="single" w:sz="12" w:space="0" w:color="auto"/>
            </w:tcBorders>
            <w:shd w:val="clear" w:color="auto" w:fill="auto"/>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latach poprzednich, ale prowadzone w 2013 r.</w:t>
            </w:r>
          </w:p>
        </w:tc>
        <w:tc>
          <w:tcPr>
            <w:tcW w:w="992"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19</w:t>
            </w:r>
          </w:p>
        </w:tc>
        <w:tc>
          <w:tcPr>
            <w:tcW w:w="2268" w:type="dxa"/>
            <w:tcBorders>
              <w:top w:val="single" w:sz="12" w:space="0" w:color="auto"/>
            </w:tcBorders>
            <w:shd w:val="clear" w:color="auto" w:fill="auto"/>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latach poprzednich, ale prowadzone w 2014 r.</w:t>
            </w:r>
          </w:p>
        </w:tc>
        <w:tc>
          <w:tcPr>
            <w:tcW w:w="992"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4</w:t>
            </w:r>
          </w:p>
        </w:tc>
        <w:tc>
          <w:tcPr>
            <w:tcW w:w="1843"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wszczęte w latach poprzednich, ale prowadzone w 2015 r.</w:t>
            </w:r>
          </w:p>
        </w:tc>
        <w:tc>
          <w:tcPr>
            <w:tcW w:w="1129"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b/>
                <w:sz w:val="20"/>
                <w:szCs w:val="20"/>
                <w:lang w:eastAsia="pl-PL"/>
              </w:rPr>
              <w:t>8</w:t>
            </w:r>
          </w:p>
        </w:tc>
      </w:tr>
      <w:tr w:rsidR="00606666" w:rsidRPr="00320630" w:rsidTr="00192C50">
        <w:trPr>
          <w:trHeight w:val="491"/>
        </w:trPr>
        <w:tc>
          <w:tcPr>
            <w:tcW w:w="1985" w:type="dxa"/>
            <w:tcBorders>
              <w:top w:val="single" w:sz="12" w:space="0" w:color="auto"/>
              <w:bottom w:val="single" w:sz="12" w:space="0" w:color="auto"/>
            </w:tcBorders>
            <w:shd w:val="clear" w:color="auto" w:fill="auto"/>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zakończone w 2013 r.</w:t>
            </w:r>
          </w:p>
        </w:tc>
        <w:tc>
          <w:tcPr>
            <w:tcW w:w="992"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35</w:t>
            </w:r>
          </w:p>
        </w:tc>
        <w:tc>
          <w:tcPr>
            <w:tcW w:w="2268" w:type="dxa"/>
            <w:tcBorders>
              <w:top w:val="single" w:sz="12" w:space="0" w:color="auto"/>
            </w:tcBorders>
            <w:shd w:val="clear" w:color="auto" w:fill="auto"/>
            <w:vAlign w:val="center"/>
          </w:tcPr>
          <w:p w:rsidR="00606666" w:rsidRPr="00320630" w:rsidRDefault="00606666" w:rsidP="00606666">
            <w:pPr>
              <w:numPr>
                <w:ilvl w:val="0"/>
                <w:numId w:val="7"/>
              </w:numPr>
              <w:spacing w:before="120" w:after="0" w:line="240" w:lineRule="auto"/>
              <w:ind w:left="283" w:hanging="170"/>
              <w:rPr>
                <w:rFonts w:cstheme="minorHAnsi"/>
                <w:sz w:val="20"/>
                <w:szCs w:val="20"/>
              </w:rPr>
            </w:pPr>
            <w:r w:rsidRPr="00320630">
              <w:rPr>
                <w:rFonts w:eastAsia="Times New Roman" w:cstheme="minorHAnsi"/>
                <w:sz w:val="20"/>
                <w:szCs w:val="20"/>
                <w:lang w:eastAsia="pl-PL"/>
              </w:rPr>
              <w:t>zakończone w 2014 r.</w:t>
            </w:r>
          </w:p>
        </w:tc>
        <w:tc>
          <w:tcPr>
            <w:tcW w:w="992"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19</w:t>
            </w:r>
          </w:p>
        </w:tc>
        <w:tc>
          <w:tcPr>
            <w:tcW w:w="1843"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zakończone w 2015 r.</w:t>
            </w:r>
          </w:p>
        </w:tc>
        <w:tc>
          <w:tcPr>
            <w:tcW w:w="1129" w:type="dxa"/>
            <w:tcBorders>
              <w:top w:val="single" w:sz="12" w:space="0" w:color="auto"/>
            </w:tcBorders>
            <w:shd w:val="clear" w:color="auto" w:fill="auto"/>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b/>
                <w:sz w:val="20"/>
                <w:szCs w:val="20"/>
                <w:lang w:eastAsia="pl-PL"/>
              </w:rPr>
              <w:t>10</w:t>
            </w:r>
          </w:p>
        </w:tc>
      </w:tr>
      <w:tr w:rsidR="00606666" w:rsidRPr="00320630" w:rsidTr="00192C50">
        <w:trPr>
          <w:trHeight w:val="331"/>
        </w:trPr>
        <w:tc>
          <w:tcPr>
            <w:tcW w:w="1985" w:type="dxa"/>
            <w:tcBorders>
              <w:top w:val="single" w:sz="12" w:space="0" w:color="auto"/>
            </w:tcBorders>
            <w:shd w:val="clear" w:color="auto" w:fill="DEEAF6" w:themeFill="accent1" w:themeFillTint="33"/>
            <w:vAlign w:val="center"/>
          </w:tcPr>
          <w:p w:rsidR="00606666" w:rsidRPr="00320630" w:rsidRDefault="00606666" w:rsidP="00192C50">
            <w:pPr>
              <w:tabs>
                <w:tab w:val="left" w:pos="426"/>
              </w:tabs>
              <w:spacing w:before="120" w:after="0" w:line="240" w:lineRule="auto"/>
              <w:rPr>
                <w:rFonts w:cstheme="minorHAnsi"/>
                <w:sz w:val="20"/>
                <w:szCs w:val="20"/>
              </w:rPr>
            </w:pPr>
            <w:r w:rsidRPr="00320630">
              <w:rPr>
                <w:rFonts w:eastAsia="Times New Roman" w:cstheme="minorHAnsi"/>
                <w:sz w:val="20"/>
                <w:szCs w:val="20"/>
                <w:lang w:eastAsia="pl-PL"/>
              </w:rPr>
              <w:t>Postępowania wyjaśniające, w tym:</w:t>
            </w:r>
          </w:p>
        </w:tc>
        <w:tc>
          <w:tcPr>
            <w:tcW w:w="992" w:type="dxa"/>
            <w:tcBorders>
              <w:top w:val="single" w:sz="12" w:space="0" w:color="auto"/>
            </w:tcBorders>
            <w:shd w:val="clear" w:color="auto" w:fill="DEEAF6" w:themeFill="accent1" w:themeFillTint="33"/>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1103</w:t>
            </w:r>
          </w:p>
        </w:tc>
        <w:tc>
          <w:tcPr>
            <w:tcW w:w="2268" w:type="dxa"/>
            <w:tcBorders>
              <w:top w:val="single" w:sz="12" w:space="0" w:color="auto"/>
            </w:tcBorders>
            <w:shd w:val="clear" w:color="auto" w:fill="DEEAF6" w:themeFill="accent1" w:themeFillTint="33"/>
            <w:vAlign w:val="center"/>
          </w:tcPr>
          <w:p w:rsidR="00606666" w:rsidRPr="00320630" w:rsidRDefault="00606666" w:rsidP="00192C50">
            <w:pPr>
              <w:tabs>
                <w:tab w:val="left" w:pos="426"/>
              </w:tabs>
              <w:spacing w:before="120" w:after="0" w:line="240" w:lineRule="auto"/>
              <w:rPr>
                <w:rFonts w:cstheme="minorHAnsi"/>
                <w:sz w:val="20"/>
                <w:szCs w:val="20"/>
              </w:rPr>
            </w:pPr>
            <w:r w:rsidRPr="00320630">
              <w:rPr>
                <w:rFonts w:eastAsia="Times New Roman" w:cstheme="minorHAnsi"/>
                <w:sz w:val="20"/>
                <w:szCs w:val="20"/>
                <w:lang w:eastAsia="pl-PL"/>
              </w:rPr>
              <w:t>Postępowania wyjaśniające, w tym:</w:t>
            </w:r>
          </w:p>
        </w:tc>
        <w:tc>
          <w:tcPr>
            <w:tcW w:w="992" w:type="dxa"/>
            <w:tcBorders>
              <w:top w:val="single" w:sz="12" w:space="0" w:color="auto"/>
            </w:tcBorders>
            <w:shd w:val="clear" w:color="auto" w:fill="DEEAF6" w:themeFill="accent1" w:themeFillTint="33"/>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872</w:t>
            </w:r>
          </w:p>
        </w:tc>
        <w:tc>
          <w:tcPr>
            <w:tcW w:w="1843" w:type="dxa"/>
            <w:tcBorders>
              <w:top w:val="single" w:sz="12" w:space="0" w:color="auto"/>
            </w:tcBorders>
            <w:shd w:val="clear" w:color="auto" w:fill="DEEAF6" w:themeFill="accent1" w:themeFillTint="33"/>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Postępowania wyjaśniające, w tym:</w:t>
            </w:r>
          </w:p>
        </w:tc>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cstheme="minorHAnsi"/>
                <w:b/>
                <w:color w:val="000000"/>
                <w:sz w:val="20"/>
                <w:szCs w:val="20"/>
              </w:rPr>
              <w:t>754</w:t>
            </w:r>
          </w:p>
        </w:tc>
      </w:tr>
      <w:tr w:rsidR="00606666" w:rsidRPr="00320630" w:rsidTr="00192C50">
        <w:tc>
          <w:tcPr>
            <w:tcW w:w="1985" w:type="dxa"/>
            <w:tcBorders>
              <w:bottom w:val="single" w:sz="12" w:space="0" w:color="auto"/>
            </w:tcBorders>
            <w:shd w:val="clear" w:color="auto" w:fill="FFFFFF"/>
            <w:vAlign w:val="center"/>
          </w:tcPr>
          <w:p w:rsidR="00606666" w:rsidRPr="00320630" w:rsidRDefault="00606666" w:rsidP="00606666">
            <w:pPr>
              <w:numPr>
                <w:ilvl w:val="1"/>
                <w:numId w:val="6"/>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2013 r.</w:t>
            </w:r>
          </w:p>
        </w:tc>
        <w:tc>
          <w:tcPr>
            <w:tcW w:w="992"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746</w:t>
            </w:r>
          </w:p>
        </w:tc>
        <w:tc>
          <w:tcPr>
            <w:tcW w:w="2268" w:type="dxa"/>
            <w:tcBorders>
              <w:bottom w:val="single" w:sz="12" w:space="0" w:color="auto"/>
            </w:tcBorders>
            <w:shd w:val="clear" w:color="auto" w:fill="FFFFFF"/>
            <w:vAlign w:val="center"/>
          </w:tcPr>
          <w:p w:rsidR="00606666" w:rsidRPr="00320630" w:rsidRDefault="00606666" w:rsidP="00606666">
            <w:pPr>
              <w:numPr>
                <w:ilvl w:val="1"/>
                <w:numId w:val="6"/>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2014 r.</w:t>
            </w:r>
          </w:p>
        </w:tc>
        <w:tc>
          <w:tcPr>
            <w:tcW w:w="992"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543</w:t>
            </w:r>
          </w:p>
        </w:tc>
        <w:tc>
          <w:tcPr>
            <w:tcW w:w="1843"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wszczęte w 2015 r.</w:t>
            </w:r>
          </w:p>
        </w:tc>
        <w:tc>
          <w:tcPr>
            <w:tcW w:w="1129" w:type="dxa"/>
            <w:tcBorders>
              <w:top w:val="nil"/>
              <w:left w:val="single" w:sz="4" w:space="0" w:color="auto"/>
              <w:bottom w:val="single" w:sz="4" w:space="0" w:color="auto"/>
              <w:right w:val="single" w:sz="4" w:space="0" w:color="auto"/>
            </w:tcBorders>
            <w:shd w:val="clear" w:color="auto" w:fill="auto"/>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cstheme="minorHAnsi"/>
                <w:b/>
                <w:color w:val="000000"/>
                <w:sz w:val="20"/>
                <w:szCs w:val="20"/>
              </w:rPr>
              <w:t>473</w:t>
            </w:r>
          </w:p>
        </w:tc>
      </w:tr>
      <w:tr w:rsidR="00606666" w:rsidRPr="00320630" w:rsidTr="00192C50">
        <w:tc>
          <w:tcPr>
            <w:tcW w:w="1985" w:type="dxa"/>
            <w:tcBorders>
              <w:bottom w:val="single" w:sz="12" w:space="0" w:color="auto"/>
            </w:tcBorders>
            <w:shd w:val="clear" w:color="auto" w:fill="FFFFFF"/>
            <w:vAlign w:val="center"/>
          </w:tcPr>
          <w:p w:rsidR="00606666" w:rsidRPr="00320630" w:rsidRDefault="00606666" w:rsidP="00606666">
            <w:pPr>
              <w:numPr>
                <w:ilvl w:val="1"/>
                <w:numId w:val="6"/>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latach poprzednich, ale prowadzone w 2013 r.</w:t>
            </w:r>
          </w:p>
        </w:tc>
        <w:tc>
          <w:tcPr>
            <w:tcW w:w="992"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357</w:t>
            </w:r>
          </w:p>
        </w:tc>
        <w:tc>
          <w:tcPr>
            <w:tcW w:w="2268" w:type="dxa"/>
            <w:tcBorders>
              <w:bottom w:val="single" w:sz="12" w:space="0" w:color="auto"/>
            </w:tcBorders>
            <w:shd w:val="clear" w:color="auto" w:fill="FFFFFF"/>
            <w:vAlign w:val="center"/>
          </w:tcPr>
          <w:p w:rsidR="00606666" w:rsidRPr="00320630" w:rsidRDefault="00606666" w:rsidP="00606666">
            <w:pPr>
              <w:numPr>
                <w:ilvl w:val="1"/>
                <w:numId w:val="6"/>
              </w:numPr>
              <w:spacing w:before="120" w:after="0" w:line="240" w:lineRule="auto"/>
              <w:ind w:left="283" w:hanging="170"/>
              <w:rPr>
                <w:rFonts w:cstheme="minorHAnsi"/>
                <w:sz w:val="20"/>
                <w:szCs w:val="20"/>
              </w:rPr>
            </w:pPr>
            <w:r w:rsidRPr="00320630">
              <w:rPr>
                <w:rFonts w:eastAsia="Times New Roman" w:cstheme="minorHAnsi"/>
                <w:sz w:val="20"/>
                <w:szCs w:val="20"/>
                <w:lang w:eastAsia="pl-PL"/>
              </w:rPr>
              <w:t>wszczęte w latach poprzednich, ale prowadzone w 2014 r.</w:t>
            </w:r>
          </w:p>
        </w:tc>
        <w:tc>
          <w:tcPr>
            <w:tcW w:w="992"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329</w:t>
            </w:r>
          </w:p>
        </w:tc>
        <w:tc>
          <w:tcPr>
            <w:tcW w:w="1843"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wszczęte w latach poprzednich, ale prowadzone w 2015 r.</w:t>
            </w:r>
          </w:p>
        </w:tc>
        <w:tc>
          <w:tcPr>
            <w:tcW w:w="1129" w:type="dxa"/>
            <w:tcBorders>
              <w:top w:val="nil"/>
              <w:left w:val="single" w:sz="4" w:space="0" w:color="auto"/>
              <w:bottom w:val="single" w:sz="4" w:space="0" w:color="auto"/>
              <w:right w:val="single" w:sz="4" w:space="0" w:color="auto"/>
            </w:tcBorders>
            <w:shd w:val="clear" w:color="auto" w:fill="auto"/>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cstheme="minorHAnsi"/>
                <w:b/>
                <w:color w:val="000000"/>
                <w:sz w:val="20"/>
                <w:szCs w:val="20"/>
              </w:rPr>
              <w:t>281</w:t>
            </w:r>
          </w:p>
        </w:tc>
      </w:tr>
      <w:tr w:rsidR="00606666" w:rsidRPr="00320630" w:rsidTr="00192C50">
        <w:tc>
          <w:tcPr>
            <w:tcW w:w="1985" w:type="dxa"/>
            <w:tcBorders>
              <w:bottom w:val="single" w:sz="12" w:space="0" w:color="auto"/>
            </w:tcBorders>
            <w:shd w:val="clear" w:color="auto" w:fill="FFFFFF"/>
            <w:vAlign w:val="center"/>
          </w:tcPr>
          <w:p w:rsidR="00606666" w:rsidRPr="00320630" w:rsidRDefault="00606666" w:rsidP="00606666">
            <w:pPr>
              <w:numPr>
                <w:ilvl w:val="1"/>
                <w:numId w:val="6"/>
              </w:numPr>
              <w:spacing w:before="120" w:after="0" w:line="240" w:lineRule="auto"/>
              <w:ind w:left="283" w:hanging="170"/>
              <w:rPr>
                <w:rFonts w:cstheme="minorHAnsi"/>
                <w:sz w:val="20"/>
                <w:szCs w:val="20"/>
              </w:rPr>
            </w:pPr>
            <w:r w:rsidRPr="00320630">
              <w:rPr>
                <w:rFonts w:eastAsia="Times New Roman" w:cstheme="minorHAnsi"/>
                <w:sz w:val="20"/>
                <w:szCs w:val="20"/>
                <w:lang w:eastAsia="pl-PL"/>
              </w:rPr>
              <w:t>zakończone w 2013 r.</w:t>
            </w:r>
          </w:p>
        </w:tc>
        <w:tc>
          <w:tcPr>
            <w:tcW w:w="992"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715</w:t>
            </w:r>
          </w:p>
        </w:tc>
        <w:tc>
          <w:tcPr>
            <w:tcW w:w="2268" w:type="dxa"/>
            <w:tcBorders>
              <w:bottom w:val="single" w:sz="12" w:space="0" w:color="auto"/>
            </w:tcBorders>
            <w:shd w:val="clear" w:color="auto" w:fill="FFFFFF"/>
            <w:vAlign w:val="center"/>
          </w:tcPr>
          <w:p w:rsidR="00606666" w:rsidRPr="00320630" w:rsidRDefault="00606666" w:rsidP="00606666">
            <w:pPr>
              <w:numPr>
                <w:ilvl w:val="1"/>
                <w:numId w:val="6"/>
              </w:numPr>
              <w:spacing w:before="120" w:after="0" w:line="240" w:lineRule="auto"/>
              <w:ind w:left="283" w:hanging="170"/>
              <w:rPr>
                <w:rFonts w:cstheme="minorHAnsi"/>
                <w:sz w:val="20"/>
                <w:szCs w:val="20"/>
              </w:rPr>
            </w:pPr>
            <w:r w:rsidRPr="00320630">
              <w:rPr>
                <w:rFonts w:eastAsia="Times New Roman" w:cstheme="minorHAnsi"/>
                <w:sz w:val="20"/>
                <w:szCs w:val="20"/>
                <w:lang w:eastAsia="pl-PL"/>
              </w:rPr>
              <w:t>zakończone w 2014 r.</w:t>
            </w:r>
          </w:p>
        </w:tc>
        <w:tc>
          <w:tcPr>
            <w:tcW w:w="992"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cstheme="minorHAnsi"/>
                <w:b/>
                <w:sz w:val="20"/>
                <w:szCs w:val="20"/>
              </w:rPr>
            </w:pPr>
            <w:r w:rsidRPr="00320630">
              <w:rPr>
                <w:rFonts w:eastAsia="Times New Roman" w:cstheme="minorHAnsi"/>
                <w:b/>
                <w:sz w:val="20"/>
                <w:szCs w:val="20"/>
                <w:lang w:eastAsia="pl-PL"/>
              </w:rPr>
              <w:t>481</w:t>
            </w:r>
          </w:p>
        </w:tc>
        <w:tc>
          <w:tcPr>
            <w:tcW w:w="1843"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sz w:val="20"/>
                <w:szCs w:val="20"/>
                <w:lang w:eastAsia="pl-PL"/>
              </w:rPr>
              <w:t>zakończone w 2015 r.</w:t>
            </w:r>
          </w:p>
        </w:tc>
        <w:tc>
          <w:tcPr>
            <w:tcW w:w="1129" w:type="dxa"/>
            <w:tcBorders>
              <w:bottom w:val="single" w:sz="12" w:space="0" w:color="auto"/>
            </w:tcBorders>
            <w:shd w:val="clear" w:color="auto" w:fill="FFFFFF"/>
            <w:vAlign w:val="center"/>
          </w:tcPr>
          <w:p w:rsidR="00606666" w:rsidRPr="00320630" w:rsidRDefault="00606666" w:rsidP="00192C50">
            <w:pPr>
              <w:tabs>
                <w:tab w:val="left" w:pos="709"/>
              </w:tabs>
              <w:spacing w:after="0" w:line="240" w:lineRule="auto"/>
              <w:jc w:val="center"/>
              <w:rPr>
                <w:rFonts w:eastAsia="Times New Roman" w:cstheme="minorHAnsi"/>
                <w:b/>
                <w:sz w:val="20"/>
                <w:szCs w:val="20"/>
                <w:lang w:eastAsia="pl-PL"/>
              </w:rPr>
            </w:pPr>
            <w:r w:rsidRPr="00320630">
              <w:rPr>
                <w:rFonts w:eastAsia="Times New Roman" w:cstheme="minorHAnsi"/>
                <w:b/>
                <w:sz w:val="20"/>
                <w:szCs w:val="20"/>
                <w:lang w:eastAsia="pl-PL"/>
              </w:rPr>
              <w:t>488</w:t>
            </w:r>
          </w:p>
        </w:tc>
      </w:tr>
    </w:tbl>
    <w:p w:rsidR="00606666" w:rsidRPr="00320630" w:rsidRDefault="00606666" w:rsidP="00606666">
      <w:pPr>
        <w:spacing w:line="360" w:lineRule="auto"/>
        <w:jc w:val="both"/>
        <w:rPr>
          <w:rFonts w:cstheme="minorHAnsi"/>
          <w:sz w:val="20"/>
          <w:szCs w:val="20"/>
        </w:rPr>
      </w:pPr>
    </w:p>
    <w:p w:rsidR="00C700A8" w:rsidRPr="00320630" w:rsidRDefault="00C700A8" w:rsidP="00C700A8">
      <w:pPr>
        <w:spacing w:after="120"/>
        <w:jc w:val="both"/>
        <w:rPr>
          <w:rFonts w:cstheme="minorHAnsi"/>
          <w:b/>
          <w:sz w:val="20"/>
          <w:szCs w:val="20"/>
        </w:rPr>
      </w:pPr>
      <w:r w:rsidRPr="00320630">
        <w:rPr>
          <w:rFonts w:cstheme="minorHAnsi"/>
          <w:b/>
          <w:sz w:val="20"/>
          <w:szCs w:val="20"/>
        </w:rPr>
        <w:t>Wykres 1. Postępowania i wezwania miękkie w latach 2014-2016</w:t>
      </w:r>
    </w:p>
    <w:p w:rsidR="00C700A8" w:rsidRPr="00320630" w:rsidRDefault="00C700A8" w:rsidP="00C700A8">
      <w:pPr>
        <w:spacing w:line="360" w:lineRule="auto"/>
        <w:rPr>
          <w:rFonts w:cstheme="minorHAnsi"/>
          <w:sz w:val="20"/>
          <w:szCs w:val="20"/>
        </w:rPr>
      </w:pPr>
      <w:r w:rsidRPr="00320630">
        <w:rPr>
          <w:rFonts w:cstheme="minorHAnsi"/>
          <w:noProof/>
          <w:sz w:val="20"/>
          <w:szCs w:val="20"/>
          <w:lang w:eastAsia="pl-PL"/>
        </w:rPr>
        <w:drawing>
          <wp:anchor distT="0" distB="0" distL="114300" distR="114300" simplePos="0" relativeHeight="251666432" behindDoc="1" locked="0" layoutInCell="1" allowOverlap="1" wp14:anchorId="7DFACC81" wp14:editId="1984684D">
            <wp:simplePos x="0" y="0"/>
            <wp:positionH relativeFrom="column">
              <wp:posOffset>4445</wp:posOffset>
            </wp:positionH>
            <wp:positionV relativeFrom="paragraph">
              <wp:posOffset>56515</wp:posOffset>
            </wp:positionV>
            <wp:extent cx="4476750" cy="2200275"/>
            <wp:effectExtent l="0" t="0" r="19050" b="9525"/>
            <wp:wrapTight wrapText="bothSides">
              <wp:wrapPolygon edited="0">
                <wp:start x="0" y="0"/>
                <wp:lineTo x="0" y="21506"/>
                <wp:lineTo x="21600" y="21506"/>
                <wp:lineTo x="21600" y="0"/>
                <wp:lineTo x="0" y="0"/>
              </wp:wrapPolygon>
            </wp:wrapTight>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C700A8" w:rsidRPr="00320630" w:rsidRDefault="00C700A8" w:rsidP="00C700A8">
      <w:pPr>
        <w:spacing w:line="360" w:lineRule="auto"/>
        <w:rPr>
          <w:rFonts w:cstheme="minorHAnsi"/>
          <w:sz w:val="20"/>
          <w:szCs w:val="20"/>
        </w:rPr>
      </w:pPr>
    </w:p>
    <w:p w:rsidR="00C700A8" w:rsidRPr="00320630" w:rsidRDefault="00C700A8" w:rsidP="00C700A8">
      <w:pPr>
        <w:spacing w:line="360" w:lineRule="auto"/>
        <w:rPr>
          <w:rFonts w:cstheme="minorHAnsi"/>
          <w:sz w:val="20"/>
          <w:szCs w:val="20"/>
        </w:rPr>
      </w:pPr>
    </w:p>
    <w:p w:rsidR="00C700A8" w:rsidRPr="00320630" w:rsidRDefault="00C700A8" w:rsidP="00C700A8">
      <w:pPr>
        <w:spacing w:after="120"/>
        <w:jc w:val="both"/>
        <w:rPr>
          <w:rFonts w:cstheme="minorHAnsi"/>
          <w:sz w:val="20"/>
          <w:szCs w:val="20"/>
        </w:rPr>
      </w:pPr>
    </w:p>
    <w:p w:rsidR="00C700A8" w:rsidRPr="00320630" w:rsidRDefault="00C700A8" w:rsidP="00C700A8">
      <w:pPr>
        <w:spacing w:after="120"/>
        <w:jc w:val="both"/>
        <w:rPr>
          <w:rFonts w:cstheme="minorHAnsi"/>
          <w:sz w:val="20"/>
          <w:szCs w:val="20"/>
        </w:rPr>
      </w:pPr>
    </w:p>
    <w:p w:rsidR="00C700A8" w:rsidRPr="00320630" w:rsidRDefault="00C700A8" w:rsidP="00606666">
      <w:pPr>
        <w:spacing w:line="360" w:lineRule="auto"/>
        <w:jc w:val="both"/>
        <w:rPr>
          <w:rFonts w:cstheme="minorHAnsi"/>
          <w:sz w:val="20"/>
          <w:szCs w:val="20"/>
        </w:rPr>
      </w:pPr>
    </w:p>
    <w:p w:rsidR="00C700A8" w:rsidRPr="00320630" w:rsidRDefault="00C700A8" w:rsidP="00606666">
      <w:pPr>
        <w:spacing w:line="360" w:lineRule="auto"/>
        <w:jc w:val="both"/>
        <w:rPr>
          <w:rFonts w:cstheme="minorHAnsi"/>
          <w:sz w:val="20"/>
          <w:szCs w:val="20"/>
        </w:rPr>
      </w:pPr>
    </w:p>
    <w:p w:rsidR="00C700A8" w:rsidRPr="00320630" w:rsidRDefault="00C700A8" w:rsidP="00606666">
      <w:pPr>
        <w:spacing w:line="360" w:lineRule="auto"/>
        <w:jc w:val="both"/>
        <w:rPr>
          <w:rFonts w:cstheme="minorHAnsi"/>
          <w:sz w:val="20"/>
          <w:szCs w:val="20"/>
        </w:rPr>
      </w:pPr>
    </w:p>
    <w:p w:rsidR="00606666" w:rsidRPr="00320630" w:rsidRDefault="00606666" w:rsidP="00606666">
      <w:pPr>
        <w:spacing w:after="120"/>
        <w:jc w:val="both"/>
        <w:rPr>
          <w:rFonts w:cstheme="minorHAnsi"/>
          <w:sz w:val="20"/>
          <w:szCs w:val="20"/>
        </w:rPr>
      </w:pPr>
      <w:r w:rsidRPr="00320630">
        <w:rPr>
          <w:rFonts w:cstheme="minorHAnsi"/>
          <w:sz w:val="20"/>
          <w:szCs w:val="20"/>
        </w:rPr>
        <w:lastRenderedPageBreak/>
        <w:t xml:space="preserve">Istnieje możliwość złożenia do UOKiK pisemnego zawiadomienia o podejrzeniu stosowania praktyk naruszających zbiorowe interesy konsumentów. W 2015 r. do Urzędu wpłynęły </w:t>
      </w:r>
      <w:r w:rsidRPr="00320630">
        <w:rPr>
          <w:rFonts w:cstheme="minorHAnsi"/>
          <w:b/>
          <w:sz w:val="20"/>
          <w:szCs w:val="20"/>
        </w:rPr>
        <w:t>1473</w:t>
      </w:r>
      <w:r w:rsidRPr="00320630">
        <w:rPr>
          <w:rFonts w:cstheme="minorHAnsi"/>
          <w:sz w:val="20"/>
          <w:szCs w:val="20"/>
        </w:rPr>
        <w:t xml:space="preserve"> </w:t>
      </w:r>
      <w:r w:rsidRPr="00320630">
        <w:rPr>
          <w:rFonts w:cstheme="minorHAnsi"/>
          <w:bCs/>
          <w:sz w:val="20"/>
          <w:szCs w:val="20"/>
        </w:rPr>
        <w:t>takie zawiadomienia</w:t>
      </w:r>
      <w:r w:rsidRPr="00320630">
        <w:rPr>
          <w:rFonts w:cstheme="minorHAnsi"/>
          <w:sz w:val="20"/>
          <w:szCs w:val="20"/>
        </w:rPr>
        <w:t xml:space="preserve">, z których </w:t>
      </w:r>
      <w:r w:rsidRPr="00320630">
        <w:rPr>
          <w:rFonts w:cstheme="minorHAnsi"/>
          <w:b/>
          <w:sz w:val="20"/>
          <w:szCs w:val="20"/>
        </w:rPr>
        <w:t xml:space="preserve">138 </w:t>
      </w:r>
      <w:r w:rsidRPr="00320630">
        <w:rPr>
          <w:rFonts w:cstheme="minorHAnsi"/>
          <w:sz w:val="20"/>
          <w:szCs w:val="20"/>
        </w:rPr>
        <w:t xml:space="preserve">przyczyniło się do wszczęcia postępowania wyjaśniającego. Jednocześnie na podstawie zgłoszeń wszczęto </w:t>
      </w:r>
      <w:r w:rsidRPr="00320630">
        <w:rPr>
          <w:rFonts w:cstheme="minorHAnsi"/>
          <w:b/>
          <w:sz w:val="20"/>
          <w:szCs w:val="20"/>
        </w:rPr>
        <w:t>24</w:t>
      </w:r>
      <w:r w:rsidRPr="00320630">
        <w:rPr>
          <w:rFonts w:cstheme="minorHAnsi"/>
          <w:sz w:val="20"/>
          <w:szCs w:val="20"/>
        </w:rPr>
        <w:t xml:space="preserve"> postępowania</w:t>
      </w:r>
      <w:r w:rsidRPr="00320630">
        <w:rPr>
          <w:rFonts w:cstheme="minorHAnsi"/>
          <w:sz w:val="20"/>
          <w:szCs w:val="20"/>
          <w:vertAlign w:val="superscript"/>
        </w:rPr>
        <w:footnoteReference w:id="6"/>
      </w:r>
      <w:r w:rsidRPr="00320630">
        <w:rPr>
          <w:rFonts w:cstheme="minorHAnsi"/>
          <w:sz w:val="20"/>
          <w:szCs w:val="20"/>
        </w:rPr>
        <w:t xml:space="preserve"> w sprawie naruszenia zbiorowych interesów konsumentów. </w:t>
      </w:r>
    </w:p>
    <w:p w:rsidR="00606666" w:rsidRPr="00320630" w:rsidRDefault="00606666" w:rsidP="00606666">
      <w:pPr>
        <w:spacing w:after="120"/>
        <w:jc w:val="both"/>
        <w:rPr>
          <w:rFonts w:cstheme="minorHAnsi"/>
          <w:sz w:val="20"/>
          <w:szCs w:val="20"/>
        </w:rPr>
      </w:pPr>
      <w:r w:rsidRPr="00320630">
        <w:rPr>
          <w:rFonts w:cstheme="minorHAnsi"/>
          <w:sz w:val="20"/>
          <w:szCs w:val="20"/>
        </w:rPr>
        <w:t xml:space="preserve">W grudniu 2015 r. minął </w:t>
      </w:r>
      <w:r w:rsidRPr="00320630">
        <w:rPr>
          <w:rFonts w:cstheme="minorHAnsi"/>
          <w:b/>
          <w:sz w:val="20"/>
          <w:szCs w:val="20"/>
        </w:rPr>
        <w:t>pierwszy rok funkcjonowania ustawy o prawach konsumenta</w:t>
      </w:r>
      <w:r w:rsidRPr="00320630">
        <w:rPr>
          <w:rFonts w:cstheme="minorHAnsi"/>
          <w:sz w:val="20"/>
          <w:szCs w:val="20"/>
        </w:rPr>
        <w:t xml:space="preserve">, która w istotnym stopniu wpływa na warunki sprzedaży poza lokalem przedsiębiorcy i na odległość. UOKiK otrzymywał od konsumentów sygnały świadczące o nieprzestrzeganiu przez niektórych przedsiębiorców nowych regulacji w zakresie obowiązku uzyskania zgody na rozpoczęcie wykonywania usługi przed upływem 14 dni, a także zgody na każdą dodatkową płatność. W 2016 r. UOKiK planuje działania kontrolne mające na celu sprawdzenie, czy przedsiębiorcy dostosowali się do nowych przepisów. </w:t>
      </w:r>
    </w:p>
    <w:p w:rsidR="00606666" w:rsidRPr="00320630" w:rsidRDefault="00606666" w:rsidP="00D41B07">
      <w:pPr>
        <w:spacing w:after="120"/>
        <w:jc w:val="both"/>
        <w:rPr>
          <w:rFonts w:cstheme="minorHAnsi"/>
          <w:sz w:val="20"/>
          <w:szCs w:val="20"/>
        </w:rPr>
      </w:pPr>
      <w:r w:rsidRPr="00320630">
        <w:rPr>
          <w:rFonts w:cstheme="minorHAnsi"/>
          <w:sz w:val="20"/>
          <w:szCs w:val="20"/>
        </w:rPr>
        <w:t>Postępowania w sprawach praktyk naruszających zbiorowe interesy konsumentów mogą zakończyć się nakazem zaniechania kwestionowanych działań (decyzje stwierdzające stosowanie praktyki i nakazujące jej zaniechanie) albo dobrowolnym zobowiązaniem przedsiębiorcy do podjęcia lub zaniechania określonych działań w celu zapobieżenia naruszeniom (decyzje zobowiązujące). Decyzje zobowiązujące pełnią funkcję restytucyjną, mającą na celu przywrócenie właściwego stanu sprzed naruszenia. Wykonanie zobowiązania eliminuje niedozwolone praktyki lub ich skutki, musi być jednak zawsze adekwatne do zarzucanego naruszenia. Jest to rozwiązanie korzystne zarówno dla przedsiębiorców, jak i dla interesu publicznego. Decyzje wydawane przez UOKiK mogą też zawierać element edukacyjno-informacyjny – za sprawą nakazu publikacji decyzji na stronie przedsiębiorcy.</w:t>
      </w:r>
    </w:p>
    <w:p w:rsidR="00606666" w:rsidRPr="00EC6387" w:rsidRDefault="00192C50" w:rsidP="00192C50">
      <w:pPr>
        <w:pStyle w:val="Nagwek3"/>
        <w:rPr>
          <w:rFonts w:eastAsia="Times New Roman"/>
        </w:rPr>
      </w:pPr>
      <w:bookmarkStart w:id="14" w:name="_Toc426984252"/>
      <w:bookmarkStart w:id="15" w:name="_Toc455927431"/>
      <w:bookmarkStart w:id="16" w:name="_Toc455927495"/>
      <w:bookmarkStart w:id="17" w:name="_Toc490807738"/>
      <w:r>
        <w:rPr>
          <w:rFonts w:eastAsia="Times New Roman"/>
        </w:rPr>
        <w:t>1.2</w:t>
      </w:r>
      <w:r w:rsidR="00606666" w:rsidRPr="00EC6387">
        <w:rPr>
          <w:rFonts w:eastAsia="Times New Roman"/>
        </w:rPr>
        <w:t xml:space="preserve">. </w:t>
      </w:r>
      <w:r w:rsidR="00606666" w:rsidRPr="00EC6387">
        <w:t>Wybrane</w:t>
      </w:r>
      <w:r w:rsidR="00606666" w:rsidRPr="00EC6387">
        <w:rPr>
          <w:rFonts w:eastAsia="Times New Roman"/>
        </w:rPr>
        <w:t xml:space="preserve"> postępowania i </w:t>
      </w:r>
      <w:r w:rsidR="00606666" w:rsidRPr="00EC6387">
        <w:t xml:space="preserve">decyzje </w:t>
      </w:r>
      <w:bookmarkEnd w:id="14"/>
      <w:r w:rsidR="00606666" w:rsidRPr="00EC6387">
        <w:rPr>
          <w:rFonts w:eastAsia="Times New Roman"/>
        </w:rPr>
        <w:t>dotyczące zbiorowych interesów konsumentów</w:t>
      </w:r>
      <w:bookmarkEnd w:id="15"/>
      <w:bookmarkEnd w:id="16"/>
      <w:bookmarkEnd w:id="17"/>
    </w:p>
    <w:p w:rsidR="00606666" w:rsidRPr="00320630" w:rsidRDefault="00606666" w:rsidP="00320630">
      <w:pPr>
        <w:spacing w:after="120" w:line="276" w:lineRule="auto"/>
        <w:jc w:val="both"/>
        <w:rPr>
          <w:rFonts w:cstheme="minorHAnsi"/>
          <w:sz w:val="20"/>
          <w:szCs w:val="20"/>
        </w:rPr>
      </w:pPr>
      <w:r w:rsidRPr="00320630">
        <w:rPr>
          <w:rFonts w:cstheme="minorHAnsi"/>
          <w:sz w:val="20"/>
          <w:szCs w:val="20"/>
        </w:rPr>
        <w:t xml:space="preserve">Monitoring rynku usług i produktów, a także wnioski z prowadzonych postępowań pozwalają na ustalenie priorytetowych obszarów działania UOKiK. W 2015 r. w centrum uwagi Urzędu znalazły się branże finansowa, energetyczna i telekomunikacyjna. UOKiK przyglądał się również transakcjom e-commerce, umożliwiającym m.in. zakup towaru lub usług za pośrednictwem internetu. </w:t>
      </w:r>
    </w:p>
    <w:p w:rsidR="00606666" w:rsidRPr="001F58A6" w:rsidRDefault="00192C50" w:rsidP="001F58A6">
      <w:pPr>
        <w:pStyle w:val="Nagwek4"/>
      </w:pPr>
      <w:bookmarkStart w:id="18" w:name="_Toc455927496"/>
      <w:bookmarkStart w:id="19" w:name="_Toc490807739"/>
      <w:r w:rsidRPr="001F58A6">
        <w:rPr>
          <w:rStyle w:val="Nagwek3Znak"/>
          <w:color w:val="2E74B5" w:themeColor="accent1" w:themeShade="BF"/>
          <w:sz w:val="22"/>
          <w:szCs w:val="22"/>
        </w:rPr>
        <w:t>1</w:t>
      </w:r>
      <w:r w:rsidR="00EC6387" w:rsidRPr="001F58A6">
        <w:rPr>
          <w:rStyle w:val="Nagwek3Znak"/>
          <w:color w:val="2E74B5" w:themeColor="accent1" w:themeShade="BF"/>
          <w:sz w:val="22"/>
          <w:szCs w:val="22"/>
        </w:rPr>
        <w:t>.</w:t>
      </w:r>
      <w:r w:rsidRPr="001F58A6">
        <w:rPr>
          <w:rStyle w:val="Nagwek3Znak"/>
          <w:color w:val="2E74B5" w:themeColor="accent1" w:themeShade="BF"/>
          <w:sz w:val="22"/>
          <w:szCs w:val="22"/>
        </w:rPr>
        <w:t>2.</w:t>
      </w:r>
      <w:r w:rsidR="00EC6387" w:rsidRPr="001F58A6">
        <w:rPr>
          <w:rStyle w:val="Nagwek3Znak"/>
          <w:color w:val="2E74B5" w:themeColor="accent1" w:themeShade="BF"/>
          <w:sz w:val="22"/>
          <w:szCs w:val="22"/>
        </w:rPr>
        <w:t xml:space="preserve">1 </w:t>
      </w:r>
      <w:r w:rsidR="00606666" w:rsidRPr="001F58A6">
        <w:rPr>
          <w:rStyle w:val="Nagwek3Znak"/>
          <w:color w:val="2E74B5" w:themeColor="accent1" w:themeShade="BF"/>
          <w:sz w:val="22"/>
          <w:szCs w:val="22"/>
        </w:rPr>
        <w:t>Rynek finansowy</w:t>
      </w:r>
      <w:bookmarkEnd w:id="18"/>
      <w:bookmarkEnd w:id="19"/>
      <w:r w:rsidR="00606666" w:rsidRPr="001F58A6">
        <w:t xml:space="preserve"> </w:t>
      </w:r>
    </w:p>
    <w:p w:rsidR="00606666" w:rsidRPr="00320630" w:rsidRDefault="00606666" w:rsidP="00320630">
      <w:pPr>
        <w:spacing w:after="120" w:line="276" w:lineRule="auto"/>
        <w:jc w:val="both"/>
        <w:rPr>
          <w:rFonts w:cstheme="minorHAnsi"/>
          <w:bCs/>
          <w:sz w:val="20"/>
          <w:szCs w:val="20"/>
        </w:rPr>
      </w:pPr>
      <w:r w:rsidRPr="00320630">
        <w:rPr>
          <w:rFonts w:cstheme="minorHAnsi"/>
          <w:sz w:val="20"/>
          <w:szCs w:val="20"/>
        </w:rPr>
        <w:t>Rynek usług finansowych jest jednym z głównych obszarów działania UOKiK – ze względu na wysoki poziom skomplikowania oferowanych produktów, co niesie za sobą zwiększone ryzyko zawarcia przez konsumenta niekorzystnej dla niego umowy, a w konsekwencji poniesienia strat materialnych. Przeciętny konsument nie ma wiedzy wystarczającej do prawidłowej oceny złożonych produktów, takich jak ubezpieczenia na życie z ubezpieczeniowym funduszem kapitałowym czy kredyty hipoteczne denominowane w walutach obcych. W rezultacie może dochodzić do oferowania produktów niedostosowanych do możliwości lub potrzeb klienta (</w:t>
      </w:r>
      <w:r w:rsidRPr="00320630">
        <w:rPr>
          <w:rFonts w:cstheme="minorHAnsi"/>
          <w:i/>
          <w:sz w:val="20"/>
          <w:szCs w:val="20"/>
        </w:rPr>
        <w:t>misselling</w:t>
      </w:r>
      <w:r w:rsidRPr="00320630">
        <w:rPr>
          <w:rFonts w:cstheme="minorHAnsi"/>
          <w:sz w:val="20"/>
          <w:szCs w:val="20"/>
        </w:rPr>
        <w:t xml:space="preserve">). </w:t>
      </w:r>
      <w:r w:rsidRPr="00320630">
        <w:rPr>
          <w:rFonts w:eastAsia="Arial Unicode MS" w:cstheme="minorHAnsi"/>
          <w:sz w:val="20"/>
          <w:szCs w:val="20"/>
        </w:rPr>
        <w:t>W związku z tym szczególnie istotne są kontrole sposobów oferowania i sprzedaży produktów inwestycyjnych, kredytów i pożyczek.</w:t>
      </w:r>
      <w:r w:rsidRPr="00320630">
        <w:rPr>
          <w:rFonts w:cstheme="minorHAnsi"/>
          <w:bCs/>
          <w:sz w:val="20"/>
          <w:szCs w:val="20"/>
        </w:rPr>
        <w:t xml:space="preserve"> Kluczową kwestią jest sprawdzanie, czy przedsiębiorcy wywiązują się z obowiązku jasnego, rzetelnego informowania o czynionych inwestycjach, potencjalnym ryzyku, przeznaczeniu powierzonych środków i sposobie, w jaki zostaną one zabezpieczone. Produkty są także analizowane przez zespół ekonomistów UOKiK, w szczególności pod kątem prawidłowości kalkulacji rzeczywistej rocznej stopy oprocentowania (RRSO) – wskaźnika umożliwiającego porównywanie całkowitego kosztu kredytu konsumenckiego. </w:t>
      </w:r>
    </w:p>
    <w:p w:rsidR="00606666" w:rsidRPr="00320630" w:rsidRDefault="00606666" w:rsidP="00320630">
      <w:pPr>
        <w:spacing w:line="276" w:lineRule="auto"/>
        <w:rPr>
          <w:rFonts w:cstheme="minorHAnsi"/>
          <w:b/>
          <w:sz w:val="20"/>
          <w:szCs w:val="20"/>
        </w:rPr>
      </w:pPr>
      <w:r w:rsidRPr="00320630">
        <w:rPr>
          <w:rFonts w:cstheme="minorHAnsi"/>
          <w:b/>
          <w:sz w:val="20"/>
          <w:szCs w:val="20"/>
        </w:rPr>
        <w:t xml:space="preserve">Ubezpieczenia – przysporzenie konsumenckie na przykładzie decyzji dotyczących polis z ufk </w:t>
      </w:r>
    </w:p>
    <w:p w:rsidR="00606666" w:rsidRPr="00320630" w:rsidRDefault="00606666" w:rsidP="00320630">
      <w:pPr>
        <w:spacing w:before="100" w:after="120" w:line="276" w:lineRule="auto"/>
        <w:jc w:val="both"/>
        <w:rPr>
          <w:rFonts w:eastAsia="Times New Roman" w:cstheme="minorHAnsi"/>
          <w:sz w:val="20"/>
          <w:szCs w:val="20"/>
          <w:lang w:eastAsia="pl-PL"/>
        </w:rPr>
      </w:pPr>
      <w:r w:rsidRPr="00320630">
        <w:rPr>
          <w:rFonts w:eastAsia="Times New Roman" w:cstheme="minorHAnsi"/>
          <w:sz w:val="20"/>
          <w:szCs w:val="20"/>
          <w:lang w:eastAsia="pl-PL"/>
        </w:rPr>
        <w:t>W 2015 r. UOKiK kontynuował działania z roku poprzedniego odnoszące się do polis z ubezpieczeniowym funduszem kapitałowym. Sposób ich oferowania klientom może stanowić przykład nieuczciwej sprzedaży (</w:t>
      </w:r>
      <w:r w:rsidRPr="00320630">
        <w:rPr>
          <w:rFonts w:eastAsia="Times New Roman" w:cstheme="minorHAnsi"/>
          <w:i/>
          <w:sz w:val="20"/>
          <w:szCs w:val="20"/>
          <w:lang w:eastAsia="pl-PL"/>
        </w:rPr>
        <w:t>misselling</w:t>
      </w:r>
      <w:r w:rsidRPr="00320630">
        <w:rPr>
          <w:rFonts w:eastAsia="Times New Roman" w:cstheme="minorHAnsi"/>
          <w:sz w:val="20"/>
          <w:szCs w:val="20"/>
          <w:lang w:eastAsia="pl-PL"/>
        </w:rPr>
        <w:t xml:space="preserve">), gdyż często przedstawiano je jako bezpieczny i atrakcyjny produkt inwestycyjny osobom, które chciały założyć zwykłą lokatę. Konsumenci nie mieli świadomości, że mogą utracić znaczną część środków, jeżeli będą chcieli się wycofać (opłaty likwidacyjne). </w:t>
      </w:r>
    </w:p>
    <w:p w:rsidR="00606666" w:rsidRPr="00320630" w:rsidRDefault="00606666" w:rsidP="00320630">
      <w:pPr>
        <w:spacing w:before="100" w:after="120" w:line="276" w:lineRule="auto"/>
        <w:jc w:val="both"/>
        <w:rPr>
          <w:rFonts w:cstheme="minorHAnsi"/>
          <w:sz w:val="20"/>
          <w:szCs w:val="20"/>
          <w:u w:val="single"/>
          <w:shd w:val="clear" w:color="auto" w:fill="FFFFFF"/>
        </w:rPr>
      </w:pPr>
      <w:r w:rsidRPr="00320630">
        <w:rPr>
          <w:rFonts w:eastAsia="Times New Roman" w:cstheme="minorHAnsi"/>
          <w:sz w:val="20"/>
          <w:szCs w:val="20"/>
          <w:shd w:val="clear" w:color="auto" w:fill="FFFFFF"/>
          <w:lang w:eastAsia="pl-PL"/>
        </w:rPr>
        <w:t xml:space="preserve">UOKiK zarzucił 17 towarzystwom ubezpieczeniowym oferującym polisy z ufk, że opłaty likwidacyjne zawarte we wzorcach umownych przerzucają na konsumentów koszty początkowe zawarcia ubezpieczenia – głównie </w:t>
      </w:r>
      <w:r w:rsidRPr="00320630">
        <w:rPr>
          <w:rFonts w:eastAsia="Times New Roman" w:cstheme="minorHAnsi"/>
          <w:sz w:val="20"/>
          <w:szCs w:val="20"/>
          <w:shd w:val="clear" w:color="auto" w:fill="FFFFFF"/>
          <w:lang w:eastAsia="pl-PL"/>
        </w:rPr>
        <w:lastRenderedPageBreak/>
        <w:t>wynagrodzenie pośredników ubezpieczeniowych. W ocenie Urzędu powinny one obciążać w głównej mierze ubezpieczycieli, a ich poniesienie stanowi zwyczajne ryzyko prowadzenia działalności gospodarczej. W roku 2015 UOKiK wydał decyzje zobowiązujące wobec 16 ubezpieczycieli. Były to:</w:t>
      </w:r>
      <w:r w:rsidRPr="00320630">
        <w:rPr>
          <w:rFonts w:eastAsia="Times New Roman" w:cstheme="minorHAnsi"/>
          <w:sz w:val="20"/>
          <w:szCs w:val="20"/>
          <w:shd w:val="clear" w:color="auto" w:fill="FFFFFF"/>
        </w:rPr>
        <w:t xml:space="preserve"> Allianz</w:t>
      </w:r>
      <w:r w:rsidRPr="00320630">
        <w:rPr>
          <w:rFonts w:eastAsia="Times New Roman" w:cstheme="minorHAnsi"/>
          <w:sz w:val="20"/>
          <w:szCs w:val="20"/>
          <w:shd w:val="clear" w:color="auto" w:fill="FFFFFF"/>
          <w:vertAlign w:val="superscript"/>
        </w:rPr>
        <w:footnoteReference w:id="7"/>
      </w:r>
      <w:r w:rsidRPr="00320630">
        <w:rPr>
          <w:rFonts w:eastAsia="Times New Roman" w:cstheme="minorHAnsi"/>
          <w:sz w:val="20"/>
          <w:szCs w:val="20"/>
          <w:shd w:val="clear" w:color="auto" w:fill="FFFFFF"/>
        </w:rPr>
        <w:t>, Aviva</w:t>
      </w:r>
      <w:r w:rsidRPr="00320630">
        <w:rPr>
          <w:rFonts w:eastAsia="Times New Roman" w:cstheme="minorHAnsi"/>
          <w:sz w:val="20"/>
          <w:szCs w:val="20"/>
          <w:shd w:val="clear" w:color="auto" w:fill="FFFFFF"/>
          <w:vertAlign w:val="superscript"/>
        </w:rPr>
        <w:footnoteReference w:id="8"/>
      </w:r>
      <w:r w:rsidRPr="00320630">
        <w:rPr>
          <w:rFonts w:eastAsia="Times New Roman" w:cstheme="minorHAnsi"/>
          <w:sz w:val="20"/>
          <w:szCs w:val="20"/>
          <w:shd w:val="clear" w:color="auto" w:fill="FFFFFF"/>
        </w:rPr>
        <w:t>, Nationale Nederlanden</w:t>
      </w:r>
      <w:r w:rsidRPr="00320630">
        <w:rPr>
          <w:rFonts w:eastAsia="Times New Roman" w:cstheme="minorHAnsi"/>
          <w:sz w:val="20"/>
          <w:szCs w:val="20"/>
          <w:shd w:val="clear" w:color="auto" w:fill="FFFFFF"/>
          <w:vertAlign w:val="superscript"/>
        </w:rPr>
        <w:footnoteReference w:id="9"/>
      </w:r>
      <w:r w:rsidRPr="00320630">
        <w:rPr>
          <w:rFonts w:eastAsia="Times New Roman" w:cstheme="minorHAnsi"/>
          <w:sz w:val="20"/>
          <w:szCs w:val="20"/>
          <w:shd w:val="clear" w:color="auto" w:fill="FFFFFF"/>
        </w:rPr>
        <w:t>, MetLife</w:t>
      </w:r>
      <w:r w:rsidRPr="00320630">
        <w:rPr>
          <w:rFonts w:eastAsia="Times New Roman" w:cstheme="minorHAnsi"/>
          <w:sz w:val="20"/>
          <w:szCs w:val="20"/>
          <w:shd w:val="clear" w:color="auto" w:fill="FFFFFF"/>
          <w:vertAlign w:val="superscript"/>
        </w:rPr>
        <w:footnoteReference w:id="10"/>
      </w:r>
      <w:r w:rsidRPr="00320630">
        <w:rPr>
          <w:rFonts w:eastAsia="Times New Roman" w:cstheme="minorHAnsi"/>
          <w:sz w:val="20"/>
          <w:szCs w:val="20"/>
          <w:shd w:val="clear" w:color="auto" w:fill="FFFFFF"/>
        </w:rPr>
        <w:t>, PKO Życie (d. Nordea Życie)</w:t>
      </w:r>
      <w:r w:rsidRPr="00320630">
        <w:rPr>
          <w:rFonts w:eastAsia="Times New Roman" w:cstheme="minorHAnsi"/>
          <w:sz w:val="20"/>
          <w:szCs w:val="20"/>
          <w:shd w:val="clear" w:color="auto" w:fill="FFFFFF"/>
          <w:vertAlign w:val="superscript"/>
        </w:rPr>
        <w:footnoteReference w:id="11"/>
      </w:r>
      <w:r w:rsidRPr="00320630">
        <w:rPr>
          <w:rFonts w:eastAsia="Times New Roman" w:cstheme="minorHAnsi"/>
          <w:sz w:val="20"/>
          <w:szCs w:val="20"/>
          <w:shd w:val="clear" w:color="auto" w:fill="FFFFFF"/>
        </w:rPr>
        <w:t>, PZU Życie</w:t>
      </w:r>
      <w:r w:rsidRPr="00320630">
        <w:rPr>
          <w:rFonts w:eastAsia="Times New Roman" w:cstheme="minorHAnsi"/>
          <w:sz w:val="20"/>
          <w:szCs w:val="20"/>
          <w:shd w:val="clear" w:color="auto" w:fill="FFFFFF"/>
          <w:vertAlign w:val="superscript"/>
        </w:rPr>
        <w:footnoteReference w:id="12"/>
      </w:r>
      <w:r w:rsidRPr="00320630">
        <w:rPr>
          <w:rFonts w:eastAsia="Times New Roman" w:cstheme="minorHAnsi"/>
          <w:sz w:val="20"/>
          <w:szCs w:val="20"/>
          <w:shd w:val="clear" w:color="auto" w:fill="FFFFFF"/>
        </w:rPr>
        <w:t>, Axa</w:t>
      </w:r>
      <w:r w:rsidRPr="00320630">
        <w:rPr>
          <w:rFonts w:eastAsia="Times New Roman" w:cstheme="minorHAnsi"/>
          <w:sz w:val="20"/>
          <w:szCs w:val="20"/>
          <w:shd w:val="clear" w:color="auto" w:fill="FFFFFF"/>
          <w:vertAlign w:val="superscript"/>
        </w:rPr>
        <w:footnoteReference w:id="13"/>
      </w:r>
      <w:r w:rsidRPr="00320630">
        <w:rPr>
          <w:rFonts w:eastAsia="Times New Roman" w:cstheme="minorHAnsi"/>
          <w:sz w:val="20"/>
          <w:szCs w:val="20"/>
          <w:shd w:val="clear" w:color="auto" w:fill="FFFFFF"/>
        </w:rPr>
        <w:t>, Europa</w:t>
      </w:r>
      <w:r w:rsidRPr="00320630">
        <w:rPr>
          <w:rFonts w:eastAsia="Times New Roman" w:cstheme="minorHAnsi"/>
          <w:sz w:val="20"/>
          <w:szCs w:val="20"/>
          <w:shd w:val="clear" w:color="auto" w:fill="FFFFFF"/>
          <w:vertAlign w:val="superscript"/>
        </w:rPr>
        <w:footnoteReference w:id="14"/>
      </w:r>
      <w:r w:rsidRPr="00320630">
        <w:rPr>
          <w:rFonts w:eastAsia="Times New Roman" w:cstheme="minorHAnsi"/>
          <w:sz w:val="20"/>
          <w:szCs w:val="20"/>
          <w:shd w:val="clear" w:color="auto" w:fill="FFFFFF"/>
        </w:rPr>
        <w:t>, Pramerica Życie</w:t>
      </w:r>
      <w:r w:rsidRPr="00320630">
        <w:rPr>
          <w:rFonts w:eastAsia="Times New Roman" w:cstheme="minorHAnsi"/>
          <w:sz w:val="20"/>
          <w:szCs w:val="20"/>
          <w:shd w:val="clear" w:color="auto" w:fill="FFFFFF"/>
          <w:vertAlign w:val="superscript"/>
        </w:rPr>
        <w:footnoteReference w:id="15"/>
      </w:r>
      <w:r w:rsidRPr="00320630">
        <w:rPr>
          <w:rFonts w:eastAsia="Times New Roman" w:cstheme="minorHAnsi"/>
          <w:sz w:val="20"/>
          <w:szCs w:val="20"/>
          <w:shd w:val="clear" w:color="auto" w:fill="FFFFFF"/>
        </w:rPr>
        <w:t>, Sopockie TUnŻ Ergo Hestia</w:t>
      </w:r>
      <w:r w:rsidRPr="00320630">
        <w:rPr>
          <w:rFonts w:eastAsia="Times New Roman" w:cstheme="minorHAnsi"/>
          <w:sz w:val="20"/>
          <w:szCs w:val="20"/>
          <w:shd w:val="clear" w:color="auto" w:fill="FFFFFF"/>
          <w:vertAlign w:val="superscript"/>
        </w:rPr>
        <w:footnoteReference w:id="16"/>
      </w:r>
      <w:r w:rsidRPr="00320630">
        <w:rPr>
          <w:rFonts w:eastAsia="Times New Roman" w:cstheme="minorHAnsi"/>
          <w:sz w:val="20"/>
          <w:szCs w:val="20"/>
          <w:shd w:val="clear" w:color="auto" w:fill="FFFFFF"/>
        </w:rPr>
        <w:t>, UNIQA TUnŻ</w:t>
      </w:r>
      <w:r w:rsidRPr="00320630">
        <w:rPr>
          <w:rFonts w:eastAsia="Times New Roman" w:cstheme="minorHAnsi"/>
          <w:sz w:val="20"/>
          <w:szCs w:val="20"/>
          <w:shd w:val="clear" w:color="auto" w:fill="FFFFFF"/>
          <w:vertAlign w:val="superscript"/>
        </w:rPr>
        <w:footnoteReference w:id="17"/>
      </w:r>
      <w:r w:rsidRPr="00320630">
        <w:rPr>
          <w:rFonts w:eastAsia="Times New Roman" w:cstheme="minorHAnsi"/>
          <w:sz w:val="20"/>
          <w:szCs w:val="20"/>
          <w:shd w:val="clear" w:color="auto" w:fill="FFFFFF"/>
        </w:rPr>
        <w:t>, TUnŻ WARTA</w:t>
      </w:r>
      <w:r w:rsidRPr="00320630">
        <w:rPr>
          <w:rFonts w:eastAsia="Times New Roman" w:cstheme="minorHAnsi"/>
          <w:sz w:val="20"/>
          <w:szCs w:val="20"/>
          <w:shd w:val="clear" w:color="auto" w:fill="FFFFFF"/>
          <w:vertAlign w:val="superscript"/>
        </w:rPr>
        <w:footnoteReference w:id="18"/>
      </w:r>
      <w:r w:rsidRPr="00320630">
        <w:rPr>
          <w:rFonts w:eastAsia="Times New Roman" w:cstheme="minorHAnsi"/>
          <w:sz w:val="20"/>
          <w:szCs w:val="20"/>
          <w:shd w:val="clear" w:color="auto" w:fill="FFFFFF"/>
        </w:rPr>
        <w:t>,</w:t>
      </w:r>
      <w:r w:rsidRPr="00320630">
        <w:rPr>
          <w:rFonts w:eastAsia="Times New Roman" w:cstheme="minorHAnsi"/>
          <w:sz w:val="20"/>
          <w:szCs w:val="20"/>
        </w:rPr>
        <w:t xml:space="preserve"> </w:t>
      </w:r>
      <w:r w:rsidRPr="00320630">
        <w:rPr>
          <w:rFonts w:eastAsia="Times New Roman" w:cstheme="minorHAnsi"/>
          <w:sz w:val="20"/>
          <w:szCs w:val="20"/>
          <w:shd w:val="clear" w:color="auto" w:fill="FFFFFF"/>
        </w:rPr>
        <w:t>Aegon</w:t>
      </w:r>
      <w:r w:rsidRPr="00320630">
        <w:rPr>
          <w:rFonts w:eastAsia="Times New Roman" w:cstheme="minorHAnsi"/>
          <w:sz w:val="20"/>
          <w:szCs w:val="20"/>
          <w:shd w:val="clear" w:color="auto" w:fill="FFFFFF"/>
          <w:vertAlign w:val="superscript"/>
        </w:rPr>
        <w:footnoteReference w:id="19"/>
      </w:r>
      <w:r w:rsidRPr="00320630">
        <w:rPr>
          <w:rFonts w:eastAsia="Times New Roman" w:cstheme="minorHAnsi"/>
          <w:sz w:val="20"/>
          <w:szCs w:val="20"/>
          <w:shd w:val="clear" w:color="auto" w:fill="FFFFFF"/>
        </w:rPr>
        <w:t>, Compensa</w:t>
      </w:r>
      <w:r w:rsidRPr="00320630">
        <w:rPr>
          <w:rFonts w:eastAsia="Times New Roman" w:cstheme="minorHAnsi"/>
          <w:sz w:val="20"/>
          <w:szCs w:val="20"/>
          <w:shd w:val="clear" w:color="auto" w:fill="FFFFFF"/>
          <w:vertAlign w:val="superscript"/>
        </w:rPr>
        <w:footnoteReference w:id="20"/>
      </w:r>
      <w:r w:rsidRPr="00320630">
        <w:rPr>
          <w:rFonts w:eastAsia="Times New Roman" w:cstheme="minorHAnsi"/>
          <w:sz w:val="20"/>
          <w:szCs w:val="20"/>
          <w:shd w:val="clear" w:color="auto" w:fill="FFFFFF"/>
        </w:rPr>
        <w:t>, Generali</w:t>
      </w:r>
      <w:r w:rsidRPr="00320630">
        <w:rPr>
          <w:rFonts w:eastAsia="Times New Roman" w:cstheme="minorHAnsi"/>
          <w:sz w:val="20"/>
          <w:szCs w:val="20"/>
          <w:shd w:val="clear" w:color="auto" w:fill="FFFFFF"/>
          <w:vertAlign w:val="superscript"/>
        </w:rPr>
        <w:footnoteReference w:id="21"/>
      </w:r>
      <w:r w:rsidRPr="00320630">
        <w:rPr>
          <w:rFonts w:eastAsia="Times New Roman" w:cstheme="minorHAnsi"/>
          <w:sz w:val="20"/>
          <w:szCs w:val="20"/>
          <w:shd w:val="clear" w:color="auto" w:fill="FFFFFF"/>
        </w:rPr>
        <w:t xml:space="preserve"> i Open Life</w:t>
      </w:r>
      <w:r w:rsidRPr="00320630">
        <w:rPr>
          <w:rFonts w:eastAsia="Times New Roman" w:cstheme="minorHAnsi"/>
          <w:sz w:val="20"/>
          <w:szCs w:val="20"/>
          <w:shd w:val="clear" w:color="auto" w:fill="FFFFFF"/>
          <w:vertAlign w:val="superscript"/>
        </w:rPr>
        <w:footnoteReference w:id="22"/>
      </w:r>
      <w:r w:rsidRPr="00320630">
        <w:rPr>
          <w:rFonts w:eastAsia="Times New Roman" w:cstheme="minorHAnsi"/>
          <w:sz w:val="20"/>
          <w:szCs w:val="20"/>
          <w:shd w:val="clear" w:color="auto" w:fill="FFFFFF"/>
        </w:rPr>
        <w:t>.</w:t>
      </w:r>
      <w:r w:rsidRPr="00320630">
        <w:rPr>
          <w:rFonts w:eastAsia="Times New Roman" w:cstheme="minorHAnsi"/>
          <w:b/>
          <w:sz w:val="20"/>
          <w:szCs w:val="20"/>
          <w:shd w:val="clear" w:color="auto" w:fill="FFFFFF"/>
        </w:rPr>
        <w:t xml:space="preserve"> </w:t>
      </w:r>
      <w:r w:rsidRPr="00320630">
        <w:rPr>
          <w:rFonts w:eastAsia="Times New Roman" w:cstheme="minorHAnsi"/>
          <w:sz w:val="20"/>
          <w:szCs w:val="20"/>
          <w:shd w:val="clear" w:color="auto" w:fill="FFFFFF"/>
        </w:rPr>
        <w:t>Ubezpieczyciele</w:t>
      </w:r>
      <w:r w:rsidRPr="00320630">
        <w:rPr>
          <w:rFonts w:eastAsia="Times New Roman" w:cstheme="minorHAnsi"/>
          <w:b/>
          <w:sz w:val="20"/>
          <w:szCs w:val="20"/>
          <w:shd w:val="clear" w:color="auto" w:fill="FFFFFF"/>
        </w:rPr>
        <w:t xml:space="preserve"> </w:t>
      </w:r>
      <w:r w:rsidRPr="00320630">
        <w:rPr>
          <w:rFonts w:eastAsia="Times New Roman" w:cstheme="minorHAnsi"/>
          <w:sz w:val="20"/>
          <w:szCs w:val="20"/>
          <w:shd w:val="clear" w:color="auto" w:fill="FFFFFF"/>
          <w:lang w:eastAsia="pl-PL"/>
        </w:rPr>
        <w:t>dobrowolnie zobowiązali się do</w:t>
      </w:r>
      <w:r w:rsidRPr="00320630">
        <w:rPr>
          <w:rFonts w:eastAsia="Times New Roman" w:cstheme="minorHAnsi"/>
          <w:b/>
          <w:sz w:val="20"/>
          <w:szCs w:val="20"/>
          <w:shd w:val="clear" w:color="auto" w:fill="FFFFFF"/>
          <w:lang w:eastAsia="pl-PL"/>
        </w:rPr>
        <w:t xml:space="preserve"> </w:t>
      </w:r>
      <w:r w:rsidRPr="00320630">
        <w:rPr>
          <w:rFonts w:eastAsia="Times New Roman" w:cstheme="minorHAnsi"/>
          <w:bCs/>
          <w:sz w:val="20"/>
          <w:szCs w:val="20"/>
          <w:shd w:val="clear" w:color="auto" w:fill="FFFFFF"/>
          <w:lang w:eastAsia="pl-PL"/>
        </w:rPr>
        <w:t xml:space="preserve">znaczącego obniżenia opłat likwidacyjnych w istniejących umowach i wyeliminowania tych opłat z nowych wzorców umownych. </w:t>
      </w:r>
      <w:r w:rsidRPr="00320630">
        <w:rPr>
          <w:rFonts w:eastAsia="Times New Roman" w:cstheme="minorHAnsi"/>
          <w:sz w:val="20"/>
          <w:szCs w:val="20"/>
          <w:lang w:eastAsia="pl-PL"/>
        </w:rPr>
        <w:t>UOKiK będzie monitorował wykonanie decyzji na podstawie sprawozdań złożonych przez ubezpieczycieli.</w:t>
      </w:r>
    </w:p>
    <w:p w:rsidR="00606666" w:rsidRPr="00320630" w:rsidRDefault="00606666" w:rsidP="00320630">
      <w:pPr>
        <w:spacing w:before="100" w:after="120" w:line="276" w:lineRule="auto"/>
        <w:jc w:val="both"/>
        <w:rPr>
          <w:rFonts w:eastAsia="Times New Roman" w:cstheme="minorHAnsi"/>
          <w:bCs/>
          <w:sz w:val="20"/>
          <w:szCs w:val="20"/>
          <w:shd w:val="clear" w:color="auto" w:fill="FFFFFF"/>
          <w:lang w:eastAsia="pl-PL"/>
        </w:rPr>
      </w:pPr>
      <w:r w:rsidRPr="00320630">
        <w:rPr>
          <w:rFonts w:eastAsia="Times New Roman" w:cstheme="minorHAnsi"/>
          <w:bCs/>
          <w:sz w:val="20"/>
          <w:szCs w:val="20"/>
          <w:shd w:val="clear" w:color="auto" w:fill="FFFFFF"/>
          <w:lang w:eastAsia="pl-PL"/>
        </w:rPr>
        <w:t xml:space="preserve">Postępowania dotyczące ufk stanowią przykład realizacji idei sieci na rzecz ochrony </w:t>
      </w:r>
      <w:r w:rsidRPr="00320630">
        <w:rPr>
          <w:rFonts w:cstheme="minorHAnsi"/>
          <w:sz w:val="20"/>
          <w:szCs w:val="20"/>
        </w:rPr>
        <w:t>konsumentów</w:t>
      </w:r>
      <w:r w:rsidRPr="00320630">
        <w:rPr>
          <w:rFonts w:eastAsia="Times New Roman" w:cstheme="minorHAnsi"/>
          <w:bCs/>
          <w:sz w:val="20"/>
          <w:szCs w:val="20"/>
          <w:shd w:val="clear" w:color="auto" w:fill="FFFFFF"/>
          <w:lang w:eastAsia="pl-PL"/>
        </w:rPr>
        <w:t xml:space="preserve">. </w:t>
      </w:r>
      <w:r w:rsidRPr="00320630">
        <w:rPr>
          <w:rFonts w:cstheme="minorHAnsi"/>
          <w:sz w:val="20"/>
          <w:szCs w:val="20"/>
        </w:rPr>
        <w:t xml:space="preserve">Przygotowując decyzje, UOKiK ściśle współpracował z KNF, Rzecznikiem Ubezpieczonych (obecnie Rzecznik Finansowy) i przedsiębiorcami. </w:t>
      </w:r>
    </w:p>
    <w:p w:rsidR="00EC6387" w:rsidRPr="00320630" w:rsidRDefault="00606666" w:rsidP="00320630">
      <w:pPr>
        <w:shd w:val="clear" w:color="auto" w:fill="FFFFFF"/>
        <w:spacing w:after="120" w:line="276" w:lineRule="auto"/>
        <w:jc w:val="both"/>
        <w:rPr>
          <w:rFonts w:eastAsia="Times New Roman" w:cstheme="minorHAnsi"/>
          <w:sz w:val="20"/>
          <w:szCs w:val="20"/>
          <w:lang w:eastAsia="pl-PL"/>
        </w:rPr>
      </w:pPr>
      <w:r w:rsidRPr="00320630">
        <w:rPr>
          <w:rFonts w:eastAsia="Times New Roman" w:cstheme="minorHAnsi"/>
          <w:sz w:val="20"/>
          <w:szCs w:val="20"/>
          <w:lang w:eastAsia="pl-PL"/>
        </w:rPr>
        <w:t>Korzyści dla konsumentów (przysporzenie konsumenckie) związane z decyzjami dotyczącymi produktów z ufk wynikają z obniżenia poziomu opłat ponoszonych w związku z wcześniejszym rozwiązaniem umowy. Gdyby wszystkie umowy objęte decyzjami zobowiązaniowymi</w:t>
      </w:r>
      <w:r w:rsidRPr="00320630">
        <w:rPr>
          <w:rStyle w:val="Odwoanieprzypisudolnego"/>
          <w:rFonts w:eastAsia="Times New Roman" w:cstheme="minorHAnsi"/>
          <w:sz w:val="20"/>
          <w:szCs w:val="20"/>
          <w:lang w:eastAsia="pl-PL"/>
        </w:rPr>
        <w:footnoteReference w:id="23"/>
      </w:r>
      <w:r w:rsidRPr="00320630">
        <w:rPr>
          <w:rFonts w:eastAsia="Times New Roman" w:cstheme="minorHAnsi"/>
          <w:sz w:val="20"/>
          <w:szCs w:val="20"/>
          <w:lang w:eastAsia="pl-PL"/>
        </w:rPr>
        <w:t xml:space="preserve"> zostały rozwiązane obecnie, konsumenci zapłaciliby ok. 1,16 mld zł (tj. 60 proc.) mniej niż przy uwzględnieniu uprzednio obowiązujących stawek. W przeliczeniu na klienta średnia opłata likwidacyjna spadła z poziomu 3128 do 1229 zł. W praktyce większość klientów nie wypowiada umów, w związku z czym bezpośrednie korzyści z obniżki opłat odczują tylko osoby z umów rezygnujące. Przy założeniu, że odsetek odstąpień od umów utrzyma się na poziomie z lat 2010–2014, można oczekiwać, iż bezpośrednie korzyści dla konsumentów z tytułu wejścia w życie zobowiązań ubezpieczycieli wyniosą ok. 48,3 mln zł w pierwszym roku obowiązywania decyzji. Jeśli odsetek odstąpień wzrośnie, korzyści te proporcjonalnie się zwiększą.</w:t>
      </w:r>
    </w:p>
    <w:p w:rsidR="00C700A8" w:rsidRPr="00320630" w:rsidRDefault="00C700A8" w:rsidP="001F58A6">
      <w:pPr>
        <w:pStyle w:val="Nagwek1"/>
        <w:numPr>
          <w:ilvl w:val="0"/>
          <w:numId w:val="0"/>
        </w:numPr>
        <w:ind w:left="360" w:hanging="360"/>
      </w:pPr>
      <w:bookmarkStart w:id="20" w:name="_Toc455927441"/>
      <w:bookmarkStart w:id="21" w:name="_Toc455927516"/>
      <w:bookmarkStart w:id="22" w:name="_Toc490807740"/>
      <w:r w:rsidRPr="00320630">
        <w:t>Rozdział 2. Ochrona konkurencji</w:t>
      </w:r>
      <w:bookmarkEnd w:id="20"/>
      <w:bookmarkEnd w:id="21"/>
      <w:bookmarkEnd w:id="22"/>
    </w:p>
    <w:p w:rsidR="00C700A8" w:rsidRPr="00320630" w:rsidRDefault="00C700A8" w:rsidP="00320630">
      <w:pPr>
        <w:spacing w:after="120" w:line="276" w:lineRule="auto"/>
        <w:jc w:val="both"/>
        <w:rPr>
          <w:rFonts w:cstheme="minorHAnsi"/>
          <w:sz w:val="20"/>
          <w:szCs w:val="20"/>
        </w:rPr>
      </w:pPr>
      <w:r w:rsidRPr="00320630">
        <w:rPr>
          <w:rFonts w:cstheme="minorHAnsi"/>
          <w:sz w:val="20"/>
          <w:szCs w:val="20"/>
        </w:rPr>
        <w:t xml:space="preserve">Konkurencja to jeden z kluczowych elementów gospodarki, warunkujących jej rozwój. Dlatego niezwykle ważne są: skuteczne eliminowanie wszelkich przejawów zaburzania rywalizacji rynkowej, zapobieganie podobnym zjawiskom, a także promowanie prokonkurencyjnych rozwiązań. Konkurencja nie jest jednak wartością samą w sobie, gdyż sprawnie funkcjonujący rynek służy konsumentom. Podniesienie dobrobytu konsumentów stanowi ostateczny cel działań instytucji publicznych w zakresie ochrony konkurencji. </w:t>
      </w:r>
    </w:p>
    <w:p w:rsidR="00C700A8" w:rsidRPr="00320630" w:rsidRDefault="00C700A8" w:rsidP="00320630">
      <w:pPr>
        <w:spacing w:after="120" w:line="276" w:lineRule="auto"/>
        <w:jc w:val="both"/>
        <w:rPr>
          <w:rFonts w:cstheme="minorHAnsi"/>
          <w:sz w:val="20"/>
          <w:szCs w:val="20"/>
        </w:rPr>
      </w:pPr>
      <w:r w:rsidRPr="00320630">
        <w:rPr>
          <w:rFonts w:cstheme="minorHAnsi"/>
          <w:sz w:val="20"/>
          <w:szCs w:val="20"/>
        </w:rPr>
        <w:t xml:space="preserve">Działalność UOKiK w obszarze ochrony konkurencji dotyczy: </w:t>
      </w:r>
    </w:p>
    <w:p w:rsidR="00C700A8" w:rsidRPr="00320630" w:rsidRDefault="00C700A8" w:rsidP="00320630">
      <w:pPr>
        <w:spacing w:after="0" w:line="276" w:lineRule="auto"/>
        <w:jc w:val="both"/>
        <w:rPr>
          <w:rFonts w:cstheme="minorHAnsi"/>
          <w:sz w:val="20"/>
          <w:szCs w:val="20"/>
        </w:rPr>
      </w:pPr>
      <w:r w:rsidRPr="00320630">
        <w:rPr>
          <w:rFonts w:cstheme="minorHAnsi"/>
          <w:sz w:val="20"/>
          <w:szCs w:val="20"/>
        </w:rPr>
        <w:sym w:font="Symbol" w:char="F0B7"/>
      </w:r>
      <w:r w:rsidRPr="00320630">
        <w:rPr>
          <w:rFonts w:cstheme="minorHAnsi"/>
          <w:sz w:val="20"/>
          <w:szCs w:val="20"/>
        </w:rPr>
        <w:t xml:space="preserve"> zwalczania praktyk ograniczających konkurencję;</w:t>
      </w:r>
    </w:p>
    <w:p w:rsidR="00C700A8" w:rsidRPr="00320630" w:rsidRDefault="00C700A8" w:rsidP="00320630">
      <w:pPr>
        <w:spacing w:after="0" w:line="276" w:lineRule="auto"/>
        <w:jc w:val="both"/>
        <w:rPr>
          <w:rFonts w:cstheme="minorHAnsi"/>
          <w:sz w:val="20"/>
          <w:szCs w:val="20"/>
        </w:rPr>
      </w:pPr>
      <w:r w:rsidRPr="00320630">
        <w:rPr>
          <w:rFonts w:cstheme="minorHAnsi"/>
          <w:sz w:val="20"/>
          <w:szCs w:val="20"/>
        </w:rPr>
        <w:sym w:font="Symbol" w:char="F0B7"/>
      </w:r>
      <w:r w:rsidRPr="00320630">
        <w:rPr>
          <w:rFonts w:cstheme="minorHAnsi"/>
          <w:sz w:val="20"/>
          <w:szCs w:val="20"/>
        </w:rPr>
        <w:t xml:space="preserve"> kontroli koncentracji; </w:t>
      </w:r>
    </w:p>
    <w:p w:rsidR="00C700A8" w:rsidRPr="00320630" w:rsidRDefault="00C700A8" w:rsidP="00320630">
      <w:pPr>
        <w:spacing w:after="0" w:line="276" w:lineRule="auto"/>
        <w:jc w:val="both"/>
        <w:rPr>
          <w:rFonts w:cstheme="minorHAnsi"/>
          <w:b/>
          <w:sz w:val="20"/>
          <w:szCs w:val="20"/>
        </w:rPr>
      </w:pPr>
      <w:r w:rsidRPr="00320630">
        <w:rPr>
          <w:rFonts w:cstheme="minorHAnsi"/>
          <w:sz w:val="20"/>
          <w:szCs w:val="20"/>
        </w:rPr>
        <w:sym w:font="Symbol" w:char="F0B7"/>
      </w:r>
      <w:r w:rsidRPr="00320630">
        <w:rPr>
          <w:rFonts w:cstheme="minorHAnsi"/>
          <w:sz w:val="20"/>
          <w:szCs w:val="20"/>
        </w:rPr>
        <w:t xml:space="preserve"> monitorowania pomocy publicznej.</w:t>
      </w:r>
    </w:p>
    <w:p w:rsidR="00C700A8" w:rsidRPr="00320630" w:rsidRDefault="00C700A8" w:rsidP="00320630">
      <w:pPr>
        <w:spacing w:after="0" w:line="276" w:lineRule="auto"/>
        <w:jc w:val="both"/>
        <w:rPr>
          <w:rFonts w:cstheme="minorHAnsi"/>
          <w:sz w:val="20"/>
          <w:szCs w:val="20"/>
        </w:rPr>
      </w:pPr>
    </w:p>
    <w:p w:rsidR="00C700A8" w:rsidRPr="001F58A6" w:rsidRDefault="00C700A8" w:rsidP="00862C0F">
      <w:pPr>
        <w:pStyle w:val="Nagwek2"/>
        <w:numPr>
          <w:ilvl w:val="0"/>
          <w:numId w:val="14"/>
        </w:numPr>
        <w:ind w:left="142" w:hanging="142"/>
      </w:pPr>
      <w:bookmarkStart w:id="23" w:name="_Toc455927442"/>
      <w:bookmarkStart w:id="24" w:name="_Toc455927517"/>
      <w:bookmarkStart w:id="25" w:name="_Toc490807741"/>
      <w:r w:rsidRPr="001F58A6">
        <w:lastRenderedPageBreak/>
        <w:t>Praktyki ograniczające konkurencję</w:t>
      </w:r>
      <w:bookmarkEnd w:id="23"/>
      <w:bookmarkEnd w:id="24"/>
      <w:bookmarkEnd w:id="25"/>
      <w:r w:rsidRPr="001F58A6">
        <w:t xml:space="preserve"> </w:t>
      </w:r>
    </w:p>
    <w:p w:rsidR="00C700A8" w:rsidRPr="00320630" w:rsidRDefault="00C700A8" w:rsidP="00320630">
      <w:pPr>
        <w:spacing w:after="120" w:line="276" w:lineRule="auto"/>
        <w:jc w:val="both"/>
        <w:rPr>
          <w:rFonts w:cstheme="minorHAnsi"/>
          <w:sz w:val="20"/>
          <w:szCs w:val="20"/>
        </w:rPr>
      </w:pPr>
      <w:r w:rsidRPr="00320630">
        <w:rPr>
          <w:rFonts w:cstheme="minorHAnsi"/>
          <w:b/>
          <w:sz w:val="20"/>
          <w:szCs w:val="20"/>
        </w:rPr>
        <w:t>Praktykami ograniczającymi konkurencję</w:t>
      </w:r>
      <w:r w:rsidRPr="00320630">
        <w:rPr>
          <w:rFonts w:cstheme="minorHAnsi"/>
          <w:sz w:val="20"/>
          <w:szCs w:val="20"/>
        </w:rPr>
        <w:t xml:space="preserve"> są antykonkurencyjne porozumienia i nadużywanie pozycji dominującej, które mogą prowadzić do zakłócenia mechanizmów rynkowych. </w:t>
      </w:r>
    </w:p>
    <w:p w:rsidR="00C700A8" w:rsidRPr="00320630" w:rsidRDefault="00C700A8" w:rsidP="00320630">
      <w:pPr>
        <w:tabs>
          <w:tab w:val="left" w:pos="709"/>
        </w:tabs>
        <w:spacing w:after="120" w:line="276" w:lineRule="auto"/>
        <w:jc w:val="both"/>
        <w:rPr>
          <w:rFonts w:eastAsia="Times New Roman" w:cstheme="minorHAnsi"/>
          <w:sz w:val="20"/>
          <w:szCs w:val="20"/>
          <w:lang w:eastAsia="x-none"/>
        </w:rPr>
      </w:pPr>
      <w:r w:rsidRPr="00320630">
        <w:rPr>
          <w:rFonts w:cstheme="minorHAnsi"/>
          <w:sz w:val="20"/>
          <w:szCs w:val="20"/>
        </w:rPr>
        <w:t xml:space="preserve">Prawo </w:t>
      </w:r>
      <w:r w:rsidRPr="00320630">
        <w:rPr>
          <w:rFonts w:eastAsia="Times New Roman" w:cstheme="minorHAnsi"/>
          <w:sz w:val="20"/>
          <w:szCs w:val="20"/>
          <w:lang w:eastAsia="x-none"/>
        </w:rPr>
        <w:t>ochrony konkurencji</w:t>
      </w:r>
      <w:r w:rsidRPr="00320630">
        <w:rPr>
          <w:rFonts w:cstheme="minorHAnsi"/>
          <w:sz w:val="20"/>
          <w:szCs w:val="20"/>
        </w:rPr>
        <w:t xml:space="preserve"> zakazuje </w:t>
      </w:r>
      <w:r w:rsidRPr="00320630">
        <w:rPr>
          <w:rFonts w:cstheme="minorHAnsi"/>
          <w:b/>
          <w:sz w:val="20"/>
          <w:szCs w:val="20"/>
        </w:rPr>
        <w:t>porozumień</w:t>
      </w:r>
      <w:r w:rsidRPr="00320630">
        <w:rPr>
          <w:rFonts w:cstheme="minorHAnsi"/>
          <w:sz w:val="20"/>
          <w:szCs w:val="20"/>
        </w:rPr>
        <w:t xml:space="preserve"> </w:t>
      </w:r>
      <w:r w:rsidRPr="00320630">
        <w:rPr>
          <w:rFonts w:cstheme="minorHAnsi"/>
          <w:b/>
          <w:sz w:val="20"/>
          <w:szCs w:val="20"/>
        </w:rPr>
        <w:t>ograniczających</w:t>
      </w:r>
      <w:r w:rsidRPr="00320630">
        <w:rPr>
          <w:rFonts w:eastAsia="Times New Roman" w:cstheme="minorHAnsi"/>
          <w:b/>
          <w:sz w:val="20"/>
          <w:szCs w:val="20"/>
          <w:lang w:eastAsia="x-none"/>
        </w:rPr>
        <w:t xml:space="preserve"> konkurencję</w:t>
      </w:r>
      <w:r w:rsidRPr="00320630">
        <w:rPr>
          <w:rFonts w:eastAsia="Times New Roman" w:cstheme="minorHAnsi"/>
          <w:sz w:val="20"/>
          <w:szCs w:val="20"/>
          <w:lang w:eastAsia="x-none"/>
        </w:rPr>
        <w:t xml:space="preserve">. </w:t>
      </w:r>
      <w:r w:rsidRPr="00320630">
        <w:rPr>
          <w:rFonts w:cstheme="minorHAnsi"/>
          <w:sz w:val="20"/>
          <w:szCs w:val="20"/>
        </w:rPr>
        <w:t>Za praktyki tego typu uznaje się w szczególności zmowy cenowe i przetargowe oraz porozumienia służące podziałowi rynków zbytu lub zakupu</w:t>
      </w:r>
      <w:r w:rsidRPr="00320630">
        <w:rPr>
          <w:rFonts w:cstheme="minorHAnsi"/>
          <w:sz w:val="20"/>
          <w:szCs w:val="20"/>
          <w:vertAlign w:val="superscript"/>
        </w:rPr>
        <w:footnoteReference w:id="24"/>
      </w:r>
      <w:r w:rsidRPr="00320630">
        <w:rPr>
          <w:rFonts w:cstheme="minorHAnsi"/>
          <w:sz w:val="20"/>
          <w:szCs w:val="20"/>
        </w:rPr>
        <w:t>. Przepisy przewidują jednak nieliczne wyjątki od generalnego zakazu – tzw. porozumienia bagatelne</w:t>
      </w:r>
      <w:r w:rsidRPr="00320630">
        <w:rPr>
          <w:rFonts w:eastAsia="Times New Roman" w:cstheme="minorHAnsi"/>
          <w:sz w:val="20"/>
          <w:szCs w:val="20"/>
          <w:lang w:eastAsia="x-none"/>
        </w:rPr>
        <w:t xml:space="preserve">, </w:t>
      </w:r>
      <w:r w:rsidRPr="00320630">
        <w:rPr>
          <w:rFonts w:cstheme="minorHAnsi"/>
          <w:sz w:val="20"/>
          <w:szCs w:val="20"/>
        </w:rPr>
        <w:t>wyłączenia grupowe</w:t>
      </w:r>
      <w:r w:rsidRPr="00320630">
        <w:rPr>
          <w:rFonts w:eastAsia="Times New Roman" w:cstheme="minorHAnsi"/>
          <w:sz w:val="20"/>
          <w:szCs w:val="20"/>
          <w:lang w:eastAsia="x-none"/>
        </w:rPr>
        <w:t xml:space="preserve"> i wyłączenia indywidualne – w przypadku spełnienia ustawowych przesłanek</w:t>
      </w:r>
      <w:r w:rsidRPr="00320630">
        <w:rPr>
          <w:rFonts w:cstheme="minorHAnsi"/>
          <w:sz w:val="20"/>
          <w:szCs w:val="20"/>
          <w:vertAlign w:val="superscript"/>
        </w:rPr>
        <w:footnoteReference w:id="25"/>
      </w:r>
      <w:r w:rsidRPr="00320630">
        <w:rPr>
          <w:rFonts w:cstheme="minorHAnsi"/>
          <w:sz w:val="20"/>
          <w:szCs w:val="20"/>
        </w:rPr>
        <w:t xml:space="preserve">. </w:t>
      </w:r>
    </w:p>
    <w:p w:rsidR="00C700A8" w:rsidRPr="00320630" w:rsidRDefault="00C700A8" w:rsidP="00320630">
      <w:pPr>
        <w:tabs>
          <w:tab w:val="left" w:pos="709"/>
        </w:tabs>
        <w:spacing w:after="120" w:line="276" w:lineRule="auto"/>
        <w:jc w:val="both"/>
        <w:rPr>
          <w:rFonts w:cstheme="minorHAnsi"/>
          <w:sz w:val="20"/>
          <w:szCs w:val="20"/>
        </w:rPr>
      </w:pPr>
      <w:r w:rsidRPr="00320630">
        <w:rPr>
          <w:rFonts w:cstheme="minorHAnsi"/>
          <w:sz w:val="20"/>
          <w:szCs w:val="20"/>
        </w:rPr>
        <w:t xml:space="preserve">Niedozwolone jest również </w:t>
      </w:r>
      <w:r w:rsidRPr="00320630">
        <w:rPr>
          <w:rFonts w:cstheme="minorHAnsi"/>
          <w:b/>
          <w:sz w:val="20"/>
          <w:szCs w:val="20"/>
        </w:rPr>
        <w:t>nadużywanie pozycji dominującej</w:t>
      </w:r>
      <w:r w:rsidRPr="00320630">
        <w:rPr>
          <w:rFonts w:cstheme="minorHAnsi"/>
          <w:sz w:val="20"/>
          <w:szCs w:val="20"/>
        </w:rPr>
        <w:t>. Pozycję dominującą ma podmiot, który może działać w znacznym zakresie niezależnie od swoich konkurentów, kontrahentów i konsumentów. Ustawa o ochronie konkurencji i konsumentów wprowadza domniemanie, zgodnie z którym przedsiębiorca ma pozycję dominującą, jeżeli jego udział w rynku przekracza 40 proc. Każda sprawa podlega jednak indywidualnej ocenie, a podstawowe kryterium decydujące o uznaniu, że przedsiębiorca jest dominantem, stanowi jego faktyczna siła rynkowa, a nie wyłącznie procentowy udział w danym rynku. Samo posiadanie pozycji dominującej nie jest zakazane, niedozwolone jest natomiast jej nadużywanie – czyli wykorzystywanie siły rynkowej podmiotu (lub podmiotów), prowadzące do ograniczenia swobody działania kontrahentów i konkurentów przez narzucanie mniej korzystnych zasad współpracy, niż miałoby to miejsce w warunkach efektywnej konkurencji, a także eliminowanie konkurentów lub blokowanie wejścia na rynek nowych podmiotów</w:t>
      </w:r>
      <w:r w:rsidRPr="00320630">
        <w:rPr>
          <w:rFonts w:cstheme="minorHAnsi"/>
          <w:sz w:val="20"/>
          <w:szCs w:val="20"/>
          <w:vertAlign w:val="superscript"/>
        </w:rPr>
        <w:footnoteReference w:id="26"/>
      </w:r>
      <w:r w:rsidRPr="00320630">
        <w:rPr>
          <w:rFonts w:cstheme="minorHAnsi"/>
          <w:sz w:val="20"/>
          <w:szCs w:val="20"/>
        </w:rPr>
        <w:t xml:space="preserve">. </w:t>
      </w:r>
    </w:p>
    <w:p w:rsidR="00C700A8" w:rsidRPr="00320630" w:rsidRDefault="00C700A8" w:rsidP="00320630">
      <w:pPr>
        <w:autoSpaceDE w:val="0"/>
        <w:autoSpaceDN w:val="0"/>
        <w:adjustRightInd w:val="0"/>
        <w:spacing w:after="120" w:line="276" w:lineRule="auto"/>
        <w:jc w:val="both"/>
        <w:rPr>
          <w:rFonts w:cstheme="minorHAnsi"/>
          <w:sz w:val="20"/>
          <w:szCs w:val="20"/>
        </w:rPr>
      </w:pPr>
      <w:r w:rsidRPr="00320630">
        <w:rPr>
          <w:rFonts w:cstheme="minorHAnsi"/>
          <w:sz w:val="20"/>
          <w:szCs w:val="20"/>
        </w:rPr>
        <w:t xml:space="preserve">W 2015 r. UOKiK wszczął </w:t>
      </w:r>
      <w:r w:rsidRPr="00320630">
        <w:rPr>
          <w:rFonts w:cstheme="minorHAnsi"/>
          <w:b/>
          <w:sz w:val="20"/>
          <w:szCs w:val="20"/>
        </w:rPr>
        <w:t>34</w:t>
      </w:r>
      <w:r w:rsidRPr="00320630">
        <w:rPr>
          <w:rFonts w:cstheme="minorHAnsi"/>
          <w:b/>
          <w:color w:val="FF0000"/>
          <w:sz w:val="20"/>
          <w:szCs w:val="20"/>
        </w:rPr>
        <w:t xml:space="preserve"> </w:t>
      </w:r>
      <w:r w:rsidRPr="00320630">
        <w:rPr>
          <w:rFonts w:cstheme="minorHAnsi"/>
          <w:sz w:val="20"/>
          <w:szCs w:val="20"/>
        </w:rPr>
        <w:t xml:space="preserve">postępowania w sprawie praktyk ograniczających konkurencję oraz </w:t>
      </w:r>
      <w:r w:rsidRPr="00320630">
        <w:rPr>
          <w:rFonts w:cstheme="minorHAnsi"/>
          <w:b/>
          <w:sz w:val="20"/>
          <w:szCs w:val="20"/>
        </w:rPr>
        <w:t>177</w:t>
      </w:r>
      <w:r w:rsidRPr="00320630">
        <w:rPr>
          <w:rFonts w:cstheme="minorHAnsi"/>
          <w:sz w:val="20"/>
          <w:szCs w:val="20"/>
        </w:rPr>
        <w:t xml:space="preserve"> postępowania</w:t>
      </w:r>
      <w:r w:rsidRPr="00320630">
        <w:rPr>
          <w:rFonts w:cstheme="minorHAnsi"/>
          <w:b/>
          <w:sz w:val="20"/>
          <w:szCs w:val="20"/>
        </w:rPr>
        <w:t xml:space="preserve"> </w:t>
      </w:r>
      <w:r w:rsidRPr="00320630">
        <w:rPr>
          <w:rFonts w:cstheme="minorHAnsi"/>
          <w:sz w:val="20"/>
          <w:szCs w:val="20"/>
        </w:rPr>
        <w:t xml:space="preserve">wyjaśniające w tym zakresie. </w:t>
      </w:r>
    </w:p>
    <w:p w:rsidR="00C700A8" w:rsidRPr="00320630" w:rsidRDefault="00C700A8" w:rsidP="00320630">
      <w:pPr>
        <w:autoSpaceDE w:val="0"/>
        <w:autoSpaceDN w:val="0"/>
        <w:adjustRightInd w:val="0"/>
        <w:spacing w:after="120" w:line="276" w:lineRule="auto"/>
        <w:jc w:val="both"/>
        <w:rPr>
          <w:rFonts w:cstheme="minorHAnsi"/>
          <w:sz w:val="20"/>
          <w:szCs w:val="20"/>
        </w:rPr>
      </w:pPr>
      <w:r w:rsidRPr="00320630">
        <w:rPr>
          <w:rFonts w:cstheme="minorHAnsi"/>
          <w:sz w:val="20"/>
          <w:szCs w:val="20"/>
        </w:rPr>
        <w:t xml:space="preserve">Mniejsza niż w latach poprzednich liczba postępowań (tabela 7) i wydanych w związku z nimi decyzji (tabela 8) wiąże się z coraz częstszym stosowaniem przez UOKiK </w:t>
      </w:r>
      <w:r w:rsidRPr="00320630">
        <w:rPr>
          <w:rFonts w:cstheme="minorHAnsi"/>
          <w:b/>
          <w:sz w:val="20"/>
          <w:szCs w:val="20"/>
        </w:rPr>
        <w:t>działań miękkich</w:t>
      </w:r>
      <w:r w:rsidRPr="00320630">
        <w:rPr>
          <w:rFonts w:cstheme="minorHAnsi"/>
          <w:sz w:val="20"/>
          <w:szCs w:val="20"/>
        </w:rPr>
        <w:t xml:space="preserve">. Obejmują one wskazywanie najlepszych praktyk oraz wezwanie przedsiębiorcy do dobrowolnego usunięcia naruszenia i dokonania stosownych zmian. </w:t>
      </w:r>
    </w:p>
    <w:p w:rsidR="00C700A8" w:rsidRPr="00320630" w:rsidRDefault="00C700A8" w:rsidP="00320630">
      <w:pPr>
        <w:autoSpaceDE w:val="0"/>
        <w:autoSpaceDN w:val="0"/>
        <w:adjustRightInd w:val="0"/>
        <w:spacing w:after="120" w:line="276" w:lineRule="auto"/>
        <w:jc w:val="both"/>
        <w:rPr>
          <w:rFonts w:cstheme="minorHAnsi"/>
          <w:sz w:val="20"/>
          <w:szCs w:val="20"/>
        </w:rPr>
      </w:pPr>
      <w:r w:rsidRPr="00320630">
        <w:rPr>
          <w:rFonts w:cstheme="minorHAnsi"/>
          <w:sz w:val="20"/>
          <w:szCs w:val="20"/>
        </w:rPr>
        <w:t xml:space="preserve">W 2015 r. prowadzono 58 działań miękkich w zakresie ochrony konkurencji, przy czym zakończono 52 sprawy. Ich skuteczność potwierdza 50 przypadków, w których przedsiębiorcy zastosowali się do wskazań Urzędu. </w:t>
      </w:r>
    </w:p>
    <w:p w:rsidR="00C700A8" w:rsidRPr="00320630" w:rsidRDefault="00C700A8" w:rsidP="00320630">
      <w:pPr>
        <w:autoSpaceDE w:val="0"/>
        <w:autoSpaceDN w:val="0"/>
        <w:adjustRightInd w:val="0"/>
        <w:spacing w:after="120" w:line="276" w:lineRule="auto"/>
        <w:jc w:val="both"/>
        <w:rPr>
          <w:rFonts w:cstheme="minorHAnsi"/>
          <w:sz w:val="20"/>
          <w:szCs w:val="20"/>
        </w:rPr>
      </w:pPr>
      <w:r w:rsidRPr="00320630">
        <w:rPr>
          <w:rFonts w:cstheme="minorHAnsi"/>
          <w:sz w:val="20"/>
          <w:szCs w:val="20"/>
        </w:rPr>
        <w:t xml:space="preserve">Mniejsza liczba postępowań jest również efektem prowadzonych przez UOKiK akcji edukacyjnych skierowanych do przedsiębiorców. Praktyka Urzędu pokazuje, że część naruszeń wynika z nieznajomości prawa antymonopolowego. Jednym z sektorów o niskiej świadomości przepisów był rynek usług pogrzebowych. Dlatego w październiku 2014 r. UOKiK przeprowadził akcję informacyjną. Ukazał się specjalnie przygotowany poradnik </w:t>
      </w:r>
      <w:hyperlink r:id="rId9" w:history="1">
        <w:r w:rsidRPr="00320630">
          <w:rPr>
            <w:rStyle w:val="Hipercze"/>
            <w:rFonts w:cstheme="minorHAnsi"/>
            <w:i/>
            <w:sz w:val="20"/>
            <w:szCs w:val="20"/>
          </w:rPr>
          <w:t>Świadczenie usług cmentarnych i pogrzebowych – obowiązki zarządcy cmentarza w świetle ustawy o ochronie konkurencji i konsumentów</w:t>
        </w:r>
      </w:hyperlink>
      <w:r w:rsidRPr="00320630">
        <w:rPr>
          <w:rFonts w:cstheme="minorHAnsi"/>
          <w:sz w:val="20"/>
          <w:szCs w:val="20"/>
        </w:rPr>
        <w:t xml:space="preserve"> (szerzej przedstawiony w </w:t>
      </w:r>
      <w:hyperlink r:id="rId10" w:history="1">
        <w:r w:rsidRPr="00320630">
          <w:rPr>
            <w:rStyle w:val="Hipercze"/>
            <w:rFonts w:cstheme="minorHAnsi"/>
            <w:sz w:val="20"/>
            <w:szCs w:val="20"/>
          </w:rPr>
          <w:t>„Sprawozdaniu z działalności UOKiK za 2014 r</w:t>
        </w:r>
      </w:hyperlink>
      <w:r w:rsidRPr="00320630">
        <w:rPr>
          <w:rStyle w:val="Hipercze"/>
          <w:rFonts w:cstheme="minorHAnsi"/>
          <w:sz w:val="20"/>
          <w:szCs w:val="20"/>
        </w:rPr>
        <w:t>.”</w:t>
      </w:r>
      <w:r w:rsidRPr="00320630">
        <w:rPr>
          <w:rFonts w:cstheme="minorHAnsi"/>
          <w:sz w:val="20"/>
          <w:szCs w:val="20"/>
        </w:rPr>
        <w:t xml:space="preserve">). W efekcie w 2015 r. odnotowano znacznie niższy poziom naruszeń przepisów antymonopolowych w tym sektorze niż w latach poprzednich. Opracowany poradnik i związane z nim działania promocyjne zostały docenione na forum międzynarodowym. W 2016 r. </w:t>
      </w:r>
      <w:r w:rsidRPr="00320630">
        <w:rPr>
          <w:rStyle w:val="Pogrubienie"/>
          <w:rFonts w:cstheme="minorHAnsi"/>
          <w:sz w:val="20"/>
          <w:szCs w:val="20"/>
          <w:shd w:val="clear" w:color="auto" w:fill="FFFFFF"/>
        </w:rPr>
        <w:t>UOKiK otrzymał honorowe wyróżnienie za</w:t>
      </w:r>
      <w:r w:rsidRPr="00320630">
        <w:rPr>
          <w:rStyle w:val="apple-converted-space"/>
          <w:rFonts w:cstheme="minorHAnsi"/>
          <w:bCs/>
          <w:sz w:val="20"/>
          <w:szCs w:val="20"/>
          <w:shd w:val="clear" w:color="auto" w:fill="FFFFFF"/>
        </w:rPr>
        <w:t> </w:t>
      </w:r>
      <w:r w:rsidRPr="00320630">
        <w:rPr>
          <w:rStyle w:val="Pogrubienie"/>
          <w:rFonts w:cstheme="minorHAnsi"/>
          <w:sz w:val="20"/>
          <w:szCs w:val="20"/>
          <w:shd w:val="clear" w:color="auto" w:fill="FFFFFF"/>
        </w:rPr>
        <w:t xml:space="preserve">najlepszy projekt edukacyjno-informacyjny z dziedziny prawa konkurencji w konkursie Międzynarodowej Sieci Konkurencji (ICN) i Banku Światowego: </w:t>
      </w:r>
      <w:r w:rsidRPr="00320630">
        <w:rPr>
          <w:rStyle w:val="Uwydatnienie"/>
          <w:rFonts w:cstheme="minorHAnsi"/>
          <w:sz w:val="20"/>
          <w:szCs w:val="20"/>
          <w:shd w:val="clear" w:color="auto" w:fill="FFFFFF"/>
        </w:rPr>
        <w:t>2015–2016 Competition Advocacy Contest: How to Build a Culture of Competition for Private Sector Development and Economic Growth.</w:t>
      </w:r>
      <w:r w:rsidRPr="00320630">
        <w:rPr>
          <w:rStyle w:val="apple-converted-space"/>
          <w:rFonts w:cstheme="minorHAnsi"/>
          <w:i/>
          <w:sz w:val="20"/>
          <w:szCs w:val="20"/>
          <w:shd w:val="clear" w:color="auto" w:fill="FFFFFF"/>
        </w:rPr>
        <w:t> </w:t>
      </w:r>
    </w:p>
    <w:p w:rsidR="00C700A8" w:rsidRPr="00320630" w:rsidRDefault="00C700A8" w:rsidP="00320630">
      <w:pPr>
        <w:autoSpaceDE w:val="0"/>
        <w:autoSpaceDN w:val="0"/>
        <w:adjustRightInd w:val="0"/>
        <w:spacing w:after="120" w:line="276" w:lineRule="auto"/>
        <w:jc w:val="both"/>
        <w:rPr>
          <w:rFonts w:cstheme="minorHAnsi"/>
          <w:sz w:val="20"/>
          <w:szCs w:val="20"/>
        </w:rPr>
      </w:pPr>
      <w:r w:rsidRPr="00320630">
        <w:rPr>
          <w:rFonts w:cstheme="minorHAnsi"/>
          <w:sz w:val="20"/>
          <w:szCs w:val="20"/>
        </w:rPr>
        <w:t xml:space="preserve">Postępowania antymonopolowe w sprawach praktyk ograniczających konkurencję wszczynane są wyłącznie z urzędu. Nie wyklucza to jednak możliwości pisemnego zawiadomienia UOKiK o podejrzeniu stosowania niedozwolonej praktyki. W 2015 r. otrzymano </w:t>
      </w:r>
      <w:r w:rsidRPr="00320630">
        <w:rPr>
          <w:rFonts w:cstheme="minorHAnsi"/>
          <w:b/>
          <w:sz w:val="20"/>
          <w:szCs w:val="20"/>
        </w:rPr>
        <w:t xml:space="preserve">570 </w:t>
      </w:r>
      <w:r w:rsidRPr="00320630">
        <w:rPr>
          <w:rFonts w:cstheme="minorHAnsi"/>
          <w:sz w:val="20"/>
          <w:szCs w:val="20"/>
        </w:rPr>
        <w:t xml:space="preserve">takich zawiadomień, w wyniku czego wszczęto </w:t>
      </w:r>
      <w:r w:rsidRPr="00320630">
        <w:rPr>
          <w:rFonts w:cstheme="minorHAnsi"/>
          <w:b/>
          <w:sz w:val="20"/>
          <w:szCs w:val="20"/>
        </w:rPr>
        <w:t xml:space="preserve">96 </w:t>
      </w:r>
      <w:r w:rsidRPr="00320630">
        <w:rPr>
          <w:rFonts w:cstheme="minorHAnsi"/>
          <w:sz w:val="20"/>
          <w:szCs w:val="20"/>
        </w:rPr>
        <w:t xml:space="preserve">postępowań wyjaśniających i </w:t>
      </w:r>
      <w:r w:rsidRPr="00320630">
        <w:rPr>
          <w:rFonts w:cstheme="minorHAnsi"/>
          <w:b/>
          <w:sz w:val="20"/>
          <w:szCs w:val="20"/>
        </w:rPr>
        <w:t>16</w:t>
      </w:r>
      <w:r w:rsidRPr="00320630">
        <w:rPr>
          <w:rFonts w:cstheme="minorHAnsi"/>
          <w:sz w:val="20"/>
          <w:szCs w:val="20"/>
        </w:rPr>
        <w:t xml:space="preserve"> postępowań w sprawie praktyk ograniczających konkurencję. </w:t>
      </w:r>
    </w:p>
    <w:p w:rsidR="00C700A8" w:rsidRPr="009F1DC0" w:rsidRDefault="00C700A8" w:rsidP="009F1DC0">
      <w:pPr>
        <w:pStyle w:val="Nagwek3"/>
      </w:pPr>
      <w:bookmarkStart w:id="26" w:name="_Toc455927443"/>
      <w:bookmarkStart w:id="27" w:name="_Toc455927518"/>
      <w:bookmarkStart w:id="28" w:name="_Toc490807742"/>
      <w:r w:rsidRPr="009F1DC0">
        <w:lastRenderedPageBreak/>
        <w:t>1.</w:t>
      </w:r>
      <w:r w:rsidR="009F1DC0">
        <w:t>1.</w:t>
      </w:r>
      <w:r w:rsidRPr="009F1DC0">
        <w:t xml:space="preserve"> Wybrane decyzje i postępowania dotyczące praktyk ograniczających konkurencję</w:t>
      </w:r>
      <w:bookmarkEnd w:id="26"/>
      <w:bookmarkEnd w:id="27"/>
      <w:bookmarkEnd w:id="28"/>
    </w:p>
    <w:p w:rsidR="00C700A8" w:rsidRPr="00320630" w:rsidRDefault="00C700A8" w:rsidP="00320630">
      <w:pPr>
        <w:tabs>
          <w:tab w:val="left" w:pos="709"/>
        </w:tabs>
        <w:spacing w:after="120" w:line="276" w:lineRule="auto"/>
        <w:jc w:val="both"/>
        <w:rPr>
          <w:rFonts w:cstheme="minorHAnsi"/>
          <w:sz w:val="20"/>
          <w:szCs w:val="20"/>
        </w:rPr>
      </w:pPr>
      <w:r w:rsidRPr="00320630">
        <w:rPr>
          <w:rFonts w:cstheme="minorHAnsi"/>
          <w:sz w:val="20"/>
          <w:szCs w:val="20"/>
        </w:rPr>
        <w:t xml:space="preserve">Ze względu na ryzyko nadużywania pozycji dominującej obszarem priorytetowym UOKiK pozostają rynki o wysokim poziomie koncentracji. Należą do nich rynki sieciowe i lokalne (na których występują podmioty o pozycji dominującej). Wśród rynków związanych z budową i wykorzystaniem fizycznej infrastruktury sieciowej szczególnie istotne są następujące sektory: energetyczny, transportowy i telekomunikacyjny. UOKiK monitoruje te branże, a w razie potrzeby podejmuje stosowne działania. </w:t>
      </w:r>
    </w:p>
    <w:p w:rsidR="00C700A8" w:rsidRPr="00320630" w:rsidRDefault="00C700A8" w:rsidP="00320630">
      <w:pPr>
        <w:tabs>
          <w:tab w:val="left" w:pos="709"/>
        </w:tabs>
        <w:spacing w:after="120" w:line="276" w:lineRule="auto"/>
        <w:jc w:val="both"/>
        <w:rPr>
          <w:rFonts w:cstheme="minorHAnsi"/>
          <w:sz w:val="20"/>
          <w:szCs w:val="20"/>
        </w:rPr>
      </w:pPr>
      <w:r w:rsidRPr="00320630">
        <w:rPr>
          <w:rFonts w:cstheme="minorHAnsi"/>
          <w:sz w:val="20"/>
          <w:szCs w:val="20"/>
        </w:rPr>
        <w:t xml:space="preserve">W zakresie rynków lokalnych do priorytetowych należą branże gospodarowania odpadami komunalnymi oraz dostarczania wody i odprowadzania ścieków, a także regionalny transport pasażerski. Szczególne znaczenie ma wykrywanie lokalnych zmów przetargowych, gdyż to właśnie w trybie zamówień publicznych zawierane są umowy na realizację inwestycji ważnych dla funkcjonowania miejscowych społeczności. Istotną rolę w prowadzeniu spraw tego typu odgrywają delegatury UOKiK, które dobrze rozumieją procesy zachodzące na poziomie lokalnym. </w:t>
      </w:r>
    </w:p>
    <w:p w:rsidR="00C700A8" w:rsidRPr="00320630" w:rsidRDefault="00C700A8" w:rsidP="009F1DC0">
      <w:pPr>
        <w:pStyle w:val="Nagwek4"/>
        <w:rPr>
          <w:rFonts w:eastAsia="Times New Roman"/>
        </w:rPr>
      </w:pPr>
      <w:bookmarkStart w:id="29" w:name="_Toc455927519"/>
      <w:r w:rsidRPr="00320630">
        <w:t>Rynki sieciowe</w:t>
      </w:r>
      <w:r w:rsidRPr="00320630">
        <w:rPr>
          <w:rFonts w:eastAsia="Times New Roman"/>
        </w:rPr>
        <w:t xml:space="preserve"> na przykładzie sektora energetycznego i transportu</w:t>
      </w:r>
      <w:bookmarkEnd w:id="29"/>
      <w:r w:rsidRPr="00320630">
        <w:rPr>
          <w:rFonts w:eastAsia="Times New Roman"/>
        </w:rPr>
        <w:t xml:space="preserve"> </w:t>
      </w:r>
    </w:p>
    <w:p w:rsidR="00C700A8" w:rsidRPr="00320630" w:rsidRDefault="00C700A8" w:rsidP="00320630">
      <w:pPr>
        <w:tabs>
          <w:tab w:val="left" w:pos="709"/>
        </w:tabs>
        <w:spacing w:after="120" w:line="276" w:lineRule="auto"/>
        <w:jc w:val="both"/>
        <w:rPr>
          <w:rFonts w:cstheme="minorHAnsi"/>
          <w:b/>
          <w:sz w:val="20"/>
          <w:szCs w:val="20"/>
        </w:rPr>
      </w:pPr>
      <w:r w:rsidRPr="00320630">
        <w:rPr>
          <w:rFonts w:cstheme="minorHAnsi"/>
          <w:b/>
          <w:sz w:val="20"/>
          <w:szCs w:val="20"/>
        </w:rPr>
        <w:t xml:space="preserve">Nadużywanie pozycji dominującej na rynku energetycznym – sprawdzenie wykonania decyzji </w:t>
      </w:r>
    </w:p>
    <w:p w:rsidR="00C700A8" w:rsidRPr="00320630" w:rsidRDefault="00C700A8" w:rsidP="00320630">
      <w:pPr>
        <w:tabs>
          <w:tab w:val="left" w:pos="709"/>
        </w:tabs>
        <w:spacing w:after="120" w:line="276" w:lineRule="auto"/>
        <w:jc w:val="both"/>
        <w:rPr>
          <w:rFonts w:cstheme="minorHAnsi"/>
          <w:sz w:val="20"/>
          <w:szCs w:val="20"/>
        </w:rPr>
      </w:pPr>
      <w:r w:rsidRPr="00320630">
        <w:rPr>
          <w:rFonts w:cstheme="minorHAnsi"/>
          <w:sz w:val="20"/>
          <w:szCs w:val="20"/>
        </w:rPr>
        <w:t>W grudniu 2013 r. zakończono postępowanie, w którym uprawdopodobniono nadużywanie pozycji dominującej przez PGNiG S.A. Wydano wówczas decyzję</w:t>
      </w:r>
      <w:r w:rsidRPr="00320630">
        <w:rPr>
          <w:rFonts w:cstheme="minorHAnsi"/>
          <w:sz w:val="20"/>
          <w:szCs w:val="20"/>
          <w:vertAlign w:val="superscript"/>
        </w:rPr>
        <w:footnoteReference w:id="27"/>
      </w:r>
      <w:r w:rsidRPr="00320630">
        <w:rPr>
          <w:rFonts w:cstheme="minorHAnsi"/>
          <w:sz w:val="20"/>
          <w:szCs w:val="20"/>
        </w:rPr>
        <w:t xml:space="preserve"> przyjmującą zobowiązanie firmy do usunięcia z umów sprzedaży gazu postanowień kwestionowanych przez UOKiK. Zaproponowane rozwiązanie obejmowało usunięcie m.in. ograniczenia dla odbiorców PGNiG w zakresie zmniejszania ilości paliwa i mocy umownej zamawianych na kolejny rok gazowy. UOKiK przystał na złożoną przez firmę propozycję aneksowania kontraktów, przez którą kwestionowane zapisy miały zostać usunięte z umów lub odpowiednio zmienione. Właśnie w tym zakresie powstały wątpliwości co do prawidłowości wykonania decyzji. Postępowanie sprawdzające rozpoczęte w 2014 r. wykazało, że nie wypełniono całości zobowiązania. Spółka zaproponowała odbiorcom usunięcie zakwestionowanych postanowień, a jednocześnie wprowadziła do aneksowanych umów nowe postanowienia. Przyjęcie przez odbiorców zmienionych warunków oznaczało zobowiązanie się do nabywania gazu, którego minimalna ilość byłaby stała, ustalona na określonym poziomie zamówienia z 2014 r. Na PGNiG S.A. została nałożona kara pieniężna</w:t>
      </w:r>
      <w:r w:rsidRPr="00320630">
        <w:rPr>
          <w:rFonts w:cstheme="minorHAnsi"/>
          <w:sz w:val="20"/>
          <w:szCs w:val="20"/>
          <w:vertAlign w:val="superscript"/>
        </w:rPr>
        <w:footnoteReference w:id="28"/>
      </w:r>
      <w:r w:rsidRPr="00320630">
        <w:rPr>
          <w:rFonts w:cstheme="minorHAnsi"/>
          <w:sz w:val="20"/>
          <w:szCs w:val="20"/>
        </w:rPr>
        <w:t xml:space="preserve"> w łącznej wysokości ponad 10 mln zł, uwzględniająca każdy dzień zwłoki w wykonaniu zaoferowanego zobowiązania. Decyzja nie jest ostateczna, gdyż spółka złożyła odwołanie. </w:t>
      </w:r>
    </w:p>
    <w:p w:rsidR="00C700A8" w:rsidRPr="001F58A6" w:rsidRDefault="00C700A8" w:rsidP="001F58A6">
      <w:pPr>
        <w:tabs>
          <w:tab w:val="left" w:pos="709"/>
        </w:tabs>
        <w:spacing w:after="120" w:line="276" w:lineRule="auto"/>
        <w:jc w:val="both"/>
        <w:rPr>
          <w:rFonts w:cstheme="minorHAnsi"/>
          <w:sz w:val="20"/>
          <w:szCs w:val="20"/>
        </w:rPr>
      </w:pPr>
      <w:r w:rsidRPr="00320630">
        <w:rPr>
          <w:rFonts w:cstheme="minorHAnsi"/>
          <w:sz w:val="20"/>
          <w:szCs w:val="20"/>
        </w:rPr>
        <w:t>Postępowaniem sprawdzającym objęto również PGNiG Obrót Detaliczny, powołany po wydaniu decyzji z grudnia 2013 r., który stał się stroną części umów zawierających zakwestionowane postanowienia. UOKiK uznał, że przedsiębiorca ten wykonał decyzję w terminie,</w:t>
      </w:r>
      <w:r w:rsidR="001F58A6">
        <w:rPr>
          <w:rFonts w:cstheme="minorHAnsi"/>
          <w:sz w:val="20"/>
          <w:szCs w:val="20"/>
        </w:rPr>
        <w:t xml:space="preserve"> dlatego umorzono postępowanie.</w:t>
      </w:r>
    </w:p>
    <w:p w:rsidR="00C700A8" w:rsidRPr="00320630" w:rsidRDefault="00C700A8" w:rsidP="00320630">
      <w:pPr>
        <w:spacing w:after="120" w:line="276" w:lineRule="auto"/>
        <w:jc w:val="both"/>
        <w:rPr>
          <w:rFonts w:cstheme="minorHAnsi"/>
          <w:b/>
          <w:sz w:val="20"/>
          <w:szCs w:val="20"/>
        </w:rPr>
      </w:pPr>
      <w:r w:rsidRPr="00320630">
        <w:rPr>
          <w:rFonts w:cstheme="minorHAnsi"/>
          <w:b/>
          <w:sz w:val="20"/>
          <w:szCs w:val="20"/>
        </w:rPr>
        <w:t>Nadużywanie pozycji dominującej na rynku kolejowym</w:t>
      </w:r>
    </w:p>
    <w:p w:rsidR="00C700A8" w:rsidRPr="00320630" w:rsidRDefault="00C700A8" w:rsidP="001F58A6">
      <w:pPr>
        <w:spacing w:after="120" w:line="276" w:lineRule="auto"/>
        <w:jc w:val="both"/>
        <w:rPr>
          <w:rFonts w:cstheme="minorHAnsi"/>
          <w:sz w:val="20"/>
          <w:szCs w:val="20"/>
        </w:rPr>
      </w:pPr>
      <w:r w:rsidRPr="00320630">
        <w:rPr>
          <w:rFonts w:cstheme="minorHAnsi"/>
          <w:sz w:val="20"/>
          <w:szCs w:val="20"/>
        </w:rPr>
        <w:t>Postępowanie w sprawie PKP Cargo wszczęto w 2006 r., na wniosek jednego z konkurentów spółki – CTL Logistcs. W 2009 r. wydano decyzję</w:t>
      </w:r>
      <w:r w:rsidRPr="00320630">
        <w:rPr>
          <w:rFonts w:cstheme="minorHAnsi"/>
          <w:sz w:val="20"/>
          <w:szCs w:val="20"/>
          <w:vertAlign w:val="superscript"/>
        </w:rPr>
        <w:footnoteReference w:id="29"/>
      </w:r>
      <w:r w:rsidRPr="00320630">
        <w:rPr>
          <w:rFonts w:cstheme="minorHAnsi"/>
          <w:sz w:val="20"/>
          <w:szCs w:val="20"/>
        </w:rPr>
        <w:t xml:space="preserve"> nakładającą na PKP Cargo karę w wysokości ponad 60 mln zł. Mimo postępowań odwoławczych rozstrzygnięcie UOKiK było podtrzymywane przez sądy kolejnych instancji. Jednakże w październiku 2013 r. SN uchylił dotychczasowe orzecznictwo i przekazał sprawę do ponownego rozpatrzenia przez SOKiK. Jako główny powód podano rozszerzenie zakresu przedmiotowego trwającego postępowania. Pierwotny zarzut dotyczył stosowanych od 2006 r. regulacji, na podstawie których firma mogła odmówić podpisania umowy specjalnej (zawierającej upusty cenowe) z przedsiębiorcą uznanym za konkurenta. Po zmianie polityki handlowej przez PKP Cargo zarzut rozszerzono o odmowę podpisania umów handlowych przewidujących upusty cenowe. W marcu 2014 r. SOKiK uchylił ostatecznie decyzję UOKiK. Z tego względu postępowanie kontynuowano w zakresie ograniczonym do pierwotnego zarzutu, dotyczącego umów specjalnych. W grudniu 2015 r. wydano w tej sprawie decyzję</w:t>
      </w:r>
      <w:r w:rsidRPr="00320630">
        <w:rPr>
          <w:rFonts w:cstheme="minorHAnsi"/>
          <w:sz w:val="20"/>
          <w:szCs w:val="20"/>
          <w:vertAlign w:val="superscript"/>
        </w:rPr>
        <w:footnoteReference w:id="30"/>
      </w:r>
      <w:r w:rsidRPr="00320630">
        <w:rPr>
          <w:rFonts w:cstheme="minorHAnsi"/>
          <w:sz w:val="20"/>
          <w:szCs w:val="20"/>
        </w:rPr>
        <w:t xml:space="preserve"> stwierdzającą nadużywanie pozycji dominującej w latach 2006–2007, uniemożliwiające konkurentom spółki rozwój własnej działalności i pozyskiwanie nowych </w:t>
      </w:r>
      <w:r w:rsidRPr="00320630">
        <w:rPr>
          <w:rFonts w:cstheme="minorHAnsi"/>
          <w:sz w:val="20"/>
          <w:szCs w:val="20"/>
        </w:rPr>
        <w:lastRenderedPageBreak/>
        <w:t>klientów, a tym samym – rywalizację rynkową z dominantem. Zakwestionowana praktyka miała zatem negatywny wpływ na rozwój konkurencji na rynku towarowych przewozów kolejowych. Na PKP Cargo została nałożona kara w wysokości ponad 14,2 mln zł. Jednym z czynników, które miały wpływ na obniżenie kary, był długi czas, jaki upłynął od wszczęcia postępowania w 2006 r. do wydania decyzji w 2015 r. Przedsiębio</w:t>
      </w:r>
      <w:r w:rsidR="001F58A6">
        <w:rPr>
          <w:rFonts w:cstheme="minorHAnsi"/>
          <w:sz w:val="20"/>
          <w:szCs w:val="20"/>
        </w:rPr>
        <w:t>rca nie odwołał się od decyzji.</w:t>
      </w:r>
    </w:p>
    <w:p w:rsidR="00C700A8" w:rsidRPr="00320630" w:rsidRDefault="00C700A8" w:rsidP="009F1DC0">
      <w:pPr>
        <w:pStyle w:val="Nagwek4"/>
        <w:rPr>
          <w:rFonts w:eastAsia="Times New Roman"/>
        </w:rPr>
      </w:pPr>
      <w:bookmarkStart w:id="30" w:name="_Toc455927520"/>
      <w:r w:rsidRPr="00320630">
        <w:rPr>
          <w:rFonts w:eastAsia="Times New Roman"/>
        </w:rPr>
        <w:t>Rynek handlu detalicznego</w:t>
      </w:r>
      <w:bookmarkEnd w:id="30"/>
    </w:p>
    <w:p w:rsidR="00C700A8" w:rsidRPr="00320630" w:rsidRDefault="00C700A8" w:rsidP="00320630">
      <w:pPr>
        <w:tabs>
          <w:tab w:val="left" w:pos="709"/>
        </w:tabs>
        <w:spacing w:after="120" w:line="276" w:lineRule="auto"/>
        <w:jc w:val="both"/>
        <w:rPr>
          <w:rFonts w:cstheme="minorHAnsi"/>
          <w:b/>
          <w:sz w:val="20"/>
          <w:szCs w:val="20"/>
        </w:rPr>
      </w:pPr>
      <w:r w:rsidRPr="00320630">
        <w:rPr>
          <w:rFonts w:cstheme="minorHAnsi"/>
          <w:b/>
          <w:sz w:val="20"/>
          <w:szCs w:val="20"/>
        </w:rPr>
        <w:t>Zwalczanie porozumień ograniczających konkurencję na rynku sprzedaży zegarków</w:t>
      </w:r>
    </w:p>
    <w:p w:rsidR="00C700A8" w:rsidRPr="00320630" w:rsidRDefault="00C700A8" w:rsidP="00320630">
      <w:pPr>
        <w:tabs>
          <w:tab w:val="left" w:pos="709"/>
        </w:tabs>
        <w:spacing w:after="120" w:line="276" w:lineRule="auto"/>
        <w:jc w:val="both"/>
        <w:rPr>
          <w:rFonts w:cstheme="minorHAnsi"/>
          <w:sz w:val="20"/>
          <w:szCs w:val="20"/>
        </w:rPr>
      </w:pPr>
      <w:r w:rsidRPr="00320630">
        <w:rPr>
          <w:rFonts w:cstheme="minorHAnsi"/>
          <w:sz w:val="20"/>
          <w:szCs w:val="20"/>
        </w:rPr>
        <w:t>Postępowanie w sprawie niedozwolonego porozumienia na rynku sprzedaży zegarków wszczęto w czerwcu 2013 r. Stwierdzono, że Swatch Group Polska wraz z dystrybutorami ustalała minimalne ceny detaliczne sprzedaży zegarków w sklepach tradycyjnych i internetowych. W efekcie konsumenci nie mogli kupić produktów taniej niż za narzuconą cenę pomniejszoną o określony rabat. Sprawa dotyczyła kilku marek zegarków, których Swatch Group Polska jest wyłącznym dystrybutorem w naszym kraju (m.in. Omega, Tissot i Swatch). W decyzji</w:t>
      </w:r>
      <w:r w:rsidRPr="00320630">
        <w:rPr>
          <w:rFonts w:cstheme="minorHAnsi"/>
          <w:sz w:val="20"/>
          <w:szCs w:val="20"/>
          <w:vertAlign w:val="superscript"/>
        </w:rPr>
        <w:footnoteReference w:id="31"/>
      </w:r>
      <w:r w:rsidRPr="00320630">
        <w:rPr>
          <w:rFonts w:cstheme="minorHAnsi"/>
          <w:sz w:val="20"/>
          <w:szCs w:val="20"/>
        </w:rPr>
        <w:t xml:space="preserve"> wskazano, że porozumienie charakteryzowało się różnymi rodzajami zachowań. Były to uzgodnienia wertykalne między dostawcą a dystrybutorami, które jednocześnie nosiły cechy tzw. porozumienia </w:t>
      </w:r>
      <w:r w:rsidRPr="00320630">
        <w:rPr>
          <w:rFonts w:cstheme="minorHAnsi"/>
          <w:i/>
          <w:iCs/>
          <w:sz w:val="20"/>
          <w:szCs w:val="20"/>
        </w:rPr>
        <w:t>hub and spoke</w:t>
      </w:r>
      <w:r w:rsidRPr="00320630">
        <w:rPr>
          <w:rFonts w:cstheme="minorHAnsi"/>
          <w:sz w:val="20"/>
          <w:szCs w:val="20"/>
        </w:rPr>
        <w:t>. Polega ono na wymianie informacji dotyczących cen odsprzedaży między konkurentami za pomocą pośrednika (w tym przypadku: Swatch Group Polska) działającego na innym szczeblu w tym samym łańcuchu obrotu. Dzięki temu dystrybutorzy byli świadomi polityki cenowej konkurentów. Ponadto trzech przedsiębiorców bezpośrednio ustalało ze sobą ceny. Zakazując stosowania porozumienia ograniczającego konkurencję, UOKiK jednocześnie nałożył na przedsiębiorców kary w łącznej wysokości ponad 2 mln zł. Od decyzji złożono odwołania do SOKiK.</w:t>
      </w:r>
      <w:bookmarkStart w:id="31" w:name="_Toc421612859"/>
      <w:bookmarkStart w:id="32" w:name="_Toc421612905"/>
      <w:bookmarkStart w:id="33" w:name="_Toc421613077"/>
      <w:bookmarkStart w:id="34" w:name="_Toc421613107"/>
      <w:bookmarkStart w:id="35" w:name="_Toc421880403"/>
      <w:bookmarkStart w:id="36" w:name="_Toc421612860"/>
      <w:bookmarkStart w:id="37" w:name="_Toc421612906"/>
      <w:bookmarkStart w:id="38" w:name="_Toc421613078"/>
      <w:bookmarkStart w:id="39" w:name="_Toc421613108"/>
      <w:bookmarkStart w:id="40" w:name="_Toc421880404"/>
      <w:bookmarkStart w:id="41" w:name="_Toc421612861"/>
      <w:bookmarkStart w:id="42" w:name="_Toc421612907"/>
      <w:bookmarkStart w:id="43" w:name="_Toc421613079"/>
      <w:bookmarkStart w:id="44" w:name="_Toc421613109"/>
      <w:bookmarkStart w:id="45" w:name="_Toc421880405"/>
      <w:bookmarkStart w:id="46" w:name="_Toc42698426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700A8" w:rsidRPr="009F1DC0" w:rsidRDefault="00C700A8" w:rsidP="00862C0F">
      <w:pPr>
        <w:pStyle w:val="Nagwek2"/>
        <w:numPr>
          <w:ilvl w:val="0"/>
          <w:numId w:val="14"/>
        </w:numPr>
        <w:tabs>
          <w:tab w:val="left" w:pos="284"/>
        </w:tabs>
        <w:ind w:left="142" w:hanging="142"/>
      </w:pPr>
      <w:bookmarkStart w:id="47" w:name="_Toc289942655"/>
      <w:bookmarkStart w:id="48" w:name="_Toc316473051"/>
      <w:bookmarkStart w:id="49" w:name="_Toc318187073"/>
      <w:bookmarkStart w:id="50" w:name="_Toc426984271"/>
      <w:bookmarkStart w:id="51" w:name="_Toc455927446"/>
      <w:bookmarkStart w:id="52" w:name="_Toc455927525"/>
      <w:bookmarkStart w:id="53" w:name="_Toc490807743"/>
      <w:bookmarkEnd w:id="46"/>
      <w:r w:rsidRPr="009F1DC0">
        <w:t>Kontrola koncentracji przedsiębiorców</w:t>
      </w:r>
      <w:bookmarkEnd w:id="47"/>
      <w:bookmarkEnd w:id="48"/>
      <w:bookmarkEnd w:id="49"/>
      <w:bookmarkEnd w:id="50"/>
      <w:bookmarkEnd w:id="51"/>
      <w:bookmarkEnd w:id="52"/>
      <w:bookmarkEnd w:id="53"/>
      <w:r w:rsidRPr="009F1DC0">
        <w:t xml:space="preserve"> </w:t>
      </w:r>
    </w:p>
    <w:p w:rsidR="00C700A8" w:rsidRPr="00320630" w:rsidRDefault="00C700A8" w:rsidP="00320630">
      <w:pPr>
        <w:tabs>
          <w:tab w:val="left" w:pos="-3060"/>
        </w:tabs>
        <w:spacing w:after="120" w:line="276" w:lineRule="auto"/>
        <w:jc w:val="both"/>
        <w:rPr>
          <w:rFonts w:cstheme="minorHAnsi"/>
          <w:sz w:val="20"/>
          <w:szCs w:val="20"/>
        </w:rPr>
      </w:pPr>
      <w:r w:rsidRPr="00320630">
        <w:rPr>
          <w:rFonts w:cstheme="minorHAnsi"/>
          <w:sz w:val="20"/>
          <w:szCs w:val="20"/>
        </w:rPr>
        <w:t xml:space="preserve">Standardem nowoczesnej gospodarki są fuzje i przejęcia, które wzmacniają pozycję przedsiębiorstw na rynku. Organy antymonopolowe oceniają wpływ takich działań na stan konkurencji i w uzasadnionych prawem przypadkach mogą zakazać koncentracji. Mają bowiem obowiązek przeciwdziałania konsolidacjom potencjalnie ograniczającym konkurencję i prowadzącym do trwałych zmian w strukturze rynku. </w:t>
      </w:r>
    </w:p>
    <w:p w:rsidR="00C700A8" w:rsidRPr="00320630" w:rsidRDefault="00C700A8" w:rsidP="00320630">
      <w:pPr>
        <w:tabs>
          <w:tab w:val="left" w:pos="-3060"/>
        </w:tabs>
        <w:spacing w:after="120" w:line="276" w:lineRule="auto"/>
        <w:jc w:val="both"/>
        <w:rPr>
          <w:rFonts w:cstheme="minorHAnsi"/>
          <w:bCs/>
          <w:sz w:val="20"/>
          <w:szCs w:val="20"/>
        </w:rPr>
      </w:pPr>
      <w:r w:rsidRPr="00320630">
        <w:rPr>
          <w:rFonts w:cstheme="minorHAnsi"/>
          <w:sz w:val="20"/>
          <w:szCs w:val="20"/>
        </w:rPr>
        <w:t xml:space="preserve">Kontrolą Prezesa UOKiK objęte są te transakcje, które wywierają lub mogą wywrzeć skutki na terytorium Polski. </w:t>
      </w:r>
      <w:r w:rsidRPr="00320630">
        <w:rPr>
          <w:rStyle w:val="Pogrubienie"/>
          <w:rFonts w:cstheme="minorHAnsi"/>
          <w:sz w:val="20"/>
          <w:szCs w:val="20"/>
        </w:rPr>
        <w:t>Zamiar koncentracji podlega</w:t>
      </w:r>
      <w:r w:rsidRPr="00320630">
        <w:rPr>
          <w:rFonts w:cstheme="minorHAnsi"/>
          <w:sz w:val="20"/>
          <w:szCs w:val="20"/>
        </w:rPr>
        <w:t> </w:t>
      </w:r>
      <w:r w:rsidRPr="00320630">
        <w:rPr>
          <w:rStyle w:val="Pogrubienie"/>
          <w:rFonts w:cstheme="minorHAnsi"/>
          <w:sz w:val="20"/>
          <w:szCs w:val="20"/>
        </w:rPr>
        <w:t>obowiązkowi zgłoszenia, jeżeli łączny światowy obrót przedsiębiorców uczestniczących w koncentracji w roku obrotowym poprzedzającym rok zgłoszenia przekracza równowartość 1 mld euro lub jeżeli łączny obrót na terytorium Polski przedsiębiorców uczestniczących w koncentracji w roku obrotowym poprzedzającym rok zgłoszenia przekracza równowartość 50 mln euro</w:t>
      </w:r>
      <w:r w:rsidRPr="00320630">
        <w:rPr>
          <w:rFonts w:cstheme="minorHAnsi"/>
          <w:sz w:val="20"/>
          <w:szCs w:val="20"/>
        </w:rPr>
        <w:t>.</w:t>
      </w:r>
    </w:p>
    <w:p w:rsidR="00C700A8" w:rsidRPr="00320630" w:rsidRDefault="00C700A8" w:rsidP="00C700A8">
      <w:pPr>
        <w:tabs>
          <w:tab w:val="left" w:pos="-3060"/>
        </w:tabs>
        <w:spacing w:after="120"/>
        <w:jc w:val="both"/>
        <w:rPr>
          <w:rFonts w:cstheme="minorHAnsi"/>
          <w:color w:val="3C4147"/>
          <w:sz w:val="20"/>
          <w:szCs w:val="20"/>
        </w:rPr>
      </w:pPr>
      <w:r w:rsidRPr="00320630">
        <w:rPr>
          <w:rFonts w:cstheme="minorHAnsi"/>
          <w:bCs/>
          <w:sz w:val="20"/>
          <w:szCs w:val="20"/>
        </w:rPr>
        <w:t xml:space="preserve">W roku 2015 wszczęto </w:t>
      </w:r>
      <w:r w:rsidRPr="00320630">
        <w:rPr>
          <w:rFonts w:cstheme="minorHAnsi"/>
          <w:b/>
          <w:bCs/>
          <w:sz w:val="20"/>
          <w:szCs w:val="20"/>
        </w:rPr>
        <w:t>228</w:t>
      </w:r>
      <w:r w:rsidRPr="00320630">
        <w:rPr>
          <w:rFonts w:cstheme="minorHAnsi"/>
          <w:bCs/>
          <w:sz w:val="20"/>
          <w:szCs w:val="20"/>
        </w:rPr>
        <w:t>,</w:t>
      </w:r>
      <w:r w:rsidRPr="00320630">
        <w:rPr>
          <w:rFonts w:cstheme="minorHAnsi"/>
          <w:b/>
          <w:bCs/>
          <w:sz w:val="20"/>
          <w:szCs w:val="20"/>
        </w:rPr>
        <w:t xml:space="preserve"> </w:t>
      </w:r>
      <w:r w:rsidRPr="00320630">
        <w:rPr>
          <w:rFonts w:cstheme="minorHAnsi"/>
          <w:bCs/>
          <w:sz w:val="20"/>
          <w:szCs w:val="20"/>
        </w:rPr>
        <w:t>a zakończono</w:t>
      </w:r>
      <w:r w:rsidRPr="00320630">
        <w:rPr>
          <w:rFonts w:cstheme="minorHAnsi"/>
          <w:b/>
          <w:bCs/>
          <w:sz w:val="20"/>
          <w:szCs w:val="20"/>
        </w:rPr>
        <w:t xml:space="preserve"> 235</w:t>
      </w:r>
      <w:r w:rsidRPr="00320630">
        <w:rPr>
          <w:rStyle w:val="Odwoanieprzypisudolnego"/>
          <w:rFonts w:cstheme="minorHAnsi"/>
          <w:bCs/>
          <w:sz w:val="20"/>
          <w:szCs w:val="20"/>
        </w:rPr>
        <w:footnoteReference w:id="32"/>
      </w:r>
      <w:r w:rsidRPr="00320630">
        <w:rPr>
          <w:rFonts w:cstheme="minorHAnsi"/>
          <w:bCs/>
          <w:sz w:val="20"/>
          <w:szCs w:val="20"/>
        </w:rPr>
        <w:t xml:space="preserve"> postępowań dotyczących kontroli koncentracji. </w:t>
      </w:r>
    </w:p>
    <w:p w:rsidR="00C700A8" w:rsidRPr="00320630" w:rsidRDefault="00C700A8" w:rsidP="00C700A8">
      <w:pPr>
        <w:tabs>
          <w:tab w:val="left" w:pos="-3060"/>
        </w:tabs>
        <w:spacing w:after="120"/>
        <w:jc w:val="both"/>
        <w:rPr>
          <w:rFonts w:cstheme="minorHAnsi"/>
          <w:sz w:val="20"/>
          <w:szCs w:val="20"/>
        </w:rPr>
      </w:pPr>
      <w:r w:rsidRPr="00320630">
        <w:rPr>
          <w:rFonts w:cstheme="minorHAnsi"/>
          <w:sz w:val="20"/>
          <w:szCs w:val="20"/>
        </w:rPr>
        <w:t>Po przeprowadzeniu postępowania UOKiK może:</w:t>
      </w:r>
    </w:p>
    <w:p w:rsidR="00C700A8" w:rsidRPr="00320630" w:rsidRDefault="00C700A8" w:rsidP="00C700A8">
      <w:pPr>
        <w:numPr>
          <w:ilvl w:val="0"/>
          <w:numId w:val="10"/>
        </w:numPr>
        <w:spacing w:after="120" w:line="276" w:lineRule="auto"/>
        <w:ind w:left="426" w:hanging="284"/>
        <w:jc w:val="both"/>
        <w:rPr>
          <w:rFonts w:cstheme="minorHAnsi"/>
          <w:bCs/>
          <w:sz w:val="20"/>
          <w:szCs w:val="20"/>
        </w:rPr>
      </w:pPr>
      <w:r w:rsidRPr="00320630">
        <w:rPr>
          <w:rFonts w:cstheme="minorHAnsi"/>
          <w:sz w:val="20"/>
          <w:szCs w:val="20"/>
        </w:rPr>
        <w:t>zgodzić się na koncentrację – jeżeli w jej wyniku konkurencja na rynku nie zostanie istotnie ograniczona, co następuje w szczególności przez powstanie lub umocnienie się pozycji dominującej na rynku;</w:t>
      </w:r>
    </w:p>
    <w:p w:rsidR="00C700A8" w:rsidRPr="00320630" w:rsidRDefault="00C700A8" w:rsidP="00C700A8">
      <w:pPr>
        <w:numPr>
          <w:ilvl w:val="0"/>
          <w:numId w:val="10"/>
        </w:numPr>
        <w:spacing w:after="120" w:line="276" w:lineRule="auto"/>
        <w:ind w:left="426" w:hanging="284"/>
        <w:jc w:val="both"/>
        <w:rPr>
          <w:rFonts w:cstheme="minorHAnsi"/>
          <w:sz w:val="20"/>
          <w:szCs w:val="20"/>
        </w:rPr>
      </w:pPr>
      <w:r w:rsidRPr="00320630">
        <w:rPr>
          <w:rFonts w:cstheme="minorHAnsi"/>
          <w:sz w:val="20"/>
          <w:szCs w:val="20"/>
        </w:rPr>
        <w:t>zgodzić się pod pewnymi warunkami – jeżeli po ich spełnieniu zrealizowana zostanie właściwa przesłanka;</w:t>
      </w:r>
    </w:p>
    <w:p w:rsidR="00C700A8" w:rsidRPr="00320630" w:rsidRDefault="00C700A8" w:rsidP="00C700A8">
      <w:pPr>
        <w:numPr>
          <w:ilvl w:val="0"/>
          <w:numId w:val="10"/>
        </w:numPr>
        <w:tabs>
          <w:tab w:val="left" w:pos="426"/>
        </w:tabs>
        <w:spacing w:after="120" w:line="276" w:lineRule="auto"/>
        <w:ind w:left="426" w:hanging="284"/>
        <w:jc w:val="both"/>
        <w:rPr>
          <w:rFonts w:cstheme="minorHAnsi"/>
          <w:bCs/>
          <w:sz w:val="20"/>
          <w:szCs w:val="20"/>
        </w:rPr>
      </w:pPr>
      <w:r w:rsidRPr="00320630">
        <w:rPr>
          <w:rFonts w:cstheme="minorHAnsi"/>
          <w:sz w:val="20"/>
          <w:szCs w:val="20"/>
        </w:rPr>
        <w:t xml:space="preserve">wydać tzw. zgodę nadzwyczajną – gdy </w:t>
      </w:r>
      <w:r w:rsidRPr="00320630">
        <w:rPr>
          <w:rFonts w:cstheme="minorHAnsi"/>
          <w:bCs/>
          <w:sz w:val="20"/>
          <w:szCs w:val="20"/>
        </w:rPr>
        <w:t>transakcja, pomimo antykonkurencyjnego skutku, przyczyni się do rozwoju ekonomicznego lub postępu technicznego albo będzie miała pozytywny wpływ na gospodarkę narodową;</w:t>
      </w:r>
    </w:p>
    <w:p w:rsidR="00C700A8" w:rsidRPr="00320630" w:rsidRDefault="00C700A8" w:rsidP="00C700A8">
      <w:pPr>
        <w:numPr>
          <w:ilvl w:val="0"/>
          <w:numId w:val="10"/>
        </w:numPr>
        <w:tabs>
          <w:tab w:val="left" w:pos="426"/>
        </w:tabs>
        <w:spacing w:after="120" w:line="276" w:lineRule="auto"/>
        <w:ind w:left="426" w:hanging="284"/>
        <w:jc w:val="both"/>
        <w:rPr>
          <w:rFonts w:cstheme="minorHAnsi"/>
          <w:sz w:val="20"/>
          <w:szCs w:val="20"/>
        </w:rPr>
      </w:pPr>
      <w:r w:rsidRPr="00320630">
        <w:rPr>
          <w:rFonts w:cstheme="minorHAnsi"/>
          <w:sz w:val="20"/>
          <w:szCs w:val="20"/>
        </w:rPr>
        <w:t>zakazać przeprowadzenia transakcji – jeżeli w jej wyniku konkurencja na rynku zostanie istotnie ograniczona, w szczególności przez powstanie lub umocnienie się pozycji dominującej na rynku.</w:t>
      </w:r>
    </w:p>
    <w:p w:rsidR="00C700A8" w:rsidRPr="00320630" w:rsidRDefault="00C700A8" w:rsidP="00C700A8">
      <w:pPr>
        <w:tabs>
          <w:tab w:val="left" w:pos="709"/>
        </w:tabs>
        <w:spacing w:after="120"/>
        <w:jc w:val="both"/>
        <w:rPr>
          <w:rFonts w:cstheme="minorHAnsi"/>
          <w:sz w:val="20"/>
          <w:szCs w:val="20"/>
        </w:rPr>
      </w:pPr>
      <w:r w:rsidRPr="00320630">
        <w:rPr>
          <w:rFonts w:cstheme="minorHAnsi"/>
          <w:sz w:val="20"/>
          <w:szCs w:val="20"/>
        </w:rPr>
        <w:t xml:space="preserve">Nieudzielenie UOKiK informacji w toku postępowania koncentracyjnego lub przeprowadzenie koncentracji bez uzyskania zgody organu jest zagrożone karą pieniężną w wysokości do 10 proc. przychodu z roku </w:t>
      </w:r>
      <w:r w:rsidRPr="00320630">
        <w:rPr>
          <w:rFonts w:cstheme="minorHAnsi"/>
          <w:sz w:val="20"/>
          <w:szCs w:val="20"/>
        </w:rPr>
        <w:lastRenderedPageBreak/>
        <w:t xml:space="preserve">poprzedzającego. Takie sytuacje zdarzają się jednak bardzo rzadko – w 2015 r. nie nałożono żadnej kary w tym zakresie. </w:t>
      </w:r>
    </w:p>
    <w:p w:rsidR="00C700A8" w:rsidRPr="00320630" w:rsidRDefault="00C700A8" w:rsidP="00C700A8">
      <w:pPr>
        <w:tabs>
          <w:tab w:val="left" w:pos="-3060"/>
        </w:tabs>
        <w:spacing w:after="120"/>
        <w:jc w:val="both"/>
        <w:rPr>
          <w:rFonts w:cstheme="minorHAnsi"/>
          <w:bCs/>
          <w:sz w:val="20"/>
          <w:szCs w:val="20"/>
        </w:rPr>
      </w:pPr>
      <w:r w:rsidRPr="00320630">
        <w:rPr>
          <w:rFonts w:cstheme="minorHAnsi"/>
          <w:bCs/>
          <w:sz w:val="20"/>
          <w:szCs w:val="20"/>
        </w:rPr>
        <w:t xml:space="preserve">Ocena koncentracji dokonywana przez UOKiK dotyczy ich skutków gospodarczych, dlatego istotne znaczenie ma </w:t>
      </w:r>
      <w:r w:rsidRPr="00320630">
        <w:rPr>
          <w:rFonts w:cstheme="minorHAnsi"/>
          <w:b/>
          <w:bCs/>
          <w:sz w:val="20"/>
          <w:szCs w:val="20"/>
        </w:rPr>
        <w:t>analiza ekonomiczna</w:t>
      </w:r>
      <w:r w:rsidRPr="00320630">
        <w:rPr>
          <w:rFonts w:cstheme="minorHAnsi"/>
          <w:bCs/>
          <w:sz w:val="20"/>
          <w:szCs w:val="20"/>
        </w:rPr>
        <w:t xml:space="preserve">. W szczególności rozstrzygnięcie spraw problematycznych – czyli takich, w których następuje istotne zwiększenie koncentracji na rynku – wymaga analizy uwzględniającej wieloaspektowość relacji między podmiotami działającymi na rynku, dynamikę otoczenia konkurencyjnego i rolę barier wejścia na rynek. </w:t>
      </w:r>
    </w:p>
    <w:p w:rsidR="00C700A8" w:rsidRPr="001F58A6" w:rsidRDefault="00C700A8" w:rsidP="001F58A6">
      <w:pPr>
        <w:pStyle w:val="Nagwek1"/>
        <w:numPr>
          <w:ilvl w:val="0"/>
          <w:numId w:val="0"/>
        </w:numPr>
        <w:ind w:left="360" w:hanging="360"/>
      </w:pPr>
      <w:bookmarkStart w:id="54" w:name="_Toc455927452"/>
      <w:bookmarkStart w:id="55" w:name="_Toc455927532"/>
      <w:bookmarkStart w:id="56" w:name="_Toc490807744"/>
      <w:r w:rsidRPr="001F58A6">
        <w:rPr>
          <w:rFonts w:eastAsia="Calibri"/>
        </w:rPr>
        <w:t xml:space="preserve">Rozdział 4. </w:t>
      </w:r>
      <w:r w:rsidRPr="001F58A6">
        <w:t>Prace legislacyjne</w:t>
      </w:r>
      <w:bookmarkEnd w:id="54"/>
      <w:bookmarkEnd w:id="55"/>
      <w:bookmarkEnd w:id="56"/>
    </w:p>
    <w:p w:rsidR="00C700A8" w:rsidRPr="00320630" w:rsidRDefault="00C700A8" w:rsidP="00C700A8">
      <w:pPr>
        <w:spacing w:before="120" w:after="120"/>
        <w:jc w:val="both"/>
        <w:rPr>
          <w:rFonts w:cstheme="minorHAnsi"/>
          <w:sz w:val="20"/>
          <w:szCs w:val="20"/>
        </w:rPr>
      </w:pPr>
      <w:r w:rsidRPr="00320630">
        <w:rPr>
          <w:rFonts w:cstheme="minorHAnsi"/>
          <w:sz w:val="20"/>
          <w:szCs w:val="20"/>
        </w:rPr>
        <w:t xml:space="preserve">Istotnym obszarem działalności UOKiK jest aktywny udział w pracach legislacyjnych. Opiniowanie i współtworzenie rozwiązań prawnych mają na celu budowę systemu prawnego skutecznie chroniącego interesy konsumentów i wspierającego rozwój konkurencji. </w:t>
      </w:r>
    </w:p>
    <w:p w:rsidR="00C700A8" w:rsidRPr="00320630" w:rsidRDefault="00C700A8" w:rsidP="00320630">
      <w:pPr>
        <w:jc w:val="both"/>
        <w:rPr>
          <w:rFonts w:cstheme="minorHAnsi"/>
          <w:sz w:val="20"/>
          <w:szCs w:val="20"/>
        </w:rPr>
      </w:pPr>
      <w:r w:rsidRPr="00320630">
        <w:rPr>
          <w:rFonts w:cstheme="minorHAnsi"/>
          <w:sz w:val="20"/>
          <w:szCs w:val="20"/>
        </w:rPr>
        <w:t>W 2015 r. UOKiK przeanalizował łącznie 1449</w:t>
      </w:r>
      <w:r w:rsidRPr="00320630">
        <w:rPr>
          <w:rFonts w:cstheme="minorHAnsi"/>
          <w:color w:val="FF0000"/>
          <w:sz w:val="20"/>
          <w:szCs w:val="20"/>
        </w:rPr>
        <w:t xml:space="preserve"> </w:t>
      </w:r>
      <w:r w:rsidRPr="00320630">
        <w:rPr>
          <w:rFonts w:cstheme="minorHAnsi"/>
          <w:sz w:val="20"/>
          <w:szCs w:val="20"/>
        </w:rPr>
        <w:t>projektów i stanowisk do projektów sejmowych, by zaopiniować je pod względem potencjalnego wpływu na konkurencję i sytuację konsumentów.</w:t>
      </w:r>
    </w:p>
    <w:p w:rsidR="00C700A8" w:rsidRPr="00320630" w:rsidRDefault="009F1DC0" w:rsidP="00320630">
      <w:pPr>
        <w:pStyle w:val="Nagwek2"/>
        <w:rPr>
          <w:rFonts w:asciiTheme="minorHAnsi" w:hAnsiTheme="minorHAnsi" w:cstheme="minorHAnsi"/>
          <w:sz w:val="20"/>
          <w:szCs w:val="20"/>
        </w:rPr>
      </w:pPr>
      <w:bookmarkStart w:id="57" w:name="_Toc455927453"/>
      <w:bookmarkStart w:id="58" w:name="_Toc455927533"/>
      <w:bookmarkStart w:id="59" w:name="_Toc490807745"/>
      <w:r>
        <w:rPr>
          <w:rFonts w:asciiTheme="minorHAnsi" w:hAnsiTheme="minorHAnsi" w:cstheme="minorHAnsi"/>
          <w:sz w:val="20"/>
          <w:szCs w:val="20"/>
        </w:rPr>
        <w:t>1</w:t>
      </w:r>
      <w:r w:rsidR="00C700A8" w:rsidRPr="00320630">
        <w:rPr>
          <w:rFonts w:asciiTheme="minorHAnsi" w:hAnsiTheme="minorHAnsi" w:cstheme="minorHAnsi"/>
          <w:sz w:val="20"/>
          <w:szCs w:val="20"/>
        </w:rPr>
        <w:t>.1. Prace legislacyjne prowadzone z inicjatywy UOKiK</w:t>
      </w:r>
      <w:bookmarkEnd w:id="57"/>
      <w:bookmarkEnd w:id="58"/>
      <w:bookmarkEnd w:id="59"/>
    </w:p>
    <w:p w:rsidR="00C700A8" w:rsidRPr="00320630" w:rsidRDefault="00C700A8" w:rsidP="00C700A8">
      <w:pPr>
        <w:tabs>
          <w:tab w:val="left" w:pos="540"/>
          <w:tab w:val="left" w:pos="709"/>
        </w:tabs>
        <w:spacing w:before="120" w:after="120"/>
        <w:jc w:val="both"/>
        <w:rPr>
          <w:rFonts w:cstheme="minorHAnsi"/>
          <w:sz w:val="20"/>
          <w:szCs w:val="20"/>
        </w:rPr>
      </w:pPr>
      <w:r w:rsidRPr="00320630">
        <w:rPr>
          <w:rFonts w:cstheme="minorHAnsi"/>
          <w:sz w:val="20"/>
          <w:szCs w:val="20"/>
        </w:rPr>
        <w:t xml:space="preserve">Z inicjatywy Urzędu </w:t>
      </w:r>
      <w:r w:rsidRPr="00320630">
        <w:rPr>
          <w:rFonts w:cstheme="minorHAnsi"/>
          <w:b/>
          <w:sz w:val="20"/>
          <w:szCs w:val="20"/>
        </w:rPr>
        <w:t xml:space="preserve">w 2015 r. zainicjowano prace legislacyjne </w:t>
      </w:r>
      <w:r w:rsidRPr="00320630">
        <w:rPr>
          <w:rFonts w:cstheme="minorHAnsi"/>
          <w:sz w:val="20"/>
          <w:szCs w:val="20"/>
        </w:rPr>
        <w:t>nad projektami:</w:t>
      </w:r>
    </w:p>
    <w:p w:rsidR="00C700A8" w:rsidRPr="00320630" w:rsidRDefault="00C700A8" w:rsidP="00C700A8">
      <w:pPr>
        <w:pStyle w:val="Akapitzlist"/>
        <w:numPr>
          <w:ilvl w:val="0"/>
          <w:numId w:val="11"/>
        </w:numPr>
        <w:tabs>
          <w:tab w:val="left" w:pos="540"/>
          <w:tab w:val="left" w:pos="709"/>
        </w:tabs>
        <w:spacing w:before="120" w:after="120" w:line="276" w:lineRule="auto"/>
        <w:jc w:val="both"/>
        <w:rPr>
          <w:rFonts w:cstheme="minorHAnsi"/>
          <w:sz w:val="20"/>
          <w:szCs w:val="20"/>
        </w:rPr>
      </w:pPr>
      <w:r w:rsidRPr="00320630">
        <w:rPr>
          <w:rFonts w:cstheme="minorHAnsi"/>
          <w:sz w:val="20"/>
          <w:szCs w:val="20"/>
        </w:rPr>
        <w:t>ustawy o zmianie ustawy o ochronie konkurencji i konsumentów oraz ustawy – Kodeks postępowania cywilnego (nowelizacja przepisów z obszaru ochrony konsumentów);</w:t>
      </w:r>
    </w:p>
    <w:p w:rsidR="00C700A8" w:rsidRPr="00320630" w:rsidRDefault="00C700A8" w:rsidP="00C700A8">
      <w:pPr>
        <w:pStyle w:val="Akapitzlist"/>
        <w:numPr>
          <w:ilvl w:val="0"/>
          <w:numId w:val="11"/>
        </w:numPr>
        <w:tabs>
          <w:tab w:val="left" w:pos="540"/>
          <w:tab w:val="left" w:pos="709"/>
        </w:tabs>
        <w:spacing w:before="120" w:after="120" w:line="276" w:lineRule="auto"/>
        <w:jc w:val="both"/>
        <w:rPr>
          <w:rFonts w:cstheme="minorHAnsi"/>
          <w:sz w:val="20"/>
          <w:szCs w:val="20"/>
        </w:rPr>
      </w:pPr>
      <w:r w:rsidRPr="00320630">
        <w:rPr>
          <w:rFonts w:cstheme="minorHAnsi"/>
          <w:sz w:val="20"/>
          <w:szCs w:val="20"/>
        </w:rPr>
        <w:t>założeń do ustawy o zmianie ustawy o kredycie konsumenckim;</w:t>
      </w:r>
    </w:p>
    <w:p w:rsidR="00C700A8" w:rsidRPr="00320630" w:rsidRDefault="00C700A8" w:rsidP="00C700A8">
      <w:pPr>
        <w:pStyle w:val="Akapitzlist"/>
        <w:numPr>
          <w:ilvl w:val="0"/>
          <w:numId w:val="11"/>
        </w:numPr>
        <w:tabs>
          <w:tab w:val="left" w:pos="540"/>
          <w:tab w:val="left" w:pos="709"/>
        </w:tabs>
        <w:spacing w:before="120" w:after="120" w:line="276" w:lineRule="auto"/>
        <w:jc w:val="both"/>
        <w:rPr>
          <w:rFonts w:cstheme="minorHAnsi"/>
          <w:sz w:val="20"/>
          <w:szCs w:val="20"/>
        </w:rPr>
      </w:pPr>
      <w:r w:rsidRPr="00320630">
        <w:rPr>
          <w:rFonts w:cstheme="minorHAnsi"/>
          <w:sz w:val="20"/>
          <w:szCs w:val="20"/>
        </w:rPr>
        <w:t>rozporządzenia Rady Ministrów w sprawie wyłączenia niektórych rodzajów porozumień dotyczących transferu technologii spod zakazu porozumień ograniczających konkurencję;</w:t>
      </w:r>
    </w:p>
    <w:p w:rsidR="00C700A8" w:rsidRPr="00320630" w:rsidRDefault="00C700A8" w:rsidP="00C700A8">
      <w:pPr>
        <w:pStyle w:val="Akapitzlist"/>
        <w:numPr>
          <w:ilvl w:val="0"/>
          <w:numId w:val="11"/>
        </w:numPr>
        <w:tabs>
          <w:tab w:val="left" w:pos="540"/>
          <w:tab w:val="left" w:pos="709"/>
        </w:tabs>
        <w:spacing w:before="120" w:after="120" w:line="276" w:lineRule="auto"/>
        <w:jc w:val="both"/>
        <w:rPr>
          <w:rFonts w:cstheme="minorHAnsi"/>
          <w:sz w:val="20"/>
          <w:szCs w:val="20"/>
        </w:rPr>
      </w:pPr>
      <w:r w:rsidRPr="00320630">
        <w:rPr>
          <w:rFonts w:cstheme="minorHAnsi"/>
          <w:sz w:val="20"/>
          <w:szCs w:val="20"/>
        </w:rPr>
        <w:t>rozporządzenia Rady Ministrów zmieniającego rozporządzenie w sprawie sprawozdań o udzielonej pomocy publicznej, informacji o nieudzieleniu takiej pomocy oraz sprawozdań o zaległościach przedsiębiorców we wpłatach świadczeń należnych na rzecz sektora finansów publicznych;</w:t>
      </w:r>
    </w:p>
    <w:p w:rsidR="00C700A8" w:rsidRPr="00320630" w:rsidRDefault="00C700A8" w:rsidP="00C700A8">
      <w:pPr>
        <w:pStyle w:val="Akapitzlist"/>
        <w:numPr>
          <w:ilvl w:val="0"/>
          <w:numId w:val="11"/>
        </w:numPr>
        <w:tabs>
          <w:tab w:val="left" w:pos="540"/>
          <w:tab w:val="left" w:pos="709"/>
        </w:tabs>
        <w:spacing w:before="120" w:after="120" w:line="276" w:lineRule="auto"/>
        <w:jc w:val="both"/>
        <w:rPr>
          <w:rFonts w:cstheme="minorHAnsi"/>
          <w:sz w:val="20"/>
          <w:szCs w:val="20"/>
        </w:rPr>
      </w:pPr>
      <w:r w:rsidRPr="00320630">
        <w:rPr>
          <w:rFonts w:cstheme="minorHAnsi"/>
          <w:sz w:val="20"/>
          <w:szCs w:val="20"/>
        </w:rPr>
        <w:t xml:space="preserve">rozporządzenia Rady Ministrów zmieniającego rozporządzenie w sprawie zakresu informacji przedstawianych przez podmiot ubiegający się o pomoc inną niż pomoc </w:t>
      </w:r>
      <w:r w:rsidRPr="00320630">
        <w:rPr>
          <w:rFonts w:cstheme="minorHAnsi"/>
          <w:i/>
          <w:sz w:val="20"/>
          <w:szCs w:val="20"/>
        </w:rPr>
        <w:t>de minimis</w:t>
      </w:r>
      <w:r w:rsidRPr="00320630">
        <w:rPr>
          <w:rFonts w:cstheme="minorHAnsi"/>
          <w:sz w:val="20"/>
          <w:szCs w:val="20"/>
        </w:rPr>
        <w:t xml:space="preserve"> lub pomoc </w:t>
      </w:r>
      <w:r w:rsidRPr="00320630">
        <w:rPr>
          <w:rFonts w:cstheme="minorHAnsi"/>
          <w:i/>
          <w:sz w:val="20"/>
          <w:szCs w:val="20"/>
        </w:rPr>
        <w:t>de minimis</w:t>
      </w:r>
      <w:r w:rsidRPr="00320630">
        <w:rPr>
          <w:rFonts w:cstheme="minorHAnsi"/>
          <w:sz w:val="20"/>
          <w:szCs w:val="20"/>
        </w:rPr>
        <w:t xml:space="preserve"> w rolnictwie lub rybołówstwie.</w:t>
      </w:r>
    </w:p>
    <w:p w:rsidR="00C700A8" w:rsidRPr="00320630" w:rsidRDefault="00C700A8" w:rsidP="00C700A8">
      <w:pPr>
        <w:tabs>
          <w:tab w:val="left" w:pos="540"/>
          <w:tab w:val="left" w:pos="709"/>
        </w:tabs>
        <w:spacing w:before="120" w:after="120"/>
        <w:jc w:val="both"/>
        <w:rPr>
          <w:rFonts w:cstheme="minorHAnsi"/>
          <w:b/>
          <w:sz w:val="20"/>
          <w:szCs w:val="20"/>
        </w:rPr>
      </w:pPr>
      <w:r w:rsidRPr="00320630">
        <w:rPr>
          <w:rFonts w:cstheme="minorHAnsi"/>
          <w:b/>
          <w:sz w:val="20"/>
          <w:szCs w:val="20"/>
        </w:rPr>
        <w:t>Projekt ustawy o zmianie ustawy o ochronie konkurencji i konsumentów oraz ustawy – Kodeks postępowania cywilnego (nowelizacja przepisów z obszaru ochrony konsumentów)</w:t>
      </w:r>
      <w:r w:rsidRPr="00320630">
        <w:rPr>
          <w:rStyle w:val="Odwoanieprzypisudolnego"/>
          <w:rFonts w:cstheme="minorHAnsi"/>
          <w:sz w:val="20"/>
          <w:szCs w:val="20"/>
        </w:rPr>
        <w:footnoteReference w:id="33"/>
      </w:r>
    </w:p>
    <w:p w:rsidR="00C700A8" w:rsidRPr="00320630" w:rsidRDefault="00C700A8" w:rsidP="00C700A8">
      <w:pPr>
        <w:tabs>
          <w:tab w:val="left" w:pos="540"/>
          <w:tab w:val="left" w:pos="709"/>
        </w:tabs>
        <w:spacing w:before="120" w:after="120"/>
        <w:jc w:val="both"/>
        <w:rPr>
          <w:rFonts w:cstheme="minorHAnsi"/>
          <w:sz w:val="20"/>
          <w:szCs w:val="20"/>
        </w:rPr>
      </w:pPr>
      <w:r w:rsidRPr="00320630">
        <w:rPr>
          <w:rFonts w:cstheme="minorHAnsi"/>
          <w:sz w:val="20"/>
          <w:szCs w:val="20"/>
        </w:rPr>
        <w:t>Celem projektu było zapewnienie większej skuteczności ochrony interesów konsumentów, w tym szybsze eliminowanie niedozwolonych praktyk i usprawnienie systemu kontroli postanowień wzorców umów zawieranych z konsumentami.</w:t>
      </w:r>
    </w:p>
    <w:p w:rsidR="00C700A8" w:rsidRPr="00320630" w:rsidRDefault="00C700A8" w:rsidP="00C700A8">
      <w:pPr>
        <w:tabs>
          <w:tab w:val="left" w:pos="540"/>
          <w:tab w:val="left" w:pos="709"/>
        </w:tabs>
        <w:spacing w:before="120" w:after="120"/>
        <w:jc w:val="both"/>
        <w:rPr>
          <w:rFonts w:cstheme="minorHAnsi"/>
          <w:sz w:val="20"/>
          <w:szCs w:val="20"/>
        </w:rPr>
      </w:pPr>
      <w:r w:rsidRPr="00320630">
        <w:rPr>
          <w:rFonts w:cstheme="minorHAnsi"/>
          <w:sz w:val="20"/>
          <w:szCs w:val="20"/>
        </w:rPr>
        <w:t>Znowelizowane przepisy dotyczą w szczególności wprowadzenia:</w:t>
      </w:r>
    </w:p>
    <w:p w:rsidR="00C700A8" w:rsidRPr="00320630" w:rsidRDefault="00C700A8" w:rsidP="00C700A8">
      <w:pPr>
        <w:pStyle w:val="Akapitzlist"/>
        <w:numPr>
          <w:ilvl w:val="0"/>
          <w:numId w:val="12"/>
        </w:numPr>
        <w:tabs>
          <w:tab w:val="left" w:pos="540"/>
          <w:tab w:val="left" w:pos="709"/>
        </w:tabs>
        <w:spacing w:before="120" w:after="120" w:line="276" w:lineRule="auto"/>
        <w:jc w:val="both"/>
        <w:rPr>
          <w:rFonts w:cstheme="minorHAnsi"/>
          <w:sz w:val="20"/>
          <w:szCs w:val="20"/>
        </w:rPr>
      </w:pPr>
      <w:r w:rsidRPr="00320630">
        <w:rPr>
          <w:rFonts w:cstheme="minorHAnsi"/>
          <w:sz w:val="20"/>
          <w:szCs w:val="20"/>
        </w:rPr>
        <w:t>zakazu proponowania konsumentom nabycia usług finansowych, które nie odpowiadają ich potrzebom, oraz proponowania nabycia tych usług w sposób nieadekwatny do ich charakteru. Umożliwi to lepszą ochronę konsumentów na rynku usług finansowych;</w:t>
      </w:r>
    </w:p>
    <w:sectPr w:rsidR="00C700A8" w:rsidRPr="0032063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7E" w:rsidRDefault="0087027E" w:rsidP="00B2710D">
      <w:pPr>
        <w:spacing w:after="0" w:line="240" w:lineRule="auto"/>
      </w:pPr>
      <w:r>
        <w:separator/>
      </w:r>
    </w:p>
  </w:endnote>
  <w:endnote w:type="continuationSeparator" w:id="0">
    <w:p w:rsidR="0087027E" w:rsidRDefault="0087027E" w:rsidP="00B2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90464"/>
      <w:docPartObj>
        <w:docPartGallery w:val="Page Numbers (Bottom of Page)"/>
        <w:docPartUnique/>
      </w:docPartObj>
    </w:sdtPr>
    <w:sdtEndPr/>
    <w:sdtContent>
      <w:p w:rsidR="00192C50" w:rsidRDefault="00192C50">
        <w:pPr>
          <w:pStyle w:val="Stopka"/>
          <w:jc w:val="right"/>
        </w:pPr>
        <w:r>
          <w:fldChar w:fldCharType="begin"/>
        </w:r>
        <w:r>
          <w:instrText>PAGE   \* MERGEFORMAT</w:instrText>
        </w:r>
        <w:r>
          <w:fldChar w:fldCharType="separate"/>
        </w:r>
        <w:r w:rsidR="00010F35">
          <w:rPr>
            <w:noProof/>
          </w:rPr>
          <w:t>1</w:t>
        </w:r>
        <w:r>
          <w:fldChar w:fldCharType="end"/>
        </w:r>
      </w:p>
    </w:sdtContent>
  </w:sdt>
  <w:p w:rsidR="00192C50" w:rsidRDefault="00192C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7E" w:rsidRDefault="0087027E" w:rsidP="00B2710D">
      <w:pPr>
        <w:spacing w:after="0" w:line="240" w:lineRule="auto"/>
      </w:pPr>
      <w:r>
        <w:separator/>
      </w:r>
    </w:p>
  </w:footnote>
  <w:footnote w:type="continuationSeparator" w:id="0">
    <w:p w:rsidR="0087027E" w:rsidRDefault="0087027E" w:rsidP="00B2710D">
      <w:pPr>
        <w:spacing w:after="0" w:line="240" w:lineRule="auto"/>
      </w:pPr>
      <w:r>
        <w:continuationSeparator/>
      </w:r>
    </w:p>
  </w:footnote>
  <w:footnote w:id="1">
    <w:p w:rsidR="00192C50" w:rsidRPr="001E35B0" w:rsidRDefault="00192C50" w:rsidP="00A66A2B">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Badanie prowadzono na przełomie 2014 i 2015 r. W styczniu zrealizowano badanie ilościowe.</w:t>
      </w:r>
    </w:p>
  </w:footnote>
  <w:footnote w:id="2">
    <w:p w:rsidR="00192C50" w:rsidRPr="001E35B0" w:rsidRDefault="00192C50" w:rsidP="00606666">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Wszczęcie postępowania w sprawie praktyk naruszających zbiorowe interesy konsumentów następuje wyłącznie z urzędu.</w:t>
      </w:r>
    </w:p>
  </w:footnote>
  <w:footnote w:id="3">
    <w:p w:rsidR="00192C50" w:rsidRPr="002C2FD6" w:rsidRDefault="00192C50" w:rsidP="00606666">
      <w:pPr>
        <w:pStyle w:val="Tekstkomentarza"/>
        <w:jc w:val="both"/>
        <w:rPr>
          <w:lang w:val="pl-PL"/>
        </w:rPr>
      </w:pPr>
      <w:r w:rsidRPr="001E35B0">
        <w:rPr>
          <w:rStyle w:val="Odwoanieprzypisudolnego"/>
          <w:rFonts w:cs="Arial"/>
          <w:sz w:val="16"/>
          <w:szCs w:val="16"/>
        </w:rPr>
        <w:footnoteRef/>
      </w:r>
      <w:r w:rsidRPr="001E35B0">
        <w:rPr>
          <w:rFonts w:cs="Arial"/>
          <w:sz w:val="16"/>
          <w:szCs w:val="16"/>
        </w:rPr>
        <w:t xml:space="preserve"> Statystyka obejmuje postępowania w sprawie nałożenia kary na przedsiębiorców za niewykonanie lub zwłokę w wykonaniu decyzji, za nieudzielenie </w:t>
      </w:r>
      <w:r w:rsidRPr="002C2FD6">
        <w:rPr>
          <w:sz w:val="16"/>
          <w:szCs w:val="16"/>
          <w:lang w:val="pl-PL"/>
        </w:rPr>
        <w:t>UOKiK żądanych informacji lub udzielenie informacji nieprawdziwych bądź wprowadzających w błąd</w:t>
      </w:r>
      <w:r w:rsidRPr="001E35B0">
        <w:rPr>
          <w:rFonts w:cs="Arial"/>
          <w:sz w:val="16"/>
          <w:szCs w:val="16"/>
        </w:rPr>
        <w:t xml:space="preserve">, za brak współdziałania w toku kontroli. </w:t>
      </w:r>
    </w:p>
  </w:footnote>
  <w:footnote w:id="4">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Statystyka obejmuje postępowania w sprawie nałożenia kary na przedsiębiorców za niewykonanie lub zwłokę w wykonaniu decyzji, za nieudzielenie </w:t>
      </w:r>
      <w:r w:rsidRPr="002C2FD6">
        <w:rPr>
          <w:sz w:val="16"/>
          <w:szCs w:val="16"/>
          <w:lang w:val="pl-PL"/>
        </w:rPr>
        <w:t>UOKiK żądanych informacji lub udzielenie informacji nieprawdziwych bądź wprowadzających w błąd</w:t>
      </w:r>
      <w:r w:rsidRPr="001E35B0">
        <w:rPr>
          <w:rFonts w:cs="Arial"/>
          <w:sz w:val="16"/>
          <w:szCs w:val="16"/>
        </w:rPr>
        <w:t xml:space="preserve">, za brak współdziałania w toku kontroli. </w:t>
      </w:r>
    </w:p>
  </w:footnote>
  <w:footnote w:id="5">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Statystyka obejmuje postępowania w sprawie nałożenia kary na przedsiębiorców za niewykonanie lub zwłokę w wykonaniu decyzji, za nieudzielenie </w:t>
      </w:r>
      <w:r w:rsidRPr="002C2FD6">
        <w:rPr>
          <w:sz w:val="16"/>
          <w:szCs w:val="16"/>
          <w:lang w:val="pl-PL"/>
        </w:rPr>
        <w:t>UOKiK żądanych informacji lub udzielenie informacji nieprawdziwych bądź wprowadzających w błąd</w:t>
      </w:r>
      <w:r w:rsidRPr="001E35B0">
        <w:rPr>
          <w:rFonts w:cs="Arial"/>
          <w:sz w:val="16"/>
          <w:szCs w:val="16"/>
        </w:rPr>
        <w:t xml:space="preserve">, za brak współdziałania w toku kontroli. </w:t>
      </w:r>
    </w:p>
  </w:footnote>
  <w:footnote w:id="6">
    <w:p w:rsidR="00192C50" w:rsidRPr="001E35B0" w:rsidRDefault="00192C50" w:rsidP="00606666">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Podana liczba dotyczy postępowań wszczętych także na podstawie zawiadomień z lat poprzednich.</w:t>
      </w:r>
    </w:p>
  </w:footnote>
  <w:footnote w:id="7">
    <w:p w:rsidR="00192C50" w:rsidRPr="001E35B0" w:rsidRDefault="00192C50" w:rsidP="00606666">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Decyzja </w:t>
      </w:r>
      <w:hyperlink r:id="rId1" w:history="1">
        <w:r w:rsidRPr="001E35B0">
          <w:rPr>
            <w:rStyle w:val="Hipercze"/>
            <w:rFonts w:cs="Arial"/>
            <w:sz w:val="16"/>
            <w:szCs w:val="16"/>
          </w:rPr>
          <w:t>RKT</w:t>
        </w:r>
        <w:r w:rsidRPr="001E35B0">
          <w:rPr>
            <w:rStyle w:val="Hipercze"/>
            <w:rFonts w:cs="Arial"/>
            <w:sz w:val="16"/>
            <w:szCs w:val="16"/>
            <w:lang w:val="pl-PL"/>
          </w:rPr>
          <w:t>-</w:t>
        </w:r>
        <w:r w:rsidRPr="001E35B0">
          <w:rPr>
            <w:rStyle w:val="Hipercze"/>
            <w:rFonts w:cs="Arial"/>
            <w:sz w:val="16"/>
            <w:szCs w:val="16"/>
          </w:rPr>
          <w:t>10/2015</w:t>
        </w:r>
      </w:hyperlink>
      <w:r w:rsidRPr="001E35B0">
        <w:rPr>
          <w:rStyle w:val="Hipercze"/>
          <w:rFonts w:cs="Arial"/>
          <w:sz w:val="16"/>
          <w:szCs w:val="16"/>
          <w:lang w:val="pl-PL"/>
        </w:rPr>
        <w:t>.</w:t>
      </w:r>
    </w:p>
  </w:footnote>
  <w:footnote w:id="8">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 </w:t>
      </w:r>
      <w:hyperlink r:id="rId2" w:history="1">
        <w:r w:rsidRPr="001E35B0">
          <w:rPr>
            <w:rStyle w:val="Hipercze"/>
            <w:rFonts w:cs="Arial"/>
            <w:sz w:val="16"/>
            <w:szCs w:val="16"/>
          </w:rPr>
          <w:t>R</w:t>
        </w:r>
        <w:r w:rsidRPr="001E35B0">
          <w:rPr>
            <w:rStyle w:val="Hipercze"/>
            <w:rFonts w:cs="Arial"/>
            <w:sz w:val="16"/>
            <w:szCs w:val="16"/>
            <w:lang w:val="pl-PL"/>
          </w:rPr>
          <w:t>BG</w:t>
        </w:r>
        <w:r w:rsidRPr="001E35B0">
          <w:rPr>
            <w:rStyle w:val="Hipercze"/>
            <w:rFonts w:cs="Arial"/>
            <w:sz w:val="16"/>
            <w:szCs w:val="16"/>
          </w:rPr>
          <w:t xml:space="preserve"> </w:t>
        </w:r>
        <w:r w:rsidRPr="001E35B0">
          <w:rPr>
            <w:rStyle w:val="Hipercze"/>
            <w:rFonts w:cs="Arial"/>
            <w:sz w:val="16"/>
            <w:szCs w:val="16"/>
            <w:lang w:val="pl-PL"/>
          </w:rPr>
          <w:t>-</w:t>
        </w:r>
        <w:r w:rsidRPr="001E35B0">
          <w:rPr>
            <w:rStyle w:val="Hipercze"/>
            <w:rFonts w:cs="Arial"/>
            <w:sz w:val="16"/>
            <w:szCs w:val="16"/>
          </w:rPr>
          <w:t>11/2015</w:t>
        </w:r>
      </w:hyperlink>
      <w:r w:rsidRPr="001E35B0">
        <w:rPr>
          <w:rStyle w:val="Hipercze"/>
          <w:rFonts w:cs="Arial"/>
          <w:sz w:val="16"/>
          <w:szCs w:val="16"/>
          <w:lang w:val="pl-PL"/>
        </w:rPr>
        <w:t>.</w:t>
      </w:r>
    </w:p>
  </w:footnote>
  <w:footnote w:id="9">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w:t>
      </w:r>
      <w:r w:rsidRPr="001E35B0">
        <w:rPr>
          <w:rFonts w:cs="Arial"/>
          <w:sz w:val="16"/>
          <w:szCs w:val="16"/>
          <w:lang w:val="pl-PL"/>
        </w:rPr>
        <w:t xml:space="preserve"> </w:t>
      </w:r>
      <w:hyperlink r:id="rId3" w:history="1">
        <w:r w:rsidRPr="001E35B0">
          <w:rPr>
            <w:rStyle w:val="Hipercze"/>
            <w:rFonts w:cs="Arial"/>
            <w:sz w:val="16"/>
            <w:szCs w:val="16"/>
          </w:rPr>
          <w:t>RKR</w:t>
        </w:r>
        <w:r w:rsidRPr="001E35B0">
          <w:rPr>
            <w:rStyle w:val="Hipercze"/>
            <w:rFonts w:cs="Arial"/>
            <w:sz w:val="16"/>
            <w:szCs w:val="16"/>
            <w:lang w:val="pl-PL"/>
          </w:rPr>
          <w:t>-</w:t>
        </w:r>
        <w:r w:rsidRPr="001E35B0">
          <w:rPr>
            <w:rStyle w:val="Hipercze"/>
            <w:rFonts w:cs="Arial"/>
            <w:sz w:val="16"/>
            <w:szCs w:val="16"/>
          </w:rPr>
          <w:t>10/2015</w:t>
        </w:r>
      </w:hyperlink>
      <w:r w:rsidRPr="001E35B0">
        <w:rPr>
          <w:rStyle w:val="Hipercze"/>
          <w:rFonts w:cs="Arial"/>
          <w:sz w:val="16"/>
          <w:szCs w:val="16"/>
          <w:lang w:val="pl-PL"/>
        </w:rPr>
        <w:t>.</w:t>
      </w:r>
    </w:p>
  </w:footnote>
  <w:footnote w:id="10">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 </w:t>
      </w:r>
      <w:hyperlink r:id="rId4" w:history="1">
        <w:r w:rsidRPr="001E35B0">
          <w:rPr>
            <w:rStyle w:val="Hipercze"/>
            <w:rFonts w:cs="Arial"/>
            <w:sz w:val="16"/>
            <w:szCs w:val="16"/>
          </w:rPr>
          <w:t>RŁO</w:t>
        </w:r>
        <w:r w:rsidRPr="001E35B0">
          <w:rPr>
            <w:rStyle w:val="Hipercze"/>
            <w:rFonts w:cs="Arial"/>
            <w:sz w:val="16"/>
            <w:szCs w:val="16"/>
            <w:lang w:val="pl-PL"/>
          </w:rPr>
          <w:t>-</w:t>
        </w:r>
        <w:r w:rsidRPr="001E35B0">
          <w:rPr>
            <w:rStyle w:val="Hipercze"/>
            <w:rFonts w:cs="Arial"/>
            <w:sz w:val="16"/>
            <w:szCs w:val="16"/>
          </w:rPr>
          <w:t>8/</w:t>
        </w:r>
        <w:r w:rsidRPr="001E35B0">
          <w:rPr>
            <w:rStyle w:val="Hipercze"/>
            <w:rFonts w:cs="Arial"/>
            <w:sz w:val="16"/>
            <w:szCs w:val="16"/>
            <w:lang w:val="pl-PL"/>
          </w:rPr>
          <w:t>20</w:t>
        </w:r>
        <w:r w:rsidRPr="001E35B0">
          <w:rPr>
            <w:rStyle w:val="Hipercze"/>
            <w:rFonts w:cs="Arial"/>
            <w:sz w:val="16"/>
            <w:szCs w:val="16"/>
          </w:rPr>
          <w:t>15</w:t>
        </w:r>
      </w:hyperlink>
      <w:r w:rsidRPr="001E35B0">
        <w:rPr>
          <w:rStyle w:val="Hipercze"/>
          <w:rFonts w:cs="Arial"/>
          <w:sz w:val="16"/>
          <w:szCs w:val="16"/>
          <w:lang w:val="pl-PL"/>
        </w:rPr>
        <w:t>.</w:t>
      </w:r>
    </w:p>
  </w:footnote>
  <w:footnote w:id="11">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w:t>
      </w:r>
      <w:r w:rsidRPr="001E35B0">
        <w:rPr>
          <w:rFonts w:cs="Arial"/>
          <w:sz w:val="16"/>
          <w:szCs w:val="16"/>
          <w:lang w:val="pl-PL"/>
        </w:rPr>
        <w:t xml:space="preserve"> </w:t>
      </w:r>
      <w:hyperlink r:id="rId5" w:history="1">
        <w:r w:rsidRPr="001E35B0">
          <w:rPr>
            <w:rStyle w:val="Hipercze"/>
            <w:rFonts w:cs="Arial"/>
            <w:sz w:val="16"/>
            <w:szCs w:val="16"/>
          </w:rPr>
          <w:t>RLU</w:t>
        </w:r>
        <w:r w:rsidRPr="001E35B0">
          <w:rPr>
            <w:rStyle w:val="Hipercze"/>
            <w:rFonts w:cs="Arial"/>
            <w:sz w:val="16"/>
            <w:szCs w:val="16"/>
            <w:lang w:val="pl-PL"/>
          </w:rPr>
          <w:t>-</w:t>
        </w:r>
        <w:r w:rsidRPr="001E35B0">
          <w:rPr>
            <w:rStyle w:val="Hipercze"/>
            <w:rFonts w:cs="Arial"/>
            <w:sz w:val="16"/>
            <w:szCs w:val="16"/>
          </w:rPr>
          <w:t>4/2015</w:t>
        </w:r>
      </w:hyperlink>
      <w:r w:rsidRPr="001E35B0">
        <w:rPr>
          <w:rStyle w:val="Hipercze"/>
          <w:rFonts w:cs="Arial"/>
          <w:sz w:val="16"/>
          <w:szCs w:val="16"/>
          <w:lang w:val="pl-PL"/>
        </w:rPr>
        <w:t>.</w:t>
      </w:r>
    </w:p>
  </w:footnote>
  <w:footnote w:id="12">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w:t>
      </w:r>
      <w:r w:rsidRPr="001E35B0">
        <w:rPr>
          <w:rFonts w:cs="Arial"/>
          <w:sz w:val="16"/>
          <w:szCs w:val="16"/>
          <w:lang w:val="pl-PL"/>
        </w:rPr>
        <w:t xml:space="preserve"> </w:t>
      </w:r>
      <w:hyperlink r:id="rId6" w:history="1">
        <w:r w:rsidRPr="001E35B0">
          <w:rPr>
            <w:rStyle w:val="Hipercze"/>
            <w:rFonts w:cs="Arial"/>
            <w:sz w:val="16"/>
            <w:szCs w:val="16"/>
            <w:lang w:val="pl-PL"/>
          </w:rPr>
          <w:t>RPZ-</w:t>
        </w:r>
        <w:r w:rsidRPr="001E35B0">
          <w:rPr>
            <w:rStyle w:val="Hipercze"/>
            <w:rFonts w:cs="Arial"/>
            <w:sz w:val="16"/>
            <w:szCs w:val="16"/>
          </w:rPr>
          <w:t>11/2015</w:t>
        </w:r>
      </w:hyperlink>
      <w:r w:rsidRPr="001E35B0">
        <w:rPr>
          <w:rStyle w:val="Hipercze"/>
          <w:rFonts w:cs="Arial"/>
          <w:sz w:val="16"/>
          <w:szCs w:val="16"/>
          <w:lang w:val="pl-PL"/>
        </w:rPr>
        <w:t>.</w:t>
      </w:r>
    </w:p>
  </w:footnote>
  <w:footnote w:id="13">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w:t>
      </w:r>
      <w:r w:rsidRPr="001E35B0">
        <w:rPr>
          <w:rFonts w:cs="Arial"/>
          <w:sz w:val="16"/>
          <w:szCs w:val="16"/>
          <w:lang w:val="pl-PL"/>
        </w:rPr>
        <w:t xml:space="preserve"> </w:t>
      </w:r>
      <w:hyperlink r:id="rId7" w:history="1">
        <w:r w:rsidRPr="001E35B0">
          <w:rPr>
            <w:rStyle w:val="Hipercze"/>
            <w:rFonts w:cs="Arial"/>
            <w:sz w:val="16"/>
            <w:szCs w:val="16"/>
          </w:rPr>
          <w:t>RWR</w:t>
        </w:r>
        <w:r w:rsidRPr="001E35B0">
          <w:rPr>
            <w:rStyle w:val="Hipercze"/>
            <w:rFonts w:cs="Arial"/>
            <w:sz w:val="16"/>
            <w:szCs w:val="16"/>
            <w:lang w:val="pl-PL"/>
          </w:rPr>
          <w:t>-</w:t>
        </w:r>
        <w:r w:rsidRPr="001E35B0">
          <w:rPr>
            <w:rStyle w:val="Hipercze"/>
            <w:rFonts w:cs="Arial"/>
            <w:sz w:val="16"/>
            <w:szCs w:val="16"/>
          </w:rPr>
          <w:t>18/2015</w:t>
        </w:r>
      </w:hyperlink>
      <w:r w:rsidRPr="001E35B0">
        <w:rPr>
          <w:rStyle w:val="Hipercze"/>
          <w:rFonts w:cs="Arial"/>
          <w:sz w:val="16"/>
          <w:szCs w:val="16"/>
          <w:lang w:val="pl-PL"/>
        </w:rPr>
        <w:t>.</w:t>
      </w:r>
    </w:p>
  </w:footnote>
  <w:footnote w:id="14">
    <w:p w:rsidR="00192C50" w:rsidRPr="001E35B0" w:rsidRDefault="00192C50" w:rsidP="00606666">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Decyzja</w:t>
      </w:r>
      <w:r w:rsidRPr="001E35B0">
        <w:rPr>
          <w:rFonts w:cs="Arial"/>
          <w:sz w:val="16"/>
          <w:szCs w:val="16"/>
          <w:lang w:val="pl-PL"/>
        </w:rPr>
        <w:t xml:space="preserve"> </w:t>
      </w:r>
      <w:hyperlink r:id="rId8" w:history="1">
        <w:r w:rsidRPr="001E35B0">
          <w:rPr>
            <w:rStyle w:val="Hipercze"/>
            <w:rFonts w:cs="Arial"/>
            <w:sz w:val="16"/>
            <w:szCs w:val="16"/>
          </w:rPr>
          <w:t>RKT</w:t>
        </w:r>
        <w:r w:rsidRPr="001E35B0">
          <w:rPr>
            <w:rStyle w:val="Hipercze"/>
            <w:rFonts w:cs="Arial"/>
            <w:sz w:val="16"/>
            <w:szCs w:val="16"/>
            <w:lang w:val="pl-PL"/>
          </w:rPr>
          <w:t>-</w:t>
        </w:r>
        <w:r w:rsidRPr="001E35B0">
          <w:rPr>
            <w:rStyle w:val="Hipercze"/>
            <w:rFonts w:cs="Arial"/>
            <w:sz w:val="16"/>
            <w:szCs w:val="16"/>
          </w:rPr>
          <w:t>11/2015</w:t>
        </w:r>
      </w:hyperlink>
      <w:r w:rsidRPr="001E35B0">
        <w:rPr>
          <w:rStyle w:val="Hipercze"/>
          <w:rFonts w:cs="Arial"/>
          <w:sz w:val="16"/>
          <w:szCs w:val="16"/>
          <w:lang w:val="pl-PL"/>
        </w:rPr>
        <w:t>.</w:t>
      </w:r>
    </w:p>
  </w:footnote>
  <w:footnote w:id="15">
    <w:p w:rsidR="00192C50" w:rsidRPr="001E35B0" w:rsidRDefault="00192C50" w:rsidP="00606666">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Decyzja </w:t>
      </w:r>
      <w:hyperlink r:id="rId9" w:history="1">
        <w:r w:rsidRPr="001E35B0">
          <w:rPr>
            <w:rStyle w:val="Hipercze"/>
            <w:rFonts w:cs="Arial"/>
            <w:sz w:val="16"/>
            <w:szCs w:val="16"/>
            <w:lang w:val="pl-PL"/>
          </w:rPr>
          <w:t>RPZ-</w:t>
        </w:r>
        <w:r w:rsidRPr="001E35B0">
          <w:rPr>
            <w:rStyle w:val="Hipercze"/>
            <w:rFonts w:cs="Arial"/>
            <w:sz w:val="16"/>
            <w:szCs w:val="16"/>
          </w:rPr>
          <w:t>12/2015</w:t>
        </w:r>
      </w:hyperlink>
      <w:r w:rsidRPr="001E35B0">
        <w:rPr>
          <w:rStyle w:val="Hipercze"/>
          <w:rFonts w:cs="Arial"/>
          <w:sz w:val="16"/>
          <w:szCs w:val="16"/>
          <w:lang w:val="pl-PL"/>
        </w:rPr>
        <w:t>.</w:t>
      </w:r>
    </w:p>
  </w:footnote>
  <w:footnote w:id="16">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 </w:t>
      </w:r>
      <w:hyperlink r:id="rId10" w:history="1">
        <w:r w:rsidRPr="001E35B0">
          <w:rPr>
            <w:rStyle w:val="Hipercze"/>
            <w:rFonts w:cs="Arial"/>
            <w:sz w:val="16"/>
            <w:szCs w:val="16"/>
          </w:rPr>
          <w:t>RGD</w:t>
        </w:r>
        <w:r w:rsidRPr="001E35B0">
          <w:rPr>
            <w:rStyle w:val="Hipercze"/>
            <w:rFonts w:cs="Arial"/>
            <w:sz w:val="16"/>
            <w:szCs w:val="16"/>
            <w:lang w:val="pl-PL"/>
          </w:rPr>
          <w:t>-</w:t>
        </w:r>
        <w:r w:rsidRPr="001E35B0">
          <w:rPr>
            <w:rStyle w:val="Hipercze"/>
            <w:rFonts w:cs="Arial"/>
            <w:sz w:val="16"/>
            <w:szCs w:val="16"/>
          </w:rPr>
          <w:t>6/2015</w:t>
        </w:r>
      </w:hyperlink>
      <w:r w:rsidRPr="001E35B0">
        <w:rPr>
          <w:rStyle w:val="Hipercze"/>
          <w:rFonts w:cs="Arial"/>
          <w:sz w:val="16"/>
          <w:szCs w:val="16"/>
          <w:lang w:val="pl-PL"/>
        </w:rPr>
        <w:t>.</w:t>
      </w:r>
    </w:p>
  </w:footnote>
  <w:footnote w:id="17">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 </w:t>
      </w:r>
      <w:hyperlink r:id="rId11" w:history="1">
        <w:r w:rsidRPr="001E35B0">
          <w:rPr>
            <w:rStyle w:val="Hipercze"/>
            <w:rFonts w:cs="Arial"/>
            <w:sz w:val="16"/>
            <w:szCs w:val="16"/>
          </w:rPr>
          <w:t>RGD</w:t>
        </w:r>
        <w:r w:rsidRPr="001E35B0">
          <w:rPr>
            <w:rStyle w:val="Hipercze"/>
            <w:rFonts w:cs="Arial"/>
            <w:sz w:val="16"/>
            <w:szCs w:val="16"/>
            <w:lang w:val="pl-PL"/>
          </w:rPr>
          <w:t>-</w:t>
        </w:r>
        <w:r w:rsidRPr="001E35B0">
          <w:rPr>
            <w:rStyle w:val="Hipercze"/>
            <w:rFonts w:cs="Arial"/>
            <w:sz w:val="16"/>
            <w:szCs w:val="16"/>
          </w:rPr>
          <w:t>7/2015</w:t>
        </w:r>
      </w:hyperlink>
      <w:r w:rsidRPr="001E35B0">
        <w:rPr>
          <w:rStyle w:val="Hipercze"/>
          <w:rFonts w:cs="Arial"/>
          <w:sz w:val="16"/>
          <w:szCs w:val="16"/>
          <w:lang w:val="pl-PL"/>
        </w:rPr>
        <w:t>.</w:t>
      </w:r>
    </w:p>
  </w:footnote>
  <w:footnote w:id="18">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 </w:t>
      </w:r>
      <w:hyperlink r:id="rId12" w:history="1">
        <w:r w:rsidRPr="00C60B09">
          <w:rPr>
            <w:rStyle w:val="Hipercze"/>
            <w:rFonts w:cs="Arial"/>
            <w:sz w:val="16"/>
            <w:szCs w:val="16"/>
          </w:rPr>
          <w:t>RWR</w:t>
        </w:r>
        <w:r w:rsidRPr="00C60B09">
          <w:rPr>
            <w:rStyle w:val="Hipercze"/>
            <w:rFonts w:cs="Arial"/>
            <w:sz w:val="16"/>
            <w:szCs w:val="16"/>
            <w:lang w:val="pl-PL"/>
          </w:rPr>
          <w:t>-</w:t>
        </w:r>
        <w:r w:rsidRPr="00C60B09">
          <w:rPr>
            <w:rStyle w:val="Hipercze"/>
            <w:rFonts w:cs="Arial"/>
            <w:sz w:val="16"/>
            <w:szCs w:val="16"/>
          </w:rPr>
          <w:t>22/2015</w:t>
        </w:r>
        <w:r w:rsidRPr="00C60B09">
          <w:rPr>
            <w:rStyle w:val="Hipercze"/>
            <w:rFonts w:cs="Arial"/>
            <w:sz w:val="16"/>
            <w:szCs w:val="16"/>
            <w:lang w:val="pl-PL"/>
          </w:rPr>
          <w:t>.</w:t>
        </w:r>
      </w:hyperlink>
    </w:p>
  </w:footnote>
  <w:footnote w:id="19">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 </w:t>
      </w:r>
      <w:hyperlink r:id="rId13" w:history="1">
        <w:r w:rsidRPr="001E35B0">
          <w:rPr>
            <w:rStyle w:val="Hipercze"/>
            <w:rFonts w:cs="Arial"/>
            <w:sz w:val="16"/>
            <w:szCs w:val="16"/>
          </w:rPr>
          <w:t>RBG</w:t>
        </w:r>
        <w:r w:rsidRPr="001E35B0">
          <w:rPr>
            <w:rStyle w:val="Hipercze"/>
            <w:rFonts w:cs="Arial"/>
            <w:sz w:val="16"/>
            <w:szCs w:val="16"/>
            <w:lang w:val="pl-PL"/>
          </w:rPr>
          <w:t>-</w:t>
        </w:r>
        <w:r w:rsidRPr="001E35B0">
          <w:rPr>
            <w:rStyle w:val="Hipercze"/>
            <w:rFonts w:cs="Arial"/>
            <w:sz w:val="16"/>
            <w:szCs w:val="16"/>
          </w:rPr>
          <w:t>14/2015</w:t>
        </w:r>
      </w:hyperlink>
      <w:r w:rsidRPr="001E35B0">
        <w:rPr>
          <w:rStyle w:val="Hipercze"/>
          <w:rFonts w:cs="Arial"/>
          <w:sz w:val="16"/>
          <w:szCs w:val="16"/>
          <w:lang w:val="pl-PL"/>
        </w:rPr>
        <w:t>.</w:t>
      </w:r>
    </w:p>
  </w:footnote>
  <w:footnote w:id="20">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 </w:t>
      </w:r>
      <w:hyperlink r:id="rId14" w:history="1">
        <w:r w:rsidRPr="001E35B0">
          <w:rPr>
            <w:rStyle w:val="Hipercze"/>
            <w:rFonts w:cs="Arial"/>
            <w:sz w:val="16"/>
            <w:szCs w:val="16"/>
          </w:rPr>
          <w:t>RBG</w:t>
        </w:r>
        <w:r w:rsidRPr="001E35B0">
          <w:rPr>
            <w:rStyle w:val="Hipercze"/>
            <w:rFonts w:cs="Arial"/>
            <w:sz w:val="16"/>
            <w:szCs w:val="16"/>
            <w:lang w:val="pl-PL"/>
          </w:rPr>
          <w:t>-</w:t>
        </w:r>
        <w:r w:rsidRPr="001E35B0">
          <w:rPr>
            <w:rStyle w:val="Hipercze"/>
            <w:rFonts w:cs="Arial"/>
            <w:sz w:val="16"/>
            <w:szCs w:val="16"/>
          </w:rPr>
          <w:t>15/2015</w:t>
        </w:r>
      </w:hyperlink>
      <w:r w:rsidRPr="001E35B0">
        <w:rPr>
          <w:rStyle w:val="Hipercze"/>
          <w:rFonts w:cs="Arial"/>
          <w:sz w:val="16"/>
          <w:szCs w:val="16"/>
          <w:lang w:val="pl-PL"/>
        </w:rPr>
        <w:t>.</w:t>
      </w:r>
    </w:p>
  </w:footnote>
  <w:footnote w:id="21">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 </w:t>
      </w:r>
      <w:hyperlink r:id="rId15" w:history="1">
        <w:r w:rsidRPr="001E35B0">
          <w:rPr>
            <w:rStyle w:val="Hipercze"/>
            <w:rFonts w:cs="Arial"/>
            <w:sz w:val="16"/>
            <w:szCs w:val="16"/>
          </w:rPr>
          <w:t>RŁO-12/2015</w:t>
        </w:r>
      </w:hyperlink>
      <w:r w:rsidRPr="001E35B0">
        <w:rPr>
          <w:rStyle w:val="Hipercze"/>
          <w:rFonts w:cs="Arial"/>
          <w:sz w:val="16"/>
          <w:szCs w:val="16"/>
          <w:lang w:val="pl-PL"/>
        </w:rPr>
        <w:t>.</w:t>
      </w:r>
    </w:p>
  </w:footnote>
  <w:footnote w:id="22">
    <w:p w:rsidR="00192C50" w:rsidRPr="001E35B0" w:rsidRDefault="00192C50" w:rsidP="00606666">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Decyzja </w:t>
      </w:r>
      <w:hyperlink r:id="rId16" w:history="1">
        <w:r w:rsidRPr="001E35B0">
          <w:rPr>
            <w:rStyle w:val="Hipercze"/>
            <w:rFonts w:cs="Arial"/>
            <w:sz w:val="16"/>
            <w:szCs w:val="16"/>
            <w:shd w:val="clear" w:color="auto" w:fill="FFFFFF"/>
          </w:rPr>
          <w:t>RKT-20/2015</w:t>
        </w:r>
      </w:hyperlink>
      <w:r w:rsidRPr="001E35B0">
        <w:rPr>
          <w:rStyle w:val="Hipercze"/>
          <w:rFonts w:cs="Arial"/>
          <w:sz w:val="16"/>
          <w:szCs w:val="16"/>
          <w:lang w:val="pl-PL"/>
        </w:rPr>
        <w:t>.</w:t>
      </w:r>
    </w:p>
  </w:footnote>
  <w:footnote w:id="23">
    <w:p w:rsidR="00192C50" w:rsidRPr="001E35B0" w:rsidRDefault="00192C50" w:rsidP="00606666">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Dotyczy 16 decyzji wydanych w 2015 r.</w:t>
      </w:r>
    </w:p>
  </w:footnote>
  <w:footnote w:id="24">
    <w:p w:rsidR="00192C50" w:rsidRPr="001E35B0" w:rsidRDefault="00192C50" w:rsidP="00C700A8">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Przykładowy katalog praktyk ograniczających konkurencję określa art. 6 ust. 1 </w:t>
      </w:r>
      <w:r w:rsidRPr="001E35B0">
        <w:rPr>
          <w:rFonts w:cs="Arial"/>
          <w:sz w:val="16"/>
          <w:szCs w:val="16"/>
          <w:lang w:val="pl-PL"/>
        </w:rPr>
        <w:t>ustawy o ochronie konkurencji i konsumentów</w:t>
      </w:r>
      <w:r w:rsidRPr="001E35B0">
        <w:rPr>
          <w:rFonts w:cs="Arial"/>
          <w:sz w:val="16"/>
          <w:szCs w:val="16"/>
        </w:rPr>
        <w:t xml:space="preserve"> </w:t>
      </w:r>
      <w:r w:rsidRPr="001E35B0">
        <w:rPr>
          <w:rFonts w:cs="Arial"/>
          <w:sz w:val="16"/>
          <w:szCs w:val="16"/>
          <w:lang w:val="pl-PL"/>
        </w:rPr>
        <w:t>(</w:t>
      </w:r>
      <w:r w:rsidRPr="001E35B0">
        <w:rPr>
          <w:rFonts w:cs="Arial"/>
          <w:sz w:val="16"/>
          <w:szCs w:val="16"/>
        </w:rPr>
        <w:t>okik</w:t>
      </w:r>
      <w:r w:rsidRPr="001E35B0">
        <w:rPr>
          <w:rFonts w:cs="Arial"/>
          <w:sz w:val="16"/>
          <w:szCs w:val="16"/>
          <w:lang w:val="pl-PL"/>
        </w:rPr>
        <w:t>)</w:t>
      </w:r>
      <w:r w:rsidRPr="001E35B0">
        <w:rPr>
          <w:rFonts w:cs="Arial"/>
          <w:sz w:val="16"/>
          <w:szCs w:val="16"/>
        </w:rPr>
        <w:t>.</w:t>
      </w:r>
    </w:p>
  </w:footnote>
  <w:footnote w:id="25">
    <w:p w:rsidR="00192C50" w:rsidRPr="001E35B0" w:rsidRDefault="00192C50" w:rsidP="00C700A8">
      <w:pPr>
        <w:pStyle w:val="Tekstprzypisudolnego"/>
        <w:jc w:val="both"/>
        <w:rPr>
          <w:rFonts w:cs="Arial"/>
          <w:sz w:val="16"/>
          <w:szCs w:val="16"/>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A</w:t>
      </w:r>
      <w:r w:rsidRPr="001E35B0">
        <w:rPr>
          <w:rFonts w:cs="Arial"/>
          <w:sz w:val="16"/>
          <w:szCs w:val="16"/>
        </w:rPr>
        <w:t>rt. 7 i 8</w:t>
      </w:r>
      <w:r w:rsidRPr="001E35B0">
        <w:rPr>
          <w:rFonts w:cs="Arial"/>
          <w:sz w:val="16"/>
          <w:szCs w:val="16"/>
          <w:lang w:val="pl-PL"/>
        </w:rPr>
        <w:t xml:space="preserve"> ustawy okik</w:t>
      </w:r>
      <w:r w:rsidRPr="001E35B0">
        <w:rPr>
          <w:rFonts w:cs="Arial"/>
          <w:sz w:val="16"/>
          <w:szCs w:val="16"/>
        </w:rPr>
        <w:t>. Na stronie internetowej UOKiK dostępne są wszystkie rozporządzenia Rady Ministrów dotyczące</w:t>
      </w:r>
      <w:r w:rsidRPr="001E35B0">
        <w:rPr>
          <w:rFonts w:cs="Arial"/>
          <w:sz w:val="16"/>
          <w:szCs w:val="16"/>
          <w:lang w:val="pl-PL"/>
        </w:rPr>
        <w:t xml:space="preserve"> </w:t>
      </w:r>
      <w:r w:rsidRPr="001E35B0">
        <w:rPr>
          <w:rFonts w:cs="Arial"/>
          <w:sz w:val="16"/>
          <w:szCs w:val="16"/>
        </w:rPr>
        <w:t>wyłączeń niektórych porozumień spod zakazu porozumień ograniczających konkurencję.</w:t>
      </w:r>
    </w:p>
  </w:footnote>
  <w:footnote w:id="26">
    <w:p w:rsidR="00192C50" w:rsidRPr="001E35B0" w:rsidRDefault="00192C50" w:rsidP="00C700A8">
      <w:pPr>
        <w:pStyle w:val="Tekstprzypisudolnego"/>
        <w:jc w:val="both"/>
        <w:rPr>
          <w:rFonts w:cs="Arial"/>
          <w:sz w:val="16"/>
          <w:szCs w:val="16"/>
        </w:rPr>
      </w:pPr>
      <w:r w:rsidRPr="001E35B0">
        <w:rPr>
          <w:rStyle w:val="Znakiprzypiswdolnych"/>
          <w:rFonts w:cs="Arial"/>
          <w:sz w:val="16"/>
          <w:szCs w:val="16"/>
        </w:rPr>
        <w:footnoteRef/>
      </w:r>
      <w:r w:rsidRPr="001E35B0">
        <w:rPr>
          <w:rFonts w:cs="Arial"/>
          <w:sz w:val="16"/>
          <w:szCs w:val="16"/>
        </w:rPr>
        <w:t xml:space="preserve"> Przykładowy katalog praktyk stanowiących nadużycie pozycji dominującej </w:t>
      </w:r>
      <w:r w:rsidRPr="001E35B0">
        <w:rPr>
          <w:rFonts w:cs="Arial"/>
          <w:sz w:val="16"/>
          <w:szCs w:val="16"/>
          <w:lang w:val="pl-PL"/>
        </w:rPr>
        <w:t>został zawarty w</w:t>
      </w:r>
      <w:r w:rsidRPr="001E35B0">
        <w:rPr>
          <w:rFonts w:cs="Arial"/>
          <w:sz w:val="16"/>
          <w:szCs w:val="16"/>
        </w:rPr>
        <w:t xml:space="preserve"> art. 9 ust. 2 </w:t>
      </w:r>
      <w:r w:rsidRPr="001E35B0">
        <w:rPr>
          <w:rFonts w:cs="Arial"/>
          <w:sz w:val="16"/>
          <w:szCs w:val="16"/>
          <w:lang w:val="pl-PL"/>
        </w:rPr>
        <w:t xml:space="preserve">ustawy </w:t>
      </w:r>
      <w:r w:rsidRPr="001E35B0">
        <w:rPr>
          <w:rFonts w:cs="Arial"/>
          <w:sz w:val="16"/>
          <w:szCs w:val="16"/>
        </w:rPr>
        <w:t>okik.</w:t>
      </w:r>
    </w:p>
  </w:footnote>
  <w:footnote w:id="27">
    <w:p w:rsidR="00192C50" w:rsidRPr="001E35B0" w:rsidRDefault="00192C50" w:rsidP="00C700A8">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 xml:space="preserve">Decyzja </w:t>
      </w:r>
      <w:hyperlink r:id="rId17" w:history="1">
        <w:r w:rsidRPr="001E35B0">
          <w:rPr>
            <w:rStyle w:val="Hipercze"/>
            <w:rFonts w:cs="Arial"/>
            <w:sz w:val="16"/>
            <w:szCs w:val="16"/>
            <w:lang w:val="pl-PL"/>
          </w:rPr>
          <w:t>DOK-8/2013</w:t>
        </w:r>
      </w:hyperlink>
      <w:r w:rsidRPr="001E35B0">
        <w:rPr>
          <w:rStyle w:val="Hipercze"/>
          <w:rFonts w:cs="Arial"/>
          <w:sz w:val="16"/>
          <w:szCs w:val="16"/>
          <w:lang w:val="pl-PL"/>
        </w:rPr>
        <w:t>.</w:t>
      </w:r>
    </w:p>
  </w:footnote>
  <w:footnote w:id="28">
    <w:p w:rsidR="00192C50" w:rsidRPr="001E35B0" w:rsidRDefault="00192C50" w:rsidP="00C700A8">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 xml:space="preserve">Decyzja </w:t>
      </w:r>
      <w:hyperlink r:id="rId18" w:history="1">
        <w:r w:rsidRPr="001E35B0">
          <w:rPr>
            <w:rStyle w:val="Hipercze"/>
            <w:rFonts w:cs="Arial"/>
            <w:sz w:val="16"/>
            <w:szCs w:val="16"/>
            <w:lang w:val="pl-PL"/>
          </w:rPr>
          <w:t>DOK-3/2015</w:t>
        </w:r>
      </w:hyperlink>
      <w:r w:rsidRPr="001E35B0">
        <w:rPr>
          <w:rStyle w:val="Hipercze"/>
          <w:rFonts w:cs="Arial"/>
          <w:sz w:val="16"/>
          <w:szCs w:val="16"/>
          <w:lang w:val="pl-PL"/>
        </w:rPr>
        <w:t>.</w:t>
      </w:r>
    </w:p>
  </w:footnote>
  <w:footnote w:id="29">
    <w:p w:rsidR="00192C50" w:rsidRPr="001E35B0" w:rsidRDefault="00192C50" w:rsidP="00C700A8">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Decyzja</w:t>
      </w:r>
      <w:hyperlink r:id="rId19" w:history="1">
        <w:r w:rsidRPr="001E35B0">
          <w:rPr>
            <w:rStyle w:val="Hipercze"/>
            <w:rFonts w:cs="Arial"/>
            <w:sz w:val="16"/>
            <w:szCs w:val="16"/>
            <w:lang w:val="pl-PL"/>
          </w:rPr>
          <w:t xml:space="preserve"> DOK-3/2009</w:t>
        </w:r>
      </w:hyperlink>
      <w:r w:rsidRPr="001E35B0">
        <w:rPr>
          <w:rStyle w:val="Hipercze"/>
          <w:rFonts w:cs="Arial"/>
          <w:sz w:val="16"/>
          <w:szCs w:val="16"/>
          <w:lang w:val="pl-PL"/>
        </w:rPr>
        <w:t>.</w:t>
      </w:r>
    </w:p>
  </w:footnote>
  <w:footnote w:id="30">
    <w:p w:rsidR="00192C50" w:rsidRPr="001E35B0" w:rsidRDefault="00192C50" w:rsidP="00C700A8">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 xml:space="preserve">Decyzja </w:t>
      </w:r>
      <w:hyperlink r:id="rId20" w:history="1">
        <w:r w:rsidRPr="001E35B0">
          <w:rPr>
            <w:rStyle w:val="Hipercze"/>
            <w:rFonts w:cs="Arial"/>
            <w:sz w:val="16"/>
            <w:szCs w:val="16"/>
            <w:lang w:val="pl-PL"/>
          </w:rPr>
          <w:t>DOK-5/2015</w:t>
        </w:r>
      </w:hyperlink>
      <w:r w:rsidRPr="001E35B0">
        <w:rPr>
          <w:rStyle w:val="Hipercze"/>
          <w:rFonts w:cs="Arial"/>
          <w:sz w:val="16"/>
          <w:szCs w:val="16"/>
          <w:lang w:val="pl-PL"/>
        </w:rPr>
        <w:t>.</w:t>
      </w:r>
    </w:p>
  </w:footnote>
  <w:footnote w:id="31">
    <w:p w:rsidR="00192C50" w:rsidRPr="001E35B0" w:rsidRDefault="00192C50" w:rsidP="00C700A8">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w:t>
      </w:r>
      <w:r w:rsidRPr="001E35B0">
        <w:rPr>
          <w:rFonts w:cs="Arial"/>
          <w:sz w:val="16"/>
          <w:szCs w:val="16"/>
          <w:lang w:val="pl-PL"/>
        </w:rPr>
        <w:t xml:space="preserve">Decyzja </w:t>
      </w:r>
      <w:hyperlink r:id="rId21" w:history="1">
        <w:r w:rsidRPr="001E35B0">
          <w:rPr>
            <w:rStyle w:val="Hipercze"/>
            <w:rFonts w:cs="Arial"/>
            <w:sz w:val="16"/>
            <w:szCs w:val="16"/>
            <w:lang w:val="pl-PL"/>
          </w:rPr>
          <w:t>DOK-4/2015</w:t>
        </w:r>
      </w:hyperlink>
      <w:r w:rsidRPr="001E35B0">
        <w:rPr>
          <w:rStyle w:val="Hipercze"/>
          <w:rFonts w:cs="Arial"/>
          <w:sz w:val="16"/>
          <w:szCs w:val="16"/>
          <w:lang w:val="pl-PL"/>
        </w:rPr>
        <w:t>.</w:t>
      </w:r>
    </w:p>
  </w:footnote>
  <w:footnote w:id="32">
    <w:p w:rsidR="00192C50" w:rsidRPr="001E35B0" w:rsidRDefault="00192C50" w:rsidP="00C700A8">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Podana liczba dotyczy </w:t>
      </w:r>
      <w:r w:rsidRPr="001E35B0">
        <w:rPr>
          <w:rFonts w:cs="Arial"/>
          <w:sz w:val="16"/>
          <w:szCs w:val="16"/>
          <w:lang w:val="pl-PL"/>
        </w:rPr>
        <w:t xml:space="preserve">również </w:t>
      </w:r>
      <w:r w:rsidRPr="001E35B0">
        <w:rPr>
          <w:rFonts w:cs="Arial"/>
          <w:sz w:val="16"/>
          <w:szCs w:val="16"/>
        </w:rPr>
        <w:t>postępowań wszczętych przed 2015 r.</w:t>
      </w:r>
    </w:p>
  </w:footnote>
  <w:footnote w:id="33">
    <w:p w:rsidR="00192C50" w:rsidRPr="001E35B0" w:rsidRDefault="00192C50" w:rsidP="00C700A8">
      <w:pPr>
        <w:pStyle w:val="Tekstprzypisudolnego"/>
        <w:jc w:val="both"/>
        <w:rPr>
          <w:rFonts w:cs="Arial"/>
          <w:sz w:val="16"/>
          <w:szCs w:val="16"/>
          <w:lang w:val="pl-PL"/>
        </w:rPr>
      </w:pPr>
      <w:r w:rsidRPr="001E35B0">
        <w:rPr>
          <w:rStyle w:val="Odwoanieprzypisudolnego"/>
          <w:rFonts w:cs="Arial"/>
          <w:sz w:val="16"/>
          <w:szCs w:val="16"/>
        </w:rPr>
        <w:footnoteRef/>
      </w:r>
      <w:r w:rsidRPr="001E35B0">
        <w:rPr>
          <w:rFonts w:cs="Arial"/>
          <w:sz w:val="16"/>
          <w:szCs w:val="16"/>
        </w:rPr>
        <w:t xml:space="preserve"> Znowelizowana ustawa o ochronie konkurencji i konsumentów została </w:t>
      </w:r>
      <w:r w:rsidRPr="001E35B0">
        <w:rPr>
          <w:rFonts w:cs="Arial"/>
          <w:sz w:val="16"/>
          <w:szCs w:val="16"/>
          <w:lang w:val="pl-PL"/>
        </w:rPr>
        <w:t>opublikowana w Dzienniku Ustaw 16 października 2015 r. (Dz.U. 2015 poz. 1634) i weszła w życie 17 kwietnia 2016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50" w:rsidRPr="00010F35" w:rsidRDefault="00192C50" w:rsidP="009638E8">
    <w:pPr>
      <w:pStyle w:val="Nagwek"/>
      <w:jc w:val="right"/>
      <w:rPr>
        <w:b/>
      </w:rPr>
    </w:pPr>
    <w:r w:rsidRPr="00010F35">
      <w:rPr>
        <w:b/>
      </w:rPr>
      <w:t>Załącznik nr 8 Wytyczne i próbka tekstu sprawozdania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3A6"/>
    <w:multiLevelType w:val="hybridMultilevel"/>
    <w:tmpl w:val="ECFAE2C2"/>
    <w:lvl w:ilvl="0" w:tplc="C50043F2">
      <w:start w:val="1"/>
      <w:numFmt w:val="bullet"/>
      <w:lvlText w:val=""/>
      <w:lvlJc w:val="left"/>
      <w:pPr>
        <w:tabs>
          <w:tab w:val="num" w:pos="720"/>
        </w:tabs>
        <w:ind w:left="720" w:hanging="360"/>
      </w:pPr>
      <w:rPr>
        <w:rFonts w:ascii="Symbol" w:hAnsi="Symbol" w:hint="default"/>
        <w:b/>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2A5F"/>
    <w:multiLevelType w:val="hybridMultilevel"/>
    <w:tmpl w:val="84F07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D1E1D"/>
    <w:multiLevelType w:val="hybridMultilevel"/>
    <w:tmpl w:val="A2D69256"/>
    <w:lvl w:ilvl="0" w:tplc="0BCABE78">
      <w:start w:val="1"/>
      <w:numFmt w:val="upperRoman"/>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E06248"/>
    <w:multiLevelType w:val="hybridMultilevel"/>
    <w:tmpl w:val="77BE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0B14DF"/>
    <w:multiLevelType w:val="hybridMultilevel"/>
    <w:tmpl w:val="8656F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25535E"/>
    <w:multiLevelType w:val="hybridMultilevel"/>
    <w:tmpl w:val="42C04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A65E3F"/>
    <w:multiLevelType w:val="hybridMultilevel"/>
    <w:tmpl w:val="CC44C794"/>
    <w:lvl w:ilvl="0" w:tplc="0524A8CE">
      <w:start w:val="1"/>
      <w:numFmt w:val="decimal"/>
      <w:pStyle w:val="Nagwek1"/>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3657D6"/>
    <w:multiLevelType w:val="hybridMultilevel"/>
    <w:tmpl w:val="9EE8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E92C98"/>
    <w:multiLevelType w:val="hybridMultilevel"/>
    <w:tmpl w:val="521EE23E"/>
    <w:lvl w:ilvl="0" w:tplc="0415000F">
      <w:start w:val="1"/>
      <w:numFmt w:val="decimal"/>
      <w:lvlText w:val="%1."/>
      <w:lvlJc w:val="left"/>
      <w:pPr>
        <w:ind w:left="1004" w:hanging="360"/>
      </w:pPr>
    </w:lvl>
    <w:lvl w:ilvl="1" w:tplc="E4AC396C">
      <w:start w:val="1"/>
      <w:numFmt w:val="bullet"/>
      <w:lvlText w:val=""/>
      <w:lvlJc w:val="left"/>
      <w:pPr>
        <w:ind w:left="1724" w:hanging="360"/>
      </w:pPr>
      <w:rPr>
        <w:rFonts w:ascii="Symbol" w:hAnsi="Symbol"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4E637DDF"/>
    <w:multiLevelType w:val="multilevel"/>
    <w:tmpl w:val="ECDE83B4"/>
    <w:lvl w:ilvl="0">
      <w:start w:val="1"/>
      <w:numFmt w:val="upperRoman"/>
      <w:lvlText w:val="%1."/>
      <w:lvlJc w:val="left"/>
      <w:pPr>
        <w:ind w:left="1080" w:hanging="72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CF241DD"/>
    <w:multiLevelType w:val="hybridMultilevel"/>
    <w:tmpl w:val="07D4C142"/>
    <w:lvl w:ilvl="0" w:tplc="E4AC3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012260"/>
    <w:multiLevelType w:val="hybridMultilevel"/>
    <w:tmpl w:val="E5E8B2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6211414"/>
    <w:multiLevelType w:val="hybridMultilevel"/>
    <w:tmpl w:val="979837D6"/>
    <w:lvl w:ilvl="0" w:tplc="B7FCB9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755DAF"/>
    <w:multiLevelType w:val="hybridMultilevel"/>
    <w:tmpl w:val="820EE5BC"/>
    <w:lvl w:ilvl="0" w:tplc="CB88DC0E">
      <w:start w:val="1"/>
      <w:numFmt w:val="bullet"/>
      <w:lvlText w:val="-"/>
      <w:lvlJc w:val="left"/>
      <w:pPr>
        <w:ind w:left="360" w:hanging="360"/>
      </w:pPr>
      <w:rPr>
        <w:rFonts w:ascii="Courier New" w:hAnsi="Courier New" w:hint="default"/>
      </w:rPr>
    </w:lvl>
    <w:lvl w:ilvl="1" w:tplc="129C44C0">
      <w:numFmt w:val="bullet"/>
      <w:lvlText w:val="•"/>
      <w:lvlJc w:val="left"/>
      <w:pPr>
        <w:ind w:left="1428" w:hanging="708"/>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8"/>
  </w:num>
  <w:num w:numId="7">
    <w:abstractNumId w:val="10"/>
  </w:num>
  <w:num w:numId="8">
    <w:abstractNumId w:val="1"/>
  </w:num>
  <w:num w:numId="9">
    <w:abstractNumId w:val="9"/>
  </w:num>
  <w:num w:numId="10">
    <w:abstractNumId w:val="0"/>
  </w:num>
  <w:num w:numId="11">
    <w:abstractNumId w:val="11"/>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90"/>
    <w:rsid w:val="00010F35"/>
    <w:rsid w:val="000F4614"/>
    <w:rsid w:val="00192C50"/>
    <w:rsid w:val="001F58A6"/>
    <w:rsid w:val="00237A71"/>
    <w:rsid w:val="00320630"/>
    <w:rsid w:val="00427395"/>
    <w:rsid w:val="00445EE1"/>
    <w:rsid w:val="00563652"/>
    <w:rsid w:val="00583E6C"/>
    <w:rsid w:val="00606666"/>
    <w:rsid w:val="00715658"/>
    <w:rsid w:val="00862C0F"/>
    <w:rsid w:val="0087027E"/>
    <w:rsid w:val="009638E8"/>
    <w:rsid w:val="009D43F9"/>
    <w:rsid w:val="009F1DC0"/>
    <w:rsid w:val="009F663E"/>
    <w:rsid w:val="00A16B1C"/>
    <w:rsid w:val="00A66A2B"/>
    <w:rsid w:val="00A73C3E"/>
    <w:rsid w:val="00AC7FEC"/>
    <w:rsid w:val="00AE2590"/>
    <w:rsid w:val="00B01A7E"/>
    <w:rsid w:val="00B2710D"/>
    <w:rsid w:val="00B7413E"/>
    <w:rsid w:val="00B921B9"/>
    <w:rsid w:val="00C700A8"/>
    <w:rsid w:val="00CC6493"/>
    <w:rsid w:val="00D41B07"/>
    <w:rsid w:val="00DB665C"/>
    <w:rsid w:val="00EC6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4F6DC-8EAD-408F-A61B-E022B943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A66A2B"/>
    <w:pPr>
      <w:keepNext/>
      <w:numPr>
        <w:numId w:val="5"/>
      </w:numPr>
      <w:spacing w:after="0" w:line="240" w:lineRule="auto"/>
      <w:outlineLvl w:val="0"/>
    </w:pPr>
    <w:rPr>
      <w:rFonts w:ascii="Arial" w:eastAsia="Times New Roman" w:hAnsi="Arial" w:cs="Times New Roman"/>
      <w:b/>
      <w:bCs/>
      <w:sz w:val="24"/>
      <w:szCs w:val="24"/>
      <w:lang w:val="x-none" w:eastAsia="x-none"/>
    </w:rPr>
  </w:style>
  <w:style w:type="paragraph" w:styleId="Nagwek2">
    <w:name w:val="heading 2"/>
    <w:basedOn w:val="Normalny"/>
    <w:next w:val="Normalny"/>
    <w:link w:val="Nagwek2Znak"/>
    <w:uiPriority w:val="9"/>
    <w:unhideWhenUsed/>
    <w:qFormat/>
    <w:rsid w:val="00D41B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066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1F58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9F1D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710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2710D"/>
  </w:style>
  <w:style w:type="paragraph" w:styleId="Stopka">
    <w:name w:val="footer"/>
    <w:basedOn w:val="Normalny"/>
    <w:link w:val="StopkaZnak"/>
    <w:uiPriority w:val="99"/>
    <w:unhideWhenUsed/>
    <w:rsid w:val="00B2710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2710D"/>
  </w:style>
  <w:style w:type="paragraph" w:styleId="Tekstdymka">
    <w:name w:val="Balloon Text"/>
    <w:basedOn w:val="Normalny"/>
    <w:link w:val="TekstdymkaZnak"/>
    <w:uiPriority w:val="99"/>
    <w:semiHidden/>
    <w:unhideWhenUsed/>
    <w:rsid w:val="00427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7395"/>
    <w:rPr>
      <w:rFonts w:ascii="Tahoma" w:hAnsi="Tahoma" w:cs="Tahoma"/>
      <w:sz w:val="16"/>
      <w:szCs w:val="16"/>
    </w:rPr>
  </w:style>
  <w:style w:type="paragraph" w:styleId="Akapitzlist">
    <w:name w:val="List Paragraph"/>
    <w:basedOn w:val="Normalny"/>
    <w:link w:val="AkapitzlistZnak"/>
    <w:uiPriority w:val="99"/>
    <w:qFormat/>
    <w:rsid w:val="00563652"/>
    <w:pPr>
      <w:ind w:left="720"/>
      <w:contextualSpacing/>
    </w:pPr>
  </w:style>
  <w:style w:type="table" w:styleId="Tabela-Siatka">
    <w:name w:val="Table Grid"/>
    <w:basedOn w:val="Standardowy"/>
    <w:uiPriority w:val="59"/>
    <w:rsid w:val="00A73C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A66A2B"/>
    <w:rPr>
      <w:rFonts w:ascii="Arial" w:eastAsia="Times New Roman" w:hAnsi="Arial" w:cs="Times New Roman"/>
      <w:b/>
      <w:bCs/>
      <w:sz w:val="24"/>
      <w:szCs w:val="24"/>
      <w:lang w:val="x-none" w:eastAsia="x-non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n,9 pt,8 "/>
    <w:basedOn w:val="Normalny"/>
    <w:link w:val="TekstprzypisudolnegoZnak"/>
    <w:uiPriority w:val="99"/>
    <w:rsid w:val="00A66A2B"/>
    <w:pPr>
      <w:spacing w:after="0" w:line="240" w:lineRule="auto"/>
    </w:pPr>
    <w:rPr>
      <w:rFonts w:ascii="Arial" w:eastAsia="Times New Roman" w:hAnsi="Arial"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A66A2B"/>
    <w:rPr>
      <w:rFonts w:ascii="Arial" w:eastAsia="Times New Roman" w:hAnsi="Arial" w:cs="Times New Roman"/>
      <w:sz w:val="20"/>
      <w:szCs w:val="20"/>
      <w:lang w:val="x-none" w:eastAsia="x-none"/>
    </w:rPr>
  </w:style>
  <w:style w:type="character" w:styleId="Odwoanieprzypisudolnego">
    <w:name w:val="footnote reference"/>
    <w:aliases w:val="Footnote Reference Number,Footnote number,SUPERS,Footnote symbol,fr,o,Nota,(NECG) Footnote Reference,Char1,Odwołanie przypisu"/>
    <w:uiPriority w:val="99"/>
    <w:rsid w:val="00A66A2B"/>
    <w:rPr>
      <w:vertAlign w:val="superscript"/>
    </w:rPr>
  </w:style>
  <w:style w:type="character" w:styleId="Pogrubienie">
    <w:name w:val="Strong"/>
    <w:uiPriority w:val="22"/>
    <w:qFormat/>
    <w:rsid w:val="00A66A2B"/>
    <w:rPr>
      <w:b/>
      <w:bCs/>
    </w:rPr>
  </w:style>
  <w:style w:type="paragraph" w:styleId="Tekstkomentarza">
    <w:name w:val="annotation text"/>
    <w:basedOn w:val="Normalny"/>
    <w:link w:val="TekstkomentarzaZnak"/>
    <w:uiPriority w:val="99"/>
    <w:semiHidden/>
    <w:rsid w:val="00606666"/>
    <w:pPr>
      <w:spacing w:after="0" w:line="240" w:lineRule="auto"/>
    </w:pPr>
    <w:rPr>
      <w:rFonts w:ascii="Arial" w:eastAsia="Times New Roman" w:hAnsi="Arial"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606666"/>
    <w:rPr>
      <w:rFonts w:ascii="Arial" w:eastAsia="Times New Roman" w:hAnsi="Arial" w:cs="Times New Roman"/>
      <w:sz w:val="20"/>
      <w:szCs w:val="20"/>
      <w:lang w:val="x-none" w:eastAsia="x-none"/>
    </w:rPr>
  </w:style>
  <w:style w:type="character" w:customStyle="1" w:styleId="Nagwek3Znak">
    <w:name w:val="Nagłówek 3 Znak"/>
    <w:basedOn w:val="Domylnaczcionkaakapitu"/>
    <w:link w:val="Nagwek3"/>
    <w:uiPriority w:val="99"/>
    <w:rsid w:val="00606666"/>
    <w:rPr>
      <w:rFonts w:asciiTheme="majorHAnsi" w:eastAsiaTheme="majorEastAsia" w:hAnsiTheme="majorHAnsi" w:cstheme="majorBidi"/>
      <w:color w:val="1F4D78" w:themeColor="accent1" w:themeShade="7F"/>
      <w:sz w:val="24"/>
      <w:szCs w:val="24"/>
    </w:rPr>
  </w:style>
  <w:style w:type="character" w:styleId="Hipercze">
    <w:name w:val="Hyperlink"/>
    <w:uiPriority w:val="99"/>
    <w:rsid w:val="00606666"/>
    <w:rPr>
      <w:color w:val="0000FF"/>
      <w:u w:val="single"/>
    </w:rPr>
  </w:style>
  <w:style w:type="character" w:customStyle="1" w:styleId="AkapitzlistZnak">
    <w:name w:val="Akapit z listą Znak"/>
    <w:link w:val="Akapitzlist"/>
    <w:uiPriority w:val="99"/>
    <w:locked/>
    <w:rsid w:val="00606666"/>
  </w:style>
  <w:style w:type="character" w:customStyle="1" w:styleId="Nagwek2Znak">
    <w:name w:val="Nagłówek 2 Znak"/>
    <w:basedOn w:val="Domylnaczcionkaakapitu"/>
    <w:link w:val="Nagwek2"/>
    <w:uiPriority w:val="99"/>
    <w:rsid w:val="00D41B07"/>
    <w:rPr>
      <w:rFonts w:asciiTheme="majorHAnsi" w:eastAsiaTheme="majorEastAsia" w:hAnsiTheme="majorHAnsi" w:cstheme="majorBidi"/>
      <w:color w:val="2E74B5" w:themeColor="accent1" w:themeShade="BF"/>
      <w:sz w:val="26"/>
      <w:szCs w:val="26"/>
    </w:rPr>
  </w:style>
  <w:style w:type="character" w:styleId="Uwydatnienie">
    <w:name w:val="Emphasis"/>
    <w:uiPriority w:val="20"/>
    <w:qFormat/>
    <w:rsid w:val="00C700A8"/>
    <w:rPr>
      <w:i/>
      <w:iCs/>
    </w:rPr>
  </w:style>
  <w:style w:type="character" w:customStyle="1" w:styleId="Znakiprzypiswdolnych">
    <w:name w:val="Znaki przypisów dolnych"/>
    <w:uiPriority w:val="99"/>
    <w:rsid w:val="00C700A8"/>
    <w:rPr>
      <w:vertAlign w:val="superscript"/>
    </w:rPr>
  </w:style>
  <w:style w:type="character" w:customStyle="1" w:styleId="apple-converted-space">
    <w:name w:val="apple-converted-space"/>
    <w:rsid w:val="00C700A8"/>
  </w:style>
  <w:style w:type="paragraph" w:customStyle="1" w:styleId="Kolorowalistaakcent11">
    <w:name w:val="Kolorowa lista — akcent 11"/>
    <w:basedOn w:val="Normalny"/>
    <w:uiPriority w:val="99"/>
    <w:qFormat/>
    <w:rsid w:val="00C700A8"/>
    <w:pPr>
      <w:spacing w:after="0" w:line="240" w:lineRule="auto"/>
      <w:ind w:left="720"/>
      <w:contextualSpacing/>
    </w:pPr>
    <w:rPr>
      <w:rFonts w:ascii="Arial" w:eastAsia="Times New Roman" w:hAnsi="Arial" w:cs="Times New Roman"/>
      <w:sz w:val="24"/>
      <w:szCs w:val="24"/>
      <w:lang w:eastAsia="pl-PL"/>
    </w:rPr>
  </w:style>
  <w:style w:type="character" w:customStyle="1" w:styleId="h1">
    <w:name w:val="h1"/>
    <w:basedOn w:val="Domylnaczcionkaakapitu"/>
    <w:uiPriority w:val="99"/>
    <w:rsid w:val="00C700A8"/>
  </w:style>
  <w:style w:type="paragraph" w:styleId="Nagwekspisutreci">
    <w:name w:val="TOC Heading"/>
    <w:basedOn w:val="Nagwek1"/>
    <w:next w:val="Normalny"/>
    <w:uiPriority w:val="39"/>
    <w:unhideWhenUsed/>
    <w:qFormat/>
    <w:rsid w:val="00320630"/>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pl-PL" w:eastAsia="pl-PL"/>
    </w:rPr>
  </w:style>
  <w:style w:type="paragraph" w:styleId="Spistreci1">
    <w:name w:val="toc 1"/>
    <w:basedOn w:val="Normalny"/>
    <w:next w:val="Normalny"/>
    <w:autoRedefine/>
    <w:uiPriority w:val="39"/>
    <w:unhideWhenUsed/>
    <w:rsid w:val="00320630"/>
    <w:pPr>
      <w:spacing w:after="100"/>
    </w:pPr>
  </w:style>
  <w:style w:type="paragraph" w:styleId="Spistreci2">
    <w:name w:val="toc 2"/>
    <w:basedOn w:val="Normalny"/>
    <w:next w:val="Normalny"/>
    <w:autoRedefine/>
    <w:uiPriority w:val="39"/>
    <w:unhideWhenUsed/>
    <w:rsid w:val="00320630"/>
    <w:pPr>
      <w:spacing w:after="100"/>
      <w:ind w:left="220"/>
    </w:pPr>
  </w:style>
  <w:style w:type="paragraph" w:styleId="Spistreci3">
    <w:name w:val="toc 3"/>
    <w:basedOn w:val="Normalny"/>
    <w:next w:val="Normalny"/>
    <w:autoRedefine/>
    <w:uiPriority w:val="39"/>
    <w:unhideWhenUsed/>
    <w:rsid w:val="00320630"/>
    <w:pPr>
      <w:spacing w:after="100"/>
      <w:ind w:left="440"/>
    </w:pPr>
  </w:style>
  <w:style w:type="character" w:customStyle="1" w:styleId="Nagwek4Znak">
    <w:name w:val="Nagłówek 4 Znak"/>
    <w:basedOn w:val="Domylnaczcionkaakapitu"/>
    <w:link w:val="Nagwek4"/>
    <w:uiPriority w:val="9"/>
    <w:rsid w:val="001F58A6"/>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9F1DC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okik.gov.pl/download.php?plik=16982" TargetMode="External"/><Relationship Id="rId4" Type="http://schemas.openxmlformats.org/officeDocument/2006/relationships/settings" Target="settings.xml"/><Relationship Id="rId9" Type="http://schemas.openxmlformats.org/officeDocument/2006/relationships/hyperlink" Target="https://uokik.gov.pl/download.php?plik=159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ecyzje.uokik.gov.pl/bp/dec_prez.nsf/0/B455EB2DCF42B5F2C1257F2A003E7E90/$file/decyzja%20RKT_postanwoienie%20zmieniaj%C4%85ce.pdf" TargetMode="External"/><Relationship Id="rId13" Type="http://schemas.openxmlformats.org/officeDocument/2006/relationships/hyperlink" Target="http://decyzje.uokik.gov.pl/bp/dec_prez.nsf/0/812986167B4C863FC1257F46003BB703/$file/decyzja_rbg_nr_14_2015.pdf" TargetMode="External"/><Relationship Id="rId18" Type="http://schemas.openxmlformats.org/officeDocument/2006/relationships/hyperlink" Target="http://decyzje.uokik.gov.pl/bp/dec_prez.nsf/0/D1143781942D5D83C1257EF4004C9331/$file/Decyzja%20PGNiG%20wersja%20BIP.pdf" TargetMode="External"/><Relationship Id="rId3" Type="http://schemas.openxmlformats.org/officeDocument/2006/relationships/hyperlink" Target="http://decyzje.uokik.gov.pl/bp/dec_prez.nsf/0/AC5B48FCF3BC2ACEC1257EE50054B55F/$file/Decyzja%20nr%20RKR-10_2015%20-%20Nationale-Nederlanden.pdf" TargetMode="External"/><Relationship Id="rId21" Type="http://schemas.openxmlformats.org/officeDocument/2006/relationships/hyperlink" Target="http://decyzje.uokik.gov.pl/bp/dec_prez.nsf/0/43C6AD922422AFC6C1257F1D005B7627/$file/Decyzja_porozumienie_Swatch_8.12.2015_wersja_jawna.pdf" TargetMode="External"/><Relationship Id="rId7" Type="http://schemas.openxmlformats.org/officeDocument/2006/relationships/hyperlink" Target="http://decyzje.uokik.gov.pl/bp/dec_prez.nsf/0/3BD8966B221490EAC1257EFB00501EA8/$file/decyzja%20AXA%20-%20RWR.pdf" TargetMode="External"/><Relationship Id="rId12" Type="http://schemas.openxmlformats.org/officeDocument/2006/relationships/hyperlink" Target="http://decyzje.uokik.gov.pl/bp/dec_prez.nsf/0/94DEC4710DD31073C1257F470061AF6D/$file/Decyzja%20nr%20RWR%2022-2015%20z%20dnia%2025.11.2015%20r.%20Towarzystwo%20Ubezpieczeniowe%20WARTA%20S.A.%20w%20Warszawie.pdf" TargetMode="External"/><Relationship Id="rId17" Type="http://schemas.openxmlformats.org/officeDocument/2006/relationships/hyperlink" Target="http://decyzje.uokik.gov.pl/bp/dec_prez.nsf/0/9DA692565355BFF2C1257EC6007BA43A/$file/Decyzja%20nr%20DOK-8_2013%20PGNiG%20zobowi%C4%85zanie%20-%20wersja%20BIP.pdf" TargetMode="External"/><Relationship Id="rId2" Type="http://schemas.openxmlformats.org/officeDocument/2006/relationships/hyperlink" Target="http://decyzje.uokik.gov.pl/bp/dec_prez.nsf/0/F5B9C6A2C4BCA73FC1257EE5005595BB/$file/RBG-61-03_15_KL%20-%20Decyzja%20-%20(Aviva)%20-%20BIP.pdf" TargetMode="External"/><Relationship Id="rId16" Type="http://schemas.openxmlformats.org/officeDocument/2006/relationships/hyperlink" Target="http://decyzje.uokik.gov.pl/bp/dec_prez.nsf/0/504F2D0D25553C59C1257F4E0051709F/$file/Decyzja%20RKT-20_2015%20z%2030.12.2015%20Open%20Life%20Towarzystwo%20Ubezpiecze%C5%84%20%C5%BBycie%20SA%20-%20zbior.%20int.%20konsum..pdf" TargetMode="External"/><Relationship Id="rId20" Type="http://schemas.openxmlformats.org/officeDocument/2006/relationships/hyperlink" Target="http://decyzje.uokik.gov.pl/bp/dec_prez.nsf/0/24477F86D0E6BC14C1257F37006321FF/$file/Decyzja_PKPCargo_CTL_31%2012%20015_wersja%20jawna.pdf" TargetMode="External"/><Relationship Id="rId1" Type="http://schemas.openxmlformats.org/officeDocument/2006/relationships/hyperlink" Target="http://decyzje.uokik.gov.pl/bp/dec_prez.nsf/0/D0003D67F82D32C6C1257F2A003E2F6A/$file/Decyzja%20RKT-10_2015%20z%2023.09.2015r.%20TU%20Allianz%20%C5%BBycie%20Polska%20SA%20zbiorowe%20interesy%20konsuemnt%C3%B3w.pdf" TargetMode="External"/><Relationship Id="rId6" Type="http://schemas.openxmlformats.org/officeDocument/2006/relationships/hyperlink" Target="http://decyzje.uokik.gov.pl/bp/dec_prez.nsf/0/22AA2DF99E04C13EC1257EF4005AA135/$file/RPZ%2011-2015%20z%2014.10.2015r.-%20PZU%20na%20%C5%BBycie%20S.A.-%20zik.pdf" TargetMode="External"/><Relationship Id="rId11" Type="http://schemas.openxmlformats.org/officeDocument/2006/relationships/hyperlink" Target="http://decyzje.uokik.gov.pl/bp/dec_prez.nsf/0/C422FFE615E674FFC1257F160051CD7B/$file/decyzja%20RGD.%207-2015%20z%20dnia.%2026.11.15%20UNIQA-%20konsumencka-zobowi%C4%85zanie.pdf" TargetMode="External"/><Relationship Id="rId5" Type="http://schemas.openxmlformats.org/officeDocument/2006/relationships/hyperlink" Target="http://decyzje.uokik.gov.pl/bp/dec_prez.nsf/0/6EFC9DE9CF7BA445C1257EF4004B61DA/$file/RLU-4_15%20z%20dn.%2015.10.15%20zobowi%C4%85zuj%C4%85ca%20PKO%20%C5%BBycie%20TU%20S.A..pdf" TargetMode="External"/><Relationship Id="rId15" Type="http://schemas.openxmlformats.org/officeDocument/2006/relationships/hyperlink" Target="http://decyzje.uokik.gov.pl/bp/dec_prez.nsf/0/7A7B64FF72BBC946C1257F290050A03B/$file/R%C5%81O%2012_2015.pdf" TargetMode="External"/><Relationship Id="rId10" Type="http://schemas.openxmlformats.org/officeDocument/2006/relationships/hyperlink" Target="http://decyzje.uokik.gov.pl/bp/dec_prez.nsf/0/4C4B8DCF2DD11F6AC1257F1600525733/$file/RGD%2061-19-14-15-JM-zik-Ergo%20Hestia.pdf" TargetMode="External"/><Relationship Id="rId19" Type="http://schemas.openxmlformats.org/officeDocument/2006/relationships/hyperlink" Target="http://decyzje.uokik.gov.pl/bp/dec_prez.nsf/0/3DB3447A6A4B2C0DC1257EC6007B8BBC/$file/decyzja_dok_3_09.pdf" TargetMode="External"/><Relationship Id="rId4" Type="http://schemas.openxmlformats.org/officeDocument/2006/relationships/hyperlink" Target="http://decyzje.uokik.gov.pl/bp/dec_prez.nsf/0/D64B8B1F48CD20B9C1257F16004FA889/$file/R%C5%81O_8_2015%20z%20dnia%2014.10.2015%20r.%20w%20sprawie%20praktyk%20naruszaj%C4%85cych%20zbiorowe%20interesy%20konsument%C3%B3w%20przez%20MetLife%20TUn%C5%BBiR%20S.A.%20w%20Warszawie.pdf" TargetMode="External"/><Relationship Id="rId9" Type="http://schemas.openxmlformats.org/officeDocument/2006/relationships/hyperlink" Target="http://decyzje.uokik.gov.pl/bp/dec_prez.nsf/0/24416D7C1E1BC044C1257EF4005B09A4/$file/Decyzja%20nr%20RPZ%2012-2015%20z%2002.11.2015r.-%20Pramerica%20%C5%BBycie%20TUiR%20S.A.-%20zik.pdf" TargetMode="External"/><Relationship Id="rId14" Type="http://schemas.openxmlformats.org/officeDocument/2006/relationships/hyperlink" Target="http://decyzje.uokik.gov.pl/bp/dec_prez.nsf/0/F4711D8DAFFBD341C1257F46003C049E/$file/decyzja_rbg_nr_15_2015.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'M:\DZK\PUBLIKACJE\SPRAWOZDANIE 2016\Sprawozdanie\[Wykresy 2.xlsx]Arkusz1'!$B$7</c:f>
              <c:strCache>
                <c:ptCount val="1"/>
                <c:pt idx="0">
                  <c:v>Zakończone wezwania miękkie</c:v>
                </c:pt>
              </c:strCache>
            </c:strRef>
          </c:tx>
          <c:spPr>
            <a:solidFill>
              <a:schemeClr val="accent5">
                <a:lumMod val="60000"/>
                <a:lumOff val="4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[1]Arkusz1!$C$6:$E$6</c:f>
              <c:numCache>
                <c:formatCode>General</c:formatCode>
                <c:ptCount val="3"/>
                <c:pt idx="0">
                  <c:v>2014</c:v>
                </c:pt>
                <c:pt idx="1">
                  <c:v>2015</c:v>
                </c:pt>
                <c:pt idx="2">
                  <c:v>2016</c:v>
                </c:pt>
              </c:numCache>
            </c:numRef>
          </c:cat>
          <c:val>
            <c:numRef>
              <c:f>[1]Arkusz1!$C$7:$E$7</c:f>
              <c:numCache>
                <c:formatCode>General</c:formatCode>
                <c:ptCount val="3"/>
                <c:pt idx="0">
                  <c:v>118</c:v>
                </c:pt>
                <c:pt idx="1">
                  <c:v>357</c:v>
                </c:pt>
                <c:pt idx="2">
                  <c:v>621</c:v>
                </c:pt>
              </c:numCache>
            </c:numRef>
          </c:val>
        </c:ser>
        <c:ser>
          <c:idx val="1"/>
          <c:order val="1"/>
          <c:tx>
            <c:strRef>
              <c:f>'M:\DZK\PUBLIKACJE\SPRAWOZDANIE 2016\Sprawozdanie\[Wykresy 2.xlsx]Arkusz1'!$B$8</c:f>
              <c:strCache>
                <c:ptCount val="1"/>
                <c:pt idx="0">
                  <c:v>Zakończone postępowania</c:v>
                </c:pt>
              </c:strCache>
            </c:strRef>
          </c:tx>
          <c:spPr>
            <a:solidFill>
              <a:schemeClr val="accent1">
                <a:lumMod val="75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[1]Arkusz1!$C$6:$E$6</c:f>
              <c:numCache>
                <c:formatCode>General</c:formatCode>
                <c:ptCount val="3"/>
                <c:pt idx="0">
                  <c:v>2014</c:v>
                </c:pt>
                <c:pt idx="1">
                  <c:v>2015</c:v>
                </c:pt>
                <c:pt idx="2">
                  <c:v>2016</c:v>
                </c:pt>
              </c:numCache>
            </c:numRef>
          </c:cat>
          <c:val>
            <c:numRef>
              <c:f>[1]Arkusz1!$C$8:$E$8</c:f>
              <c:numCache>
                <c:formatCode>General</c:formatCode>
                <c:ptCount val="3"/>
                <c:pt idx="0">
                  <c:v>281</c:v>
                </c:pt>
                <c:pt idx="1">
                  <c:v>145</c:v>
                </c:pt>
                <c:pt idx="2">
                  <c:v>82</c:v>
                </c:pt>
              </c:numCache>
            </c:numRef>
          </c:val>
        </c:ser>
        <c:dLbls>
          <c:showLegendKey val="0"/>
          <c:showVal val="0"/>
          <c:showCatName val="0"/>
          <c:showSerName val="0"/>
          <c:showPercent val="0"/>
          <c:showBubbleSize val="0"/>
        </c:dLbls>
        <c:gapWidth val="182"/>
        <c:axId val="664204624"/>
        <c:axId val="664204232"/>
      </c:barChart>
      <c:catAx>
        <c:axId val="66420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664204232"/>
        <c:crosses val="autoZero"/>
        <c:auto val="1"/>
        <c:lblAlgn val="ctr"/>
        <c:lblOffset val="100"/>
        <c:noMultiLvlLbl val="0"/>
      </c:catAx>
      <c:valAx>
        <c:axId val="664204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sz="800">
                    <a:latin typeface="Arial" panose="020B0604020202020204" pitchFamily="34" charset="0"/>
                    <a:cs typeface="Arial" panose="020B0604020202020204" pitchFamily="34" charset="0"/>
                  </a:rPr>
                  <a:t>Liczba</a:t>
                </a:r>
                <a:r>
                  <a:rPr lang="pl-PL" sz="800" baseline="0">
                    <a:latin typeface="Arial" panose="020B0604020202020204" pitchFamily="34" charset="0"/>
                    <a:cs typeface="Arial" panose="020B0604020202020204" pitchFamily="34" charset="0"/>
                  </a:rPr>
                  <a:t> zakończonych postępowań/wezwań</a:t>
                </a:r>
                <a:endParaRPr lang="pl-PL" sz="800">
                  <a:latin typeface="Arial" panose="020B0604020202020204" pitchFamily="34" charset="0"/>
                  <a:cs typeface="Arial" panose="020B0604020202020204" pitchFamily="34" charset="0"/>
                </a:endParaRPr>
              </a:p>
            </c:rich>
          </c:tx>
          <c:layout>
            <c:manualLayout>
              <c:xMode val="edge"/>
              <c:yMode val="edge"/>
              <c:x val="0.31966776027996502"/>
              <c:y val="0.8144900116652085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66420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B934-9A62-4679-A1E4-3654AE5D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4498</Words>
  <Characters>26991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Łatka</dc:creator>
  <cp:keywords/>
  <dc:description/>
  <cp:lastModifiedBy>Agnieszka Jaczyńska</cp:lastModifiedBy>
  <cp:revision>2</cp:revision>
  <cp:lastPrinted>2016-04-04T09:52:00Z</cp:lastPrinted>
  <dcterms:created xsi:type="dcterms:W3CDTF">2017-08-25T15:37:00Z</dcterms:created>
  <dcterms:modified xsi:type="dcterms:W3CDTF">2017-08-25T15:37:00Z</dcterms:modified>
</cp:coreProperties>
</file>