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7A80" w14:textId="77777777" w:rsidR="00D47CCF" w:rsidRDefault="008C35D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PONAD </w:t>
      </w:r>
      <w:r w:rsidR="00820312">
        <w:rPr>
          <w:sz w:val="32"/>
          <w:szCs w:val="32"/>
        </w:rPr>
        <w:t>2 MLN ZŁ KARY DLA PDM I ZARZUTY DLA GETBACK</w:t>
      </w:r>
      <w:r>
        <w:rPr>
          <w:sz w:val="32"/>
          <w:szCs w:val="32"/>
        </w:rPr>
        <w:t>U</w:t>
      </w:r>
      <w:r w:rsidR="00820312">
        <w:rPr>
          <w:sz w:val="32"/>
          <w:szCs w:val="32"/>
        </w:rPr>
        <w:t xml:space="preserve"> ZA SPRZEDAŻ OBLIGACJI</w:t>
      </w:r>
    </w:p>
    <w:p w14:paraId="039E479C" w14:textId="77777777" w:rsidR="00E257A8" w:rsidRDefault="00F62AB3" w:rsidP="0018672C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Jest p</w:t>
      </w:r>
      <w:r w:rsidR="008C35DB" w:rsidRPr="00E257A8">
        <w:rPr>
          <w:b/>
          <w:sz w:val="22"/>
        </w:rPr>
        <w:t>ierwsza decyzja UOKiK w sprawie sprzedaży obligacji</w:t>
      </w:r>
      <w:r w:rsidR="004B4D88">
        <w:rPr>
          <w:b/>
          <w:sz w:val="22"/>
        </w:rPr>
        <w:t xml:space="preserve"> korporacyjnych</w:t>
      </w:r>
      <w:r w:rsidR="008C35DB" w:rsidRPr="00E257A8">
        <w:rPr>
          <w:b/>
          <w:sz w:val="22"/>
        </w:rPr>
        <w:t xml:space="preserve"> spółki </w:t>
      </w:r>
      <w:proofErr w:type="spellStart"/>
      <w:r w:rsidR="008C35DB" w:rsidRPr="00E257A8">
        <w:rPr>
          <w:b/>
          <w:sz w:val="22"/>
        </w:rPr>
        <w:t>GetBack</w:t>
      </w:r>
      <w:proofErr w:type="spellEnd"/>
      <w:r w:rsidR="00E257A8">
        <w:rPr>
          <w:b/>
          <w:sz w:val="22"/>
        </w:rPr>
        <w:t xml:space="preserve"> - </w:t>
      </w:r>
      <w:r w:rsidR="009830C2" w:rsidRPr="00E257A8">
        <w:rPr>
          <w:b/>
          <w:sz w:val="22"/>
        </w:rPr>
        <w:t>Polski Dom Maklerski ma zapłacić 2 mln zł kary</w:t>
      </w:r>
    </w:p>
    <w:p w14:paraId="6A2DED9B" w14:textId="77777777" w:rsidR="00D47CCF" w:rsidRPr="009830C2" w:rsidRDefault="00E257A8" w:rsidP="00CC3D33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PDM</w:t>
      </w:r>
      <w:r w:rsidR="009830C2" w:rsidRPr="009830C2">
        <w:rPr>
          <w:b/>
          <w:sz w:val="22"/>
        </w:rPr>
        <w:t xml:space="preserve"> stosował klauzulę niedozwoloną, </w:t>
      </w:r>
      <w:r>
        <w:rPr>
          <w:b/>
          <w:sz w:val="22"/>
        </w:rPr>
        <w:t>teraz konsumentom łatwiej będzie dochodzić roszczeń</w:t>
      </w:r>
      <w:r w:rsidR="00D47CCF" w:rsidRPr="009830C2">
        <w:rPr>
          <w:b/>
          <w:sz w:val="22"/>
        </w:rPr>
        <w:t>.</w:t>
      </w:r>
    </w:p>
    <w:p w14:paraId="7F014D83" w14:textId="77777777" w:rsidR="00D47CCF" w:rsidRPr="00FF00BF" w:rsidRDefault="00EE1BBC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Urząd </w:t>
      </w:r>
      <w:r w:rsidR="00BD5EC4">
        <w:rPr>
          <w:b/>
          <w:sz w:val="22"/>
        </w:rPr>
        <w:t>wszczął</w:t>
      </w:r>
      <w:r>
        <w:rPr>
          <w:b/>
          <w:sz w:val="22"/>
        </w:rPr>
        <w:t xml:space="preserve"> też postępowani</w:t>
      </w:r>
      <w:r w:rsidR="005D50B9">
        <w:rPr>
          <w:b/>
          <w:sz w:val="22"/>
        </w:rPr>
        <w:t>e</w:t>
      </w:r>
      <w:r>
        <w:rPr>
          <w:b/>
          <w:sz w:val="22"/>
        </w:rPr>
        <w:t xml:space="preserve"> przeciw spółce </w:t>
      </w:r>
      <w:proofErr w:type="spellStart"/>
      <w:r>
        <w:rPr>
          <w:b/>
          <w:sz w:val="22"/>
        </w:rPr>
        <w:t>GetBack</w:t>
      </w:r>
      <w:proofErr w:type="spellEnd"/>
      <w:r w:rsidR="00D47CCF" w:rsidRPr="00D47CCF">
        <w:rPr>
          <w:b/>
          <w:sz w:val="22"/>
        </w:rPr>
        <w:t>.</w:t>
      </w:r>
    </w:p>
    <w:p w14:paraId="7007A49B" w14:textId="1B6B1DDE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8F0D95">
        <w:rPr>
          <w:b/>
          <w:sz w:val="22"/>
        </w:rPr>
        <w:t>7 lutego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</w:t>
      </w:r>
      <w:r w:rsidR="00BF0E73">
        <w:rPr>
          <w:b/>
          <w:sz w:val="22"/>
        </w:rPr>
        <w:t>9</w:t>
      </w:r>
      <w:r w:rsidR="006439FA" w:rsidRPr="00D47CCF">
        <w:rPr>
          <w:b/>
          <w:sz w:val="22"/>
        </w:rPr>
        <w:t xml:space="preserve"> r.] </w:t>
      </w:r>
      <w:r w:rsidR="000B286A">
        <w:rPr>
          <w:sz w:val="22"/>
        </w:rPr>
        <w:t xml:space="preserve">Urząd Ochrony Konkurencji i Konsumentów </w:t>
      </w:r>
      <w:r w:rsidR="0004467F">
        <w:rPr>
          <w:sz w:val="22"/>
        </w:rPr>
        <w:t xml:space="preserve">prowadzi intensywne </w:t>
      </w:r>
      <w:r w:rsidR="000B286A">
        <w:rPr>
          <w:sz w:val="22"/>
        </w:rPr>
        <w:t>działania w spraw</w:t>
      </w:r>
      <w:r w:rsidR="00E1500D">
        <w:rPr>
          <w:sz w:val="22"/>
        </w:rPr>
        <w:t xml:space="preserve">ach związanych z </w:t>
      </w:r>
      <w:r w:rsidR="000B286A">
        <w:rPr>
          <w:sz w:val="22"/>
        </w:rPr>
        <w:t>nieprawidłowości</w:t>
      </w:r>
      <w:r w:rsidR="00E1500D">
        <w:rPr>
          <w:sz w:val="22"/>
        </w:rPr>
        <w:t>ami</w:t>
      </w:r>
      <w:r w:rsidR="000B286A">
        <w:rPr>
          <w:sz w:val="22"/>
        </w:rPr>
        <w:t xml:space="preserve"> przy sprzedaży obligacji</w:t>
      </w:r>
      <w:r w:rsidR="004B4D88">
        <w:rPr>
          <w:sz w:val="22"/>
        </w:rPr>
        <w:t xml:space="preserve"> korporacyjnych</w:t>
      </w:r>
      <w:r w:rsidR="000B286A">
        <w:rPr>
          <w:sz w:val="22"/>
        </w:rPr>
        <w:t xml:space="preserve"> spółki </w:t>
      </w:r>
      <w:proofErr w:type="spellStart"/>
      <w:r w:rsidR="000B286A">
        <w:rPr>
          <w:sz w:val="22"/>
        </w:rPr>
        <w:t>GetBack</w:t>
      </w:r>
      <w:proofErr w:type="spellEnd"/>
      <w:r w:rsidR="000B286A">
        <w:rPr>
          <w:sz w:val="22"/>
        </w:rPr>
        <w:t xml:space="preserve">. </w:t>
      </w:r>
      <w:r w:rsidR="00BD5EC4" w:rsidRPr="005D50B9">
        <w:rPr>
          <w:sz w:val="22"/>
        </w:rPr>
        <w:t>W</w:t>
      </w:r>
      <w:r w:rsidR="000B286A">
        <w:rPr>
          <w:sz w:val="22"/>
        </w:rPr>
        <w:t xml:space="preserve">ydał </w:t>
      </w:r>
      <w:r w:rsidR="005D50B9">
        <w:rPr>
          <w:sz w:val="22"/>
        </w:rPr>
        <w:t xml:space="preserve">właśnie </w:t>
      </w:r>
      <w:r w:rsidR="000B286A">
        <w:rPr>
          <w:sz w:val="22"/>
        </w:rPr>
        <w:t xml:space="preserve">pierwszą decyzję </w:t>
      </w:r>
      <w:r w:rsidR="0004467F">
        <w:rPr>
          <w:sz w:val="22"/>
        </w:rPr>
        <w:t xml:space="preserve">z tym związaną. Dotyczy ona </w:t>
      </w:r>
      <w:r w:rsidR="00C75984">
        <w:rPr>
          <w:sz w:val="22"/>
        </w:rPr>
        <w:t>Polskiego Domu Maklerskiego za stosowanie niedozwolonego</w:t>
      </w:r>
      <w:r w:rsidR="006A487A">
        <w:rPr>
          <w:sz w:val="22"/>
        </w:rPr>
        <w:t xml:space="preserve"> </w:t>
      </w:r>
      <w:r w:rsidR="0004467F">
        <w:rPr>
          <w:sz w:val="22"/>
        </w:rPr>
        <w:t>postanowienia w tekście umów</w:t>
      </w:r>
      <w:r w:rsidR="00451503">
        <w:rPr>
          <w:sz w:val="22"/>
        </w:rPr>
        <w:t>. UOKiK</w:t>
      </w:r>
      <w:r w:rsidR="006A487A">
        <w:rPr>
          <w:sz w:val="22"/>
        </w:rPr>
        <w:t xml:space="preserve"> nałożył na przedsiębiorcę wysoką karę pieniężną</w:t>
      </w:r>
      <w:r w:rsidR="000B286A">
        <w:rPr>
          <w:sz w:val="22"/>
        </w:rPr>
        <w:t xml:space="preserve">. </w:t>
      </w:r>
      <w:r w:rsidR="00BD5EC4" w:rsidRPr="005D50B9">
        <w:rPr>
          <w:sz w:val="22"/>
        </w:rPr>
        <w:t>W</w:t>
      </w:r>
      <w:r w:rsidR="000B286A">
        <w:rPr>
          <w:sz w:val="22"/>
        </w:rPr>
        <w:t xml:space="preserve">szczął </w:t>
      </w:r>
      <w:r w:rsidR="005D50B9">
        <w:rPr>
          <w:sz w:val="22"/>
        </w:rPr>
        <w:t xml:space="preserve">też </w:t>
      </w:r>
      <w:r w:rsidR="00C75984">
        <w:rPr>
          <w:sz w:val="22"/>
        </w:rPr>
        <w:t xml:space="preserve">postępowanie przeciw spółce </w:t>
      </w:r>
      <w:proofErr w:type="spellStart"/>
      <w:r w:rsidR="00C75984">
        <w:rPr>
          <w:sz w:val="22"/>
        </w:rPr>
        <w:t>GetBack</w:t>
      </w:r>
      <w:proofErr w:type="spellEnd"/>
      <w:r w:rsidR="00C75984">
        <w:rPr>
          <w:sz w:val="22"/>
        </w:rPr>
        <w:t xml:space="preserve"> (obecnie w restrukturyzacji). Zarzuca jej wprowadzanie konsumentów w błąd</w:t>
      </w:r>
      <w:r w:rsidR="006A487A">
        <w:rPr>
          <w:sz w:val="22"/>
        </w:rPr>
        <w:t xml:space="preserve"> przy sprzedaży swoich obligacji korporacyjnych</w:t>
      </w:r>
      <w:r w:rsidR="00C75984">
        <w:rPr>
          <w:sz w:val="22"/>
        </w:rPr>
        <w:t xml:space="preserve">. Od października toczy się </w:t>
      </w:r>
      <w:r w:rsidR="00BB1ACF">
        <w:rPr>
          <w:sz w:val="22"/>
        </w:rPr>
        <w:t>t</w:t>
      </w:r>
      <w:r w:rsidR="005D50B9">
        <w:rPr>
          <w:sz w:val="22"/>
        </w:rPr>
        <w:t>akże</w:t>
      </w:r>
      <w:r w:rsidR="00BB1ACF">
        <w:rPr>
          <w:sz w:val="22"/>
        </w:rPr>
        <w:t xml:space="preserve"> </w:t>
      </w:r>
      <w:r w:rsidR="00C75984">
        <w:rPr>
          <w:sz w:val="22"/>
        </w:rPr>
        <w:t>postępowanie przeciw Idea Bankowi</w:t>
      </w:r>
      <w:r w:rsidR="0057543A">
        <w:rPr>
          <w:sz w:val="22"/>
        </w:rPr>
        <w:t>. T</w:t>
      </w:r>
      <w:r w:rsidR="00C75984">
        <w:rPr>
          <w:sz w:val="22"/>
        </w:rPr>
        <w:t xml:space="preserve">u oprócz rozpowszechniania nieprawdziwych </w:t>
      </w:r>
      <w:r w:rsidR="0057543A">
        <w:rPr>
          <w:sz w:val="22"/>
        </w:rPr>
        <w:t>informacji</w:t>
      </w:r>
      <w:r w:rsidR="006A487A">
        <w:rPr>
          <w:sz w:val="22"/>
        </w:rPr>
        <w:t xml:space="preserve"> przy oferowaniu obligacji </w:t>
      </w:r>
      <w:proofErr w:type="spellStart"/>
      <w:r w:rsidR="006A487A">
        <w:rPr>
          <w:sz w:val="22"/>
        </w:rPr>
        <w:t>GetBack</w:t>
      </w:r>
      <w:proofErr w:type="spellEnd"/>
      <w:r w:rsidR="006A487A">
        <w:rPr>
          <w:sz w:val="22"/>
        </w:rPr>
        <w:t xml:space="preserve">, </w:t>
      </w:r>
      <w:r w:rsidR="004A29B3">
        <w:rPr>
          <w:sz w:val="22"/>
        </w:rPr>
        <w:t xml:space="preserve">UOKiK zarzuca </w:t>
      </w:r>
      <w:r w:rsidR="006A487A">
        <w:rPr>
          <w:sz w:val="22"/>
        </w:rPr>
        <w:t>bankowi stosowanie</w:t>
      </w:r>
      <w:r w:rsidR="0057543A">
        <w:rPr>
          <w:sz w:val="22"/>
        </w:rPr>
        <w:t xml:space="preserve"> </w:t>
      </w:r>
      <w:proofErr w:type="spellStart"/>
      <w:r w:rsidR="0057543A">
        <w:rPr>
          <w:sz w:val="22"/>
        </w:rPr>
        <w:t>missellingu</w:t>
      </w:r>
      <w:proofErr w:type="spellEnd"/>
      <w:r w:rsidR="0057543A">
        <w:rPr>
          <w:sz w:val="22"/>
        </w:rPr>
        <w:t xml:space="preserve">, czyli </w:t>
      </w:r>
      <w:r w:rsidR="004A29B3">
        <w:rPr>
          <w:sz w:val="22"/>
        </w:rPr>
        <w:t xml:space="preserve">oferowanie </w:t>
      </w:r>
      <w:r w:rsidR="0057543A">
        <w:rPr>
          <w:sz w:val="22"/>
        </w:rPr>
        <w:t>produktów niedopasowanych do potrzeb klientów.</w:t>
      </w:r>
    </w:p>
    <w:p w14:paraId="7042BEA0" w14:textId="77777777" w:rsidR="000B286A" w:rsidRPr="00D47CCF" w:rsidRDefault="000B286A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57543A" w:rsidRPr="000566FD">
        <w:rPr>
          <w:i/>
          <w:sz w:val="22"/>
        </w:rPr>
        <w:t xml:space="preserve">Obligatariusze </w:t>
      </w:r>
      <w:proofErr w:type="spellStart"/>
      <w:r w:rsidR="0057543A" w:rsidRPr="000566FD">
        <w:rPr>
          <w:i/>
          <w:sz w:val="22"/>
        </w:rPr>
        <w:t>GetBacku</w:t>
      </w:r>
      <w:proofErr w:type="spellEnd"/>
      <w:r w:rsidR="0057543A" w:rsidRPr="000566FD">
        <w:rPr>
          <w:i/>
          <w:sz w:val="22"/>
        </w:rPr>
        <w:t xml:space="preserve"> to w większości zwykli konsumenci, często osoby starsze, a nie profesjonalni inwestorzy. </w:t>
      </w:r>
      <w:r w:rsidR="000566FD" w:rsidRPr="000566FD">
        <w:rPr>
          <w:i/>
          <w:sz w:val="22"/>
        </w:rPr>
        <w:t>Wielu z nich s</w:t>
      </w:r>
      <w:r w:rsidR="0057543A" w:rsidRPr="000566FD">
        <w:rPr>
          <w:i/>
          <w:sz w:val="22"/>
        </w:rPr>
        <w:t>traci</w:t>
      </w:r>
      <w:r w:rsidR="000566FD" w:rsidRPr="000566FD">
        <w:rPr>
          <w:i/>
          <w:sz w:val="22"/>
        </w:rPr>
        <w:t>ło oszczędności życia, bo wmówiono im, że obligacje spółki są bezpieczne. Z naszej strony nie ma przyzwolenia na takie nieuczciwe praktyki, na ukrywanie przed konsumentami ryzyka</w:t>
      </w:r>
      <w:r w:rsidR="00D506FC">
        <w:rPr>
          <w:i/>
          <w:sz w:val="22"/>
        </w:rPr>
        <w:t xml:space="preserve">. Zakończenie postępowań w sprawie </w:t>
      </w:r>
      <w:proofErr w:type="spellStart"/>
      <w:r w:rsidR="00D506FC">
        <w:rPr>
          <w:i/>
          <w:sz w:val="22"/>
        </w:rPr>
        <w:t>GetBacku</w:t>
      </w:r>
      <w:proofErr w:type="spellEnd"/>
      <w:r w:rsidR="00D506FC">
        <w:rPr>
          <w:i/>
          <w:sz w:val="22"/>
        </w:rPr>
        <w:t xml:space="preserve"> to dla nas priorytet </w:t>
      </w:r>
      <w:r w:rsidR="0057543A">
        <w:rPr>
          <w:sz w:val="22"/>
        </w:rPr>
        <w:t xml:space="preserve"> </w:t>
      </w:r>
      <w:r w:rsidR="000566FD">
        <w:rPr>
          <w:sz w:val="22"/>
        </w:rPr>
        <w:t>– mówi Marek Niechciał, prezes UOKiK.</w:t>
      </w:r>
    </w:p>
    <w:p w14:paraId="4B97E4C1" w14:textId="77777777" w:rsidR="00A13244" w:rsidRPr="00D47CCF" w:rsidRDefault="00260EF9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PDM - decyzja</w:t>
      </w:r>
    </w:p>
    <w:p w14:paraId="1D2F97DB" w14:textId="52A97DF5" w:rsidR="00BB1ACF" w:rsidRDefault="00BB1ACF" w:rsidP="00260EF9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Polski Dom Maklerski świadczył dla spółki </w:t>
      </w:r>
      <w:proofErr w:type="spellStart"/>
      <w:r>
        <w:rPr>
          <w:sz w:val="22"/>
        </w:rPr>
        <w:t>GetBack</w:t>
      </w:r>
      <w:proofErr w:type="spellEnd"/>
      <w:r>
        <w:rPr>
          <w:sz w:val="22"/>
        </w:rPr>
        <w:t xml:space="preserve"> usługi </w:t>
      </w:r>
      <w:r w:rsidR="006A487A">
        <w:rPr>
          <w:sz w:val="22"/>
        </w:rPr>
        <w:t xml:space="preserve">maklerskie </w:t>
      </w:r>
      <w:r>
        <w:rPr>
          <w:sz w:val="22"/>
        </w:rPr>
        <w:t xml:space="preserve">– </w:t>
      </w:r>
      <w:r w:rsidR="006A487A">
        <w:rPr>
          <w:sz w:val="22"/>
        </w:rPr>
        <w:t>przygotowywał dokumentacj</w:t>
      </w:r>
      <w:r w:rsidR="004A29B3">
        <w:rPr>
          <w:sz w:val="22"/>
        </w:rPr>
        <w:t>ę</w:t>
      </w:r>
      <w:r w:rsidR="006A487A">
        <w:rPr>
          <w:sz w:val="22"/>
        </w:rPr>
        <w:t xml:space="preserve"> związan</w:t>
      </w:r>
      <w:r w:rsidR="004B4D88">
        <w:rPr>
          <w:sz w:val="22"/>
        </w:rPr>
        <w:t>ą</w:t>
      </w:r>
      <w:r w:rsidR="006A487A">
        <w:rPr>
          <w:sz w:val="22"/>
        </w:rPr>
        <w:t xml:space="preserve"> z emisj</w:t>
      </w:r>
      <w:r w:rsidR="004B4D88">
        <w:rPr>
          <w:sz w:val="22"/>
        </w:rPr>
        <w:t>ami</w:t>
      </w:r>
      <w:r w:rsidR="006A487A">
        <w:rPr>
          <w:sz w:val="22"/>
        </w:rPr>
        <w:t xml:space="preserve"> jej obligacji</w:t>
      </w:r>
      <w:r w:rsidR="004B4D88">
        <w:rPr>
          <w:sz w:val="22"/>
        </w:rPr>
        <w:t xml:space="preserve"> i je obsługiwał</w:t>
      </w:r>
      <w:r w:rsidR="006A487A">
        <w:rPr>
          <w:sz w:val="22"/>
        </w:rPr>
        <w:t xml:space="preserve">, a także uczestniczył w procesie oferowania </w:t>
      </w:r>
      <w:r>
        <w:rPr>
          <w:sz w:val="22"/>
        </w:rPr>
        <w:t xml:space="preserve">konsumentom </w:t>
      </w:r>
      <w:r w:rsidR="004A29B3">
        <w:rPr>
          <w:sz w:val="22"/>
        </w:rPr>
        <w:t xml:space="preserve">nabycia </w:t>
      </w:r>
      <w:r w:rsidR="004B4D88">
        <w:rPr>
          <w:sz w:val="22"/>
        </w:rPr>
        <w:t xml:space="preserve">tych </w:t>
      </w:r>
      <w:r>
        <w:rPr>
          <w:sz w:val="22"/>
        </w:rPr>
        <w:t xml:space="preserve">obligacji. </w:t>
      </w:r>
      <w:r w:rsidR="00777C6D">
        <w:rPr>
          <w:sz w:val="22"/>
        </w:rPr>
        <w:t xml:space="preserve">Współpracował przy tym </w:t>
      </w:r>
      <w:r w:rsidR="004B4D88">
        <w:rPr>
          <w:sz w:val="22"/>
        </w:rPr>
        <w:t>głównie z</w:t>
      </w:r>
      <w:r w:rsidR="00777C6D">
        <w:rPr>
          <w:sz w:val="22"/>
        </w:rPr>
        <w:t xml:space="preserve"> Idea Bankiem, który przedstawiał ofertę swoim klientom. </w:t>
      </w:r>
      <w:r w:rsidR="004B4D88">
        <w:rPr>
          <w:sz w:val="22"/>
        </w:rPr>
        <w:t xml:space="preserve">Zapis na obligacje odbywał się zdalnie – </w:t>
      </w:r>
      <w:r w:rsidR="001D328E">
        <w:rPr>
          <w:sz w:val="22"/>
        </w:rPr>
        <w:t>drogą elektroniczną</w:t>
      </w:r>
      <w:r w:rsidR="00836B48">
        <w:rPr>
          <w:sz w:val="22"/>
        </w:rPr>
        <w:t xml:space="preserve">. </w:t>
      </w:r>
      <w:r w:rsidR="004B4D88">
        <w:rPr>
          <w:sz w:val="22"/>
        </w:rPr>
        <w:t xml:space="preserve">Wystarczyło </w:t>
      </w:r>
      <w:r w:rsidR="00836B48">
        <w:rPr>
          <w:sz w:val="22"/>
        </w:rPr>
        <w:t>m.in. wypełnić</w:t>
      </w:r>
      <w:r w:rsidR="000B7BA1">
        <w:rPr>
          <w:sz w:val="22"/>
        </w:rPr>
        <w:t xml:space="preserve"> (zazwyczaj robił to pracownik </w:t>
      </w:r>
      <w:r w:rsidR="000B7BA1">
        <w:rPr>
          <w:sz w:val="22"/>
        </w:rPr>
        <w:lastRenderedPageBreak/>
        <w:t xml:space="preserve">banku, a nie konsument) </w:t>
      </w:r>
      <w:r w:rsidR="00836B48">
        <w:rPr>
          <w:sz w:val="22"/>
        </w:rPr>
        <w:t xml:space="preserve">i wysłać </w:t>
      </w:r>
      <w:r w:rsidR="005D50B9">
        <w:rPr>
          <w:sz w:val="22"/>
        </w:rPr>
        <w:t>f</w:t>
      </w:r>
      <w:r w:rsidR="00836B48">
        <w:rPr>
          <w:sz w:val="22"/>
        </w:rPr>
        <w:t>ormularz</w:t>
      </w:r>
      <w:r w:rsidR="005121C0">
        <w:rPr>
          <w:sz w:val="22"/>
        </w:rPr>
        <w:t xml:space="preserve"> z podstawowymi danymi k</w:t>
      </w:r>
      <w:r w:rsidR="000B7BA1">
        <w:rPr>
          <w:sz w:val="22"/>
        </w:rPr>
        <w:t>li</w:t>
      </w:r>
      <w:r w:rsidR="005121C0">
        <w:rPr>
          <w:sz w:val="22"/>
        </w:rPr>
        <w:t>enta</w:t>
      </w:r>
      <w:r w:rsidR="00836B48">
        <w:rPr>
          <w:sz w:val="22"/>
        </w:rPr>
        <w:t xml:space="preserve">, w którym </w:t>
      </w:r>
      <w:r w:rsidR="006A487A">
        <w:rPr>
          <w:sz w:val="22"/>
        </w:rPr>
        <w:t xml:space="preserve">znajdowało się </w:t>
      </w:r>
      <w:r w:rsidR="005121C0">
        <w:rPr>
          <w:sz w:val="22"/>
        </w:rPr>
        <w:t xml:space="preserve">także </w:t>
      </w:r>
      <w:r w:rsidR="006A487A">
        <w:rPr>
          <w:sz w:val="22"/>
        </w:rPr>
        <w:t>postanowienie,</w:t>
      </w:r>
      <w:r w:rsidR="00836B48">
        <w:rPr>
          <w:sz w:val="22"/>
        </w:rPr>
        <w:t xml:space="preserve"> że </w:t>
      </w:r>
      <w:r w:rsidR="004B4D88">
        <w:rPr>
          <w:sz w:val="22"/>
        </w:rPr>
        <w:t xml:space="preserve">nabywcy obligacji </w:t>
      </w:r>
      <w:r w:rsidR="00836B48" w:rsidRPr="006075C5">
        <w:rPr>
          <w:sz w:val="22"/>
        </w:rPr>
        <w:t>nie usłysz</w:t>
      </w:r>
      <w:r w:rsidR="00836B48">
        <w:rPr>
          <w:sz w:val="22"/>
        </w:rPr>
        <w:t>eli</w:t>
      </w:r>
      <w:r w:rsidR="00836B48" w:rsidRPr="006075C5">
        <w:rPr>
          <w:sz w:val="22"/>
        </w:rPr>
        <w:t xml:space="preserve"> ani nie dosta</w:t>
      </w:r>
      <w:r w:rsidR="00836B48">
        <w:rPr>
          <w:sz w:val="22"/>
        </w:rPr>
        <w:t>li</w:t>
      </w:r>
      <w:r w:rsidR="00836B48" w:rsidRPr="006075C5">
        <w:rPr>
          <w:sz w:val="22"/>
        </w:rPr>
        <w:t xml:space="preserve"> żadnych informacji, które byłyby sprzeczne z tym, co jest napisane w Propozycji Nabycia Obligacji lub Warunkach Emisji Obligacji. </w:t>
      </w:r>
      <w:r w:rsidR="001D328E">
        <w:rPr>
          <w:sz w:val="22"/>
        </w:rPr>
        <w:t>Konsumenci n</w:t>
      </w:r>
      <w:r w:rsidR="00836B48" w:rsidRPr="00B922E1">
        <w:rPr>
          <w:sz w:val="22"/>
        </w:rPr>
        <w:t>ie mi</w:t>
      </w:r>
      <w:r w:rsidR="00836B48">
        <w:rPr>
          <w:sz w:val="22"/>
        </w:rPr>
        <w:t>eli</w:t>
      </w:r>
      <w:r w:rsidR="00836B48" w:rsidRPr="00B922E1">
        <w:rPr>
          <w:sz w:val="22"/>
        </w:rPr>
        <w:t xml:space="preserve"> możliwości wysła</w:t>
      </w:r>
      <w:r w:rsidR="001D328E">
        <w:rPr>
          <w:sz w:val="22"/>
        </w:rPr>
        <w:t>nia</w:t>
      </w:r>
      <w:r w:rsidR="00836B48" w:rsidRPr="00B922E1">
        <w:rPr>
          <w:sz w:val="22"/>
        </w:rPr>
        <w:t xml:space="preserve"> </w:t>
      </w:r>
      <w:r w:rsidR="005D50B9">
        <w:rPr>
          <w:sz w:val="22"/>
        </w:rPr>
        <w:t>dokumentu</w:t>
      </w:r>
      <w:r w:rsidR="00836B48" w:rsidRPr="00B922E1">
        <w:rPr>
          <w:sz w:val="22"/>
        </w:rPr>
        <w:t xml:space="preserve"> bez </w:t>
      </w:r>
      <w:r w:rsidR="00836B48">
        <w:rPr>
          <w:sz w:val="22"/>
        </w:rPr>
        <w:t xml:space="preserve">zaakceptowania </w:t>
      </w:r>
      <w:r w:rsidR="00836B48" w:rsidRPr="00B922E1">
        <w:rPr>
          <w:sz w:val="22"/>
        </w:rPr>
        <w:t>tego p</w:t>
      </w:r>
      <w:r w:rsidR="005D50B9">
        <w:rPr>
          <w:sz w:val="22"/>
        </w:rPr>
        <w:t>ostanowienia</w:t>
      </w:r>
      <w:r w:rsidR="00071F7D">
        <w:rPr>
          <w:sz w:val="22"/>
        </w:rPr>
        <w:t>, nawet jeśli faktycznie było inaczej</w:t>
      </w:r>
      <w:r w:rsidR="00836B48" w:rsidRPr="00B922E1">
        <w:rPr>
          <w:sz w:val="22"/>
        </w:rPr>
        <w:t xml:space="preserve">. </w:t>
      </w:r>
    </w:p>
    <w:p w14:paraId="45E17AEF" w14:textId="1999A785" w:rsidR="00836B48" w:rsidRDefault="00836B48" w:rsidP="00260EF9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UOKiK stwierdził, że </w:t>
      </w:r>
      <w:r w:rsidR="00071F7D">
        <w:rPr>
          <w:sz w:val="22"/>
        </w:rPr>
        <w:t xml:space="preserve">jest to klauzula niedozwolona. – </w:t>
      </w:r>
      <w:r w:rsidR="00071F7D" w:rsidRPr="002543E3">
        <w:rPr>
          <w:i/>
          <w:sz w:val="22"/>
        </w:rPr>
        <w:t xml:space="preserve">Takie postanowienie </w:t>
      </w:r>
      <w:r w:rsidR="002543E3" w:rsidRPr="002543E3">
        <w:rPr>
          <w:i/>
          <w:sz w:val="22"/>
        </w:rPr>
        <w:t xml:space="preserve">mogło utrudnić konsumentom dochodzenie roszczeń, a także </w:t>
      </w:r>
      <w:r w:rsidR="001D328E" w:rsidRPr="002543E3">
        <w:rPr>
          <w:i/>
          <w:sz w:val="22"/>
        </w:rPr>
        <w:t xml:space="preserve">zniechęcić </w:t>
      </w:r>
      <w:r w:rsidR="002543E3" w:rsidRPr="002543E3">
        <w:rPr>
          <w:i/>
          <w:sz w:val="22"/>
        </w:rPr>
        <w:t>ich do tego</w:t>
      </w:r>
      <w:r w:rsidR="000B7BA1">
        <w:rPr>
          <w:i/>
          <w:sz w:val="22"/>
        </w:rPr>
        <w:t xml:space="preserve"> typu</w:t>
      </w:r>
      <w:r w:rsidR="001D328E">
        <w:rPr>
          <w:i/>
          <w:sz w:val="22"/>
        </w:rPr>
        <w:t xml:space="preserve"> działań</w:t>
      </w:r>
      <w:r w:rsidR="002543E3" w:rsidRPr="002543E3">
        <w:rPr>
          <w:i/>
          <w:sz w:val="22"/>
        </w:rPr>
        <w:t xml:space="preserve">. </w:t>
      </w:r>
      <w:r w:rsidR="00D4192E">
        <w:rPr>
          <w:i/>
          <w:sz w:val="22"/>
        </w:rPr>
        <w:t>Miało z</w:t>
      </w:r>
      <w:r w:rsidR="002543E3" w:rsidRPr="002543E3">
        <w:rPr>
          <w:i/>
          <w:sz w:val="22"/>
        </w:rPr>
        <w:t>abezpiecz</w:t>
      </w:r>
      <w:r w:rsidR="00D4192E">
        <w:rPr>
          <w:i/>
          <w:sz w:val="22"/>
        </w:rPr>
        <w:t>yć</w:t>
      </w:r>
      <w:r w:rsidR="002543E3" w:rsidRPr="002543E3">
        <w:rPr>
          <w:i/>
          <w:sz w:val="22"/>
        </w:rPr>
        <w:t xml:space="preserve"> PDM i współpracujący z nim Idea Bank przed odpowiedzialnością za ewentualne wprowadzenie klientów w błąd </w:t>
      </w:r>
      <w:r w:rsidR="006A487A" w:rsidRPr="002543E3">
        <w:rPr>
          <w:i/>
          <w:sz w:val="22"/>
        </w:rPr>
        <w:t>prz</w:t>
      </w:r>
      <w:r w:rsidR="00301602">
        <w:rPr>
          <w:i/>
          <w:sz w:val="22"/>
        </w:rPr>
        <w:t>ed</w:t>
      </w:r>
      <w:r w:rsidR="006A487A" w:rsidRPr="002543E3">
        <w:rPr>
          <w:i/>
          <w:sz w:val="22"/>
        </w:rPr>
        <w:t xml:space="preserve"> </w:t>
      </w:r>
      <w:r w:rsidR="002543E3" w:rsidRPr="002543E3">
        <w:rPr>
          <w:i/>
          <w:sz w:val="22"/>
        </w:rPr>
        <w:t>zawarciem umowy</w:t>
      </w:r>
      <w:r w:rsidR="002543E3">
        <w:rPr>
          <w:sz w:val="22"/>
        </w:rPr>
        <w:t xml:space="preserve"> </w:t>
      </w:r>
      <w:r w:rsidR="00301602" w:rsidRPr="000B7BA1">
        <w:rPr>
          <w:i/>
          <w:sz w:val="22"/>
        </w:rPr>
        <w:t>nabycia obligacji</w:t>
      </w:r>
      <w:r w:rsidR="00301602">
        <w:rPr>
          <w:sz w:val="22"/>
        </w:rPr>
        <w:t xml:space="preserve"> </w:t>
      </w:r>
      <w:r w:rsidR="002543E3">
        <w:rPr>
          <w:sz w:val="22"/>
        </w:rPr>
        <w:t xml:space="preserve">– mówi Marek Niechciał, prezes UOKiK. </w:t>
      </w:r>
    </w:p>
    <w:p w14:paraId="7635FC83" w14:textId="2055D5B4" w:rsidR="00D506FC" w:rsidRDefault="00D506FC" w:rsidP="00260EF9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 stosowanie klauzuli niedozwolonej </w:t>
      </w:r>
      <w:r w:rsidRPr="009C660C">
        <w:rPr>
          <w:b/>
          <w:sz w:val="22"/>
        </w:rPr>
        <w:t>UOKiK nałożył na PDM</w:t>
      </w:r>
      <w:r w:rsidR="006A487A">
        <w:rPr>
          <w:b/>
          <w:sz w:val="22"/>
        </w:rPr>
        <w:t xml:space="preserve"> </w:t>
      </w:r>
      <w:r w:rsidRPr="009C660C">
        <w:rPr>
          <w:b/>
          <w:sz w:val="22"/>
        </w:rPr>
        <w:t>ponad 2 mln zł</w:t>
      </w:r>
      <w:r>
        <w:rPr>
          <w:sz w:val="22"/>
        </w:rPr>
        <w:t xml:space="preserve"> (</w:t>
      </w:r>
      <w:r w:rsidRPr="002C37B6">
        <w:rPr>
          <w:sz w:val="22"/>
        </w:rPr>
        <w:t>2</w:t>
      </w:r>
      <w:r>
        <w:rPr>
          <w:sz w:val="22"/>
        </w:rPr>
        <w:t> </w:t>
      </w:r>
      <w:r w:rsidRPr="002C37B6">
        <w:rPr>
          <w:sz w:val="22"/>
        </w:rPr>
        <w:t>074</w:t>
      </w:r>
      <w:r>
        <w:rPr>
          <w:sz w:val="22"/>
        </w:rPr>
        <w:t> </w:t>
      </w:r>
      <w:r w:rsidRPr="002C37B6">
        <w:rPr>
          <w:sz w:val="22"/>
        </w:rPr>
        <w:t>483</w:t>
      </w:r>
      <w:r>
        <w:rPr>
          <w:sz w:val="22"/>
        </w:rPr>
        <w:t xml:space="preserve"> zł)</w:t>
      </w:r>
      <w:r w:rsidR="005121C0">
        <w:rPr>
          <w:sz w:val="22"/>
        </w:rPr>
        <w:t xml:space="preserve"> kary pieniężnej</w:t>
      </w:r>
      <w:r>
        <w:rPr>
          <w:sz w:val="22"/>
        </w:rPr>
        <w:t xml:space="preserve">. </w:t>
      </w:r>
      <w:r w:rsidR="004A29B3">
        <w:rPr>
          <w:sz w:val="22"/>
        </w:rPr>
        <w:t xml:space="preserve">Gdy decyzja się uprawomocni, trafi </w:t>
      </w:r>
      <w:r>
        <w:rPr>
          <w:sz w:val="22"/>
        </w:rPr>
        <w:t>ona na Fundusz Edukacji Finansowej</w:t>
      </w:r>
      <w:r w:rsidR="001D328E">
        <w:rPr>
          <w:sz w:val="22"/>
        </w:rPr>
        <w:t>, który powstał na początku tego roku</w:t>
      </w:r>
      <w:r>
        <w:rPr>
          <w:sz w:val="22"/>
        </w:rPr>
        <w:t xml:space="preserve">. </w:t>
      </w:r>
      <w:r w:rsidRPr="002C37B6">
        <w:rPr>
          <w:sz w:val="22"/>
        </w:rPr>
        <w:t>Jego celem jest zwiększenie świadomości finansowej Polaków oraz działania edukacyjne</w:t>
      </w:r>
      <w:r>
        <w:rPr>
          <w:sz w:val="22"/>
        </w:rPr>
        <w:t>, dzięki którym konsumenci poznają swoje prawa i lepiej będą umieli ocenić ryzyko inwestycyjne</w:t>
      </w:r>
      <w:r w:rsidRPr="002C37B6">
        <w:rPr>
          <w:sz w:val="22"/>
        </w:rPr>
        <w:t>.</w:t>
      </w:r>
    </w:p>
    <w:p w14:paraId="102517B1" w14:textId="2677BB7E" w:rsidR="00E1500D" w:rsidRDefault="002543E3" w:rsidP="00260EF9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Co decyzja urzędu oznacza dla konsumentów</w:t>
      </w:r>
      <w:r w:rsidR="006A487A">
        <w:rPr>
          <w:sz w:val="22"/>
        </w:rPr>
        <w:t xml:space="preserve">, którzy nabyli obligacje </w:t>
      </w:r>
      <w:proofErr w:type="spellStart"/>
      <w:r w:rsidR="006A487A">
        <w:rPr>
          <w:sz w:val="22"/>
        </w:rPr>
        <w:t>GetBack</w:t>
      </w:r>
      <w:proofErr w:type="spellEnd"/>
      <w:r>
        <w:rPr>
          <w:sz w:val="22"/>
        </w:rPr>
        <w:t xml:space="preserve">? </w:t>
      </w:r>
      <w:r w:rsidRPr="009C660C">
        <w:rPr>
          <w:b/>
          <w:sz w:val="22"/>
        </w:rPr>
        <w:t>Postanowienie niedozwolone nie ma mocy wiążącej.</w:t>
      </w:r>
      <w:r>
        <w:rPr>
          <w:sz w:val="22"/>
        </w:rPr>
        <w:t xml:space="preserve"> Jeśli więc pracownik </w:t>
      </w:r>
      <w:hyperlink r:id="rId7" w:history="1">
        <w:r w:rsidR="002C37B6" w:rsidRPr="001B3FE9">
          <w:rPr>
            <w:rStyle w:val="Hipercze"/>
            <w:sz w:val="22"/>
          </w:rPr>
          <w:t>Idea Bank</w:t>
        </w:r>
        <w:r w:rsidR="004A29B3" w:rsidRPr="001B3FE9">
          <w:rPr>
            <w:rStyle w:val="Hipercze"/>
            <w:sz w:val="22"/>
          </w:rPr>
          <w:t>u</w:t>
        </w:r>
        <w:r w:rsidRPr="001B3FE9">
          <w:rPr>
            <w:rStyle w:val="Hipercze"/>
            <w:sz w:val="22"/>
          </w:rPr>
          <w:t xml:space="preserve"> </w:t>
        </w:r>
        <w:r w:rsidR="00D4192E" w:rsidRPr="001B3FE9">
          <w:rPr>
            <w:rStyle w:val="Hipercze"/>
            <w:sz w:val="22"/>
          </w:rPr>
          <w:t xml:space="preserve">wprowadził </w:t>
        </w:r>
        <w:r w:rsidR="006A487A" w:rsidRPr="001B3FE9">
          <w:rPr>
            <w:rStyle w:val="Hipercze"/>
            <w:sz w:val="22"/>
          </w:rPr>
          <w:t xml:space="preserve">ich </w:t>
        </w:r>
        <w:r w:rsidR="00D4192E" w:rsidRPr="001B3FE9">
          <w:rPr>
            <w:rStyle w:val="Hipercze"/>
            <w:sz w:val="22"/>
          </w:rPr>
          <w:t>w błąd</w:t>
        </w:r>
      </w:hyperlink>
      <w:bookmarkStart w:id="0" w:name="_GoBack"/>
      <w:bookmarkEnd w:id="0"/>
      <w:r w:rsidR="00D4192E">
        <w:rPr>
          <w:sz w:val="22"/>
        </w:rPr>
        <w:t xml:space="preserve"> podczas oferowania obligacji, </w:t>
      </w:r>
      <w:r w:rsidR="006A487A">
        <w:rPr>
          <w:sz w:val="22"/>
        </w:rPr>
        <w:t xml:space="preserve">mogą </w:t>
      </w:r>
      <w:hyperlink r:id="rId8" w:history="1">
        <w:r w:rsidR="006A487A" w:rsidRPr="00D4192E">
          <w:rPr>
            <w:rStyle w:val="Hipercze"/>
            <w:sz w:val="22"/>
          </w:rPr>
          <w:t>złoż</w:t>
        </w:r>
        <w:r w:rsidR="006A487A">
          <w:rPr>
            <w:rStyle w:val="Hipercze"/>
            <w:sz w:val="22"/>
          </w:rPr>
          <w:t>yć</w:t>
        </w:r>
        <w:r w:rsidR="00D4192E" w:rsidRPr="00D4192E">
          <w:rPr>
            <w:rStyle w:val="Hipercze"/>
            <w:sz w:val="22"/>
          </w:rPr>
          <w:t xml:space="preserve"> reklamację</w:t>
        </w:r>
      </w:hyperlink>
      <w:r w:rsidR="00D4192E">
        <w:rPr>
          <w:sz w:val="22"/>
        </w:rPr>
        <w:t xml:space="preserve"> i </w:t>
      </w:r>
      <w:r w:rsidR="006A487A">
        <w:rPr>
          <w:sz w:val="22"/>
        </w:rPr>
        <w:t xml:space="preserve">zażądać </w:t>
      </w:r>
      <w:r w:rsidR="00D4192E">
        <w:rPr>
          <w:sz w:val="22"/>
        </w:rPr>
        <w:t xml:space="preserve">zwrotu wpłaconych kwot. </w:t>
      </w:r>
      <w:r w:rsidR="001B3FE9">
        <w:rPr>
          <w:sz w:val="22"/>
        </w:rPr>
        <w:t>Przedsiębiorca</w:t>
      </w:r>
      <w:r w:rsidR="006A487A">
        <w:rPr>
          <w:sz w:val="22"/>
        </w:rPr>
        <w:t xml:space="preserve">, </w:t>
      </w:r>
      <w:r w:rsidR="001B3FE9">
        <w:rPr>
          <w:sz w:val="22"/>
        </w:rPr>
        <w:t>nie może</w:t>
      </w:r>
      <w:r w:rsidR="006A487A">
        <w:rPr>
          <w:sz w:val="22"/>
        </w:rPr>
        <w:t xml:space="preserve"> </w:t>
      </w:r>
      <w:r w:rsidR="00E1500D">
        <w:rPr>
          <w:sz w:val="22"/>
        </w:rPr>
        <w:t xml:space="preserve">powoływać </w:t>
      </w:r>
      <w:r w:rsidR="006A487A">
        <w:rPr>
          <w:sz w:val="22"/>
        </w:rPr>
        <w:t xml:space="preserve">się </w:t>
      </w:r>
      <w:r w:rsidR="00E1500D">
        <w:rPr>
          <w:sz w:val="22"/>
        </w:rPr>
        <w:t>na zakwestionowane postanowienie i wskazywać, że istotniejsze od tego</w:t>
      </w:r>
      <w:r w:rsidR="004A29B3">
        <w:rPr>
          <w:sz w:val="22"/>
        </w:rPr>
        <w:t>,</w:t>
      </w:r>
      <w:r w:rsidR="001B3FE9">
        <w:rPr>
          <w:sz w:val="22"/>
        </w:rPr>
        <w:t xml:space="preserve"> co mówił jego pracownik</w:t>
      </w:r>
      <w:r w:rsidR="00E1500D">
        <w:rPr>
          <w:sz w:val="22"/>
        </w:rPr>
        <w:t xml:space="preserve"> przed zawarcie</w:t>
      </w:r>
      <w:r w:rsidR="005121C0">
        <w:rPr>
          <w:sz w:val="22"/>
        </w:rPr>
        <w:t>m</w:t>
      </w:r>
      <w:r w:rsidR="00E1500D">
        <w:rPr>
          <w:sz w:val="22"/>
        </w:rPr>
        <w:t xml:space="preserve"> umowy nabycia obligacji, jest to</w:t>
      </w:r>
      <w:r w:rsidR="005121C0">
        <w:rPr>
          <w:sz w:val="22"/>
        </w:rPr>
        <w:t>,</w:t>
      </w:r>
      <w:r w:rsidR="00E1500D">
        <w:rPr>
          <w:sz w:val="22"/>
        </w:rPr>
        <w:t xml:space="preserve"> co znajduje się w oficjalnych dokument</w:t>
      </w:r>
      <w:r w:rsidR="005121C0">
        <w:rPr>
          <w:sz w:val="22"/>
        </w:rPr>
        <w:t>ach</w:t>
      </w:r>
      <w:r w:rsidR="00E1500D">
        <w:rPr>
          <w:sz w:val="22"/>
        </w:rPr>
        <w:t xml:space="preserve">. </w:t>
      </w:r>
      <w:r w:rsidR="00D4192E">
        <w:rPr>
          <w:sz w:val="22"/>
        </w:rPr>
        <w:t xml:space="preserve">Jeśli </w:t>
      </w:r>
      <w:r w:rsidR="002C37B6">
        <w:rPr>
          <w:sz w:val="22"/>
        </w:rPr>
        <w:t>reklamacja</w:t>
      </w:r>
      <w:r w:rsidR="00D4192E">
        <w:rPr>
          <w:sz w:val="22"/>
        </w:rPr>
        <w:t xml:space="preserve"> nic nie da, </w:t>
      </w:r>
      <w:r w:rsidR="00E1500D">
        <w:rPr>
          <w:sz w:val="22"/>
        </w:rPr>
        <w:t>można dochodzić</w:t>
      </w:r>
      <w:r w:rsidR="00D4192E">
        <w:rPr>
          <w:sz w:val="22"/>
        </w:rPr>
        <w:t xml:space="preserve"> swoich praw w sądzie</w:t>
      </w:r>
      <w:r w:rsidR="00E1500D">
        <w:rPr>
          <w:sz w:val="22"/>
        </w:rPr>
        <w:t xml:space="preserve"> lub na drodze polubownej</w:t>
      </w:r>
      <w:r w:rsidR="00D4192E">
        <w:rPr>
          <w:sz w:val="22"/>
        </w:rPr>
        <w:t xml:space="preserve">. </w:t>
      </w:r>
    </w:p>
    <w:p w14:paraId="7A0A9C91" w14:textId="36BC5436" w:rsidR="002C37B6" w:rsidRDefault="00E1500D" w:rsidP="00260EF9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O rozstrzygnięciu </w:t>
      </w:r>
      <w:r w:rsidR="001D328E">
        <w:rPr>
          <w:sz w:val="22"/>
        </w:rPr>
        <w:t>P</w:t>
      </w:r>
      <w:r>
        <w:rPr>
          <w:sz w:val="22"/>
        </w:rPr>
        <w:t xml:space="preserve">rezesa UOKiK </w:t>
      </w:r>
      <w:r w:rsidR="00767C37">
        <w:rPr>
          <w:sz w:val="22"/>
        </w:rPr>
        <w:t xml:space="preserve">PDM </w:t>
      </w:r>
      <w:r w:rsidR="009C660C">
        <w:rPr>
          <w:sz w:val="22"/>
        </w:rPr>
        <w:t>mus</w:t>
      </w:r>
      <w:r w:rsidR="00767C37">
        <w:rPr>
          <w:sz w:val="22"/>
        </w:rPr>
        <w:t>i</w:t>
      </w:r>
      <w:r w:rsidR="009C660C">
        <w:rPr>
          <w:sz w:val="22"/>
        </w:rPr>
        <w:t xml:space="preserve"> </w:t>
      </w:r>
      <w:r w:rsidR="00767C37">
        <w:rPr>
          <w:sz w:val="22"/>
        </w:rPr>
        <w:t>zawiadomić listem poleconym wszystkich konsumentów, którzy nabyli obligacje</w:t>
      </w:r>
      <w:r>
        <w:rPr>
          <w:sz w:val="22"/>
        </w:rPr>
        <w:t xml:space="preserve"> </w:t>
      </w:r>
      <w:proofErr w:type="spellStart"/>
      <w:r>
        <w:rPr>
          <w:sz w:val="22"/>
        </w:rPr>
        <w:t>GetBack</w:t>
      </w:r>
      <w:proofErr w:type="spellEnd"/>
      <w:r w:rsidR="00767C37">
        <w:rPr>
          <w:sz w:val="22"/>
        </w:rPr>
        <w:t xml:space="preserve"> za jego pośrednictwem. </w:t>
      </w:r>
      <w:r w:rsidR="00AD331D" w:rsidRPr="008E24B1">
        <w:rPr>
          <w:sz w:val="22"/>
        </w:rPr>
        <w:t>Decyzja jest nieprawomocna, przedsiębiorca może się od niej odwołać</w:t>
      </w:r>
      <w:r w:rsidR="003A0DA4" w:rsidRPr="008E24B1">
        <w:rPr>
          <w:sz w:val="22"/>
        </w:rPr>
        <w:t xml:space="preserve"> w ciągu </w:t>
      </w:r>
      <w:r w:rsidR="008E24B1" w:rsidRPr="008E24B1">
        <w:rPr>
          <w:sz w:val="22"/>
        </w:rPr>
        <w:t>miesiąca</w:t>
      </w:r>
      <w:r w:rsidR="003A0DA4" w:rsidRPr="008E24B1">
        <w:rPr>
          <w:sz w:val="22"/>
        </w:rPr>
        <w:t xml:space="preserve"> od </w:t>
      </w:r>
      <w:r w:rsidR="008E24B1" w:rsidRPr="008E24B1">
        <w:rPr>
          <w:sz w:val="22"/>
        </w:rPr>
        <w:t xml:space="preserve">jej </w:t>
      </w:r>
      <w:r w:rsidR="003A0DA4" w:rsidRPr="008E24B1">
        <w:rPr>
          <w:sz w:val="22"/>
        </w:rPr>
        <w:t>doręczenia.</w:t>
      </w:r>
    </w:p>
    <w:p w14:paraId="04255A85" w14:textId="77777777" w:rsidR="00777C6D" w:rsidRDefault="00777C6D" w:rsidP="00260EF9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W listopadzie 2018 r. </w:t>
      </w:r>
      <w:hyperlink r:id="rId9" w:history="1">
        <w:r w:rsidRPr="005D50B9">
          <w:rPr>
            <w:rStyle w:val="Hipercze"/>
            <w:sz w:val="22"/>
          </w:rPr>
          <w:t>Komisja Nadzoru Finansowego cofnęła PDM zezwolenie</w:t>
        </w:r>
      </w:hyperlink>
      <w:r>
        <w:rPr>
          <w:sz w:val="22"/>
        </w:rPr>
        <w:t xml:space="preserve"> na prowadzenie działalności maklerskiej. Powód? </w:t>
      </w:r>
      <w:r w:rsidR="006F1AD9">
        <w:rPr>
          <w:sz w:val="22"/>
        </w:rPr>
        <w:t>Przy oferowaniu obligacji w</w:t>
      </w:r>
      <w:r>
        <w:rPr>
          <w:sz w:val="22"/>
        </w:rPr>
        <w:t xml:space="preserve">spółpracował z Idea Bankiem, </w:t>
      </w:r>
      <w:r w:rsidR="006F1AD9">
        <w:rPr>
          <w:sz w:val="22"/>
        </w:rPr>
        <w:t xml:space="preserve">mimo że ten nie </w:t>
      </w:r>
      <w:r>
        <w:rPr>
          <w:sz w:val="22"/>
        </w:rPr>
        <w:t xml:space="preserve">miał </w:t>
      </w:r>
      <w:r w:rsidR="006F1AD9">
        <w:rPr>
          <w:sz w:val="22"/>
        </w:rPr>
        <w:t xml:space="preserve">do tego </w:t>
      </w:r>
      <w:r>
        <w:rPr>
          <w:sz w:val="22"/>
        </w:rPr>
        <w:t>uprawnień.</w:t>
      </w:r>
    </w:p>
    <w:p w14:paraId="280E4CE7" w14:textId="77777777" w:rsidR="009C660C" w:rsidRPr="009C660C" w:rsidRDefault="009C660C" w:rsidP="00260EF9">
      <w:pPr>
        <w:spacing w:after="100" w:afterAutospacing="1" w:line="372" w:lineRule="auto"/>
        <w:jc w:val="both"/>
        <w:rPr>
          <w:b/>
          <w:sz w:val="22"/>
        </w:rPr>
      </w:pPr>
      <w:proofErr w:type="spellStart"/>
      <w:r w:rsidRPr="009C660C">
        <w:rPr>
          <w:b/>
          <w:sz w:val="22"/>
        </w:rPr>
        <w:t>GetBack</w:t>
      </w:r>
      <w:proofErr w:type="spellEnd"/>
      <w:r w:rsidRPr="009C660C">
        <w:rPr>
          <w:b/>
          <w:sz w:val="22"/>
        </w:rPr>
        <w:t xml:space="preserve"> – postępowanie</w:t>
      </w:r>
    </w:p>
    <w:p w14:paraId="47A8F051" w14:textId="77777777" w:rsidR="00640ECE" w:rsidRDefault="00767C37" w:rsidP="00260EF9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UOKiK wszczął </w:t>
      </w:r>
      <w:r w:rsidR="006F1AD9">
        <w:rPr>
          <w:sz w:val="22"/>
        </w:rPr>
        <w:t xml:space="preserve">właśnie </w:t>
      </w:r>
      <w:r>
        <w:rPr>
          <w:sz w:val="22"/>
        </w:rPr>
        <w:t xml:space="preserve">postępowanie przeciw spółce </w:t>
      </w:r>
      <w:proofErr w:type="spellStart"/>
      <w:r>
        <w:rPr>
          <w:sz w:val="22"/>
        </w:rPr>
        <w:t>Getback</w:t>
      </w:r>
      <w:proofErr w:type="spellEnd"/>
      <w:r>
        <w:rPr>
          <w:sz w:val="22"/>
        </w:rPr>
        <w:t xml:space="preserve">. Zarzuca jej stosowanie nieuczciwych praktyk rynkowych. </w:t>
      </w:r>
      <w:r w:rsidR="00640ECE">
        <w:rPr>
          <w:sz w:val="22"/>
        </w:rPr>
        <w:t>Ze skarg konsumentów wynika, że pracownicy spółki wprowadzali ich w błąd. Podczas rozmów telefonicznych i spotkań mieli przekonywać</w:t>
      </w:r>
      <w:r w:rsidR="006F1AD9">
        <w:rPr>
          <w:sz w:val="22"/>
        </w:rPr>
        <w:t xml:space="preserve"> klientów</w:t>
      </w:r>
      <w:r w:rsidR="00640ECE">
        <w:rPr>
          <w:sz w:val="22"/>
        </w:rPr>
        <w:t>, że:</w:t>
      </w:r>
    </w:p>
    <w:p w14:paraId="37182852" w14:textId="77777777" w:rsidR="0093251E" w:rsidRDefault="00640ECE" w:rsidP="00640ECE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 w:rsidRPr="00640ECE">
        <w:rPr>
          <w:sz w:val="22"/>
        </w:rPr>
        <w:t xml:space="preserve">obligacje </w:t>
      </w:r>
      <w:proofErr w:type="spellStart"/>
      <w:r w:rsidR="0093251E">
        <w:rPr>
          <w:sz w:val="22"/>
        </w:rPr>
        <w:t>GetBack</w:t>
      </w:r>
      <w:proofErr w:type="spellEnd"/>
      <w:r w:rsidR="0093251E">
        <w:rPr>
          <w:sz w:val="22"/>
        </w:rPr>
        <w:t xml:space="preserve"> </w:t>
      </w:r>
      <w:r w:rsidRPr="00640ECE">
        <w:rPr>
          <w:sz w:val="22"/>
        </w:rPr>
        <w:t xml:space="preserve">to bezpieczna inwestycja, </w:t>
      </w:r>
    </w:p>
    <w:p w14:paraId="34CFA3E9" w14:textId="77777777" w:rsidR="0093251E" w:rsidRDefault="00640ECE" w:rsidP="00640ECE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 w:rsidRPr="00640ECE">
        <w:rPr>
          <w:sz w:val="22"/>
        </w:rPr>
        <w:t xml:space="preserve">sytuacja spółki jest stabilna, </w:t>
      </w:r>
    </w:p>
    <w:p w14:paraId="1CCFFE7C" w14:textId="77777777" w:rsidR="00DD1866" w:rsidRDefault="00640ECE" w:rsidP="00640ECE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 w:rsidRPr="00640ECE">
        <w:rPr>
          <w:sz w:val="22"/>
        </w:rPr>
        <w:t xml:space="preserve">oferta jest </w:t>
      </w:r>
      <w:r w:rsidR="006F1AD9">
        <w:rPr>
          <w:sz w:val="22"/>
        </w:rPr>
        <w:t>ekskluzywna</w:t>
      </w:r>
      <w:r w:rsidRPr="00640ECE">
        <w:rPr>
          <w:sz w:val="22"/>
        </w:rPr>
        <w:t xml:space="preserve"> i ograniczona w czasie. </w:t>
      </w:r>
    </w:p>
    <w:p w14:paraId="7262908B" w14:textId="481E9AB7" w:rsidR="00B7400F" w:rsidRDefault="0093251E" w:rsidP="0093251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Wszystkie te informacje były nieprawdziwe. Obligacje korporacyjne nie są gwarantowane przez B</w:t>
      </w:r>
      <w:r w:rsidR="006F1AD9">
        <w:rPr>
          <w:sz w:val="22"/>
        </w:rPr>
        <w:t xml:space="preserve">ankowy </w:t>
      </w:r>
      <w:r>
        <w:rPr>
          <w:sz w:val="22"/>
        </w:rPr>
        <w:t>F</w:t>
      </w:r>
      <w:r w:rsidR="006F1AD9">
        <w:rPr>
          <w:sz w:val="22"/>
        </w:rPr>
        <w:t xml:space="preserve">undusz </w:t>
      </w:r>
      <w:r>
        <w:rPr>
          <w:sz w:val="22"/>
        </w:rPr>
        <w:t>G</w:t>
      </w:r>
      <w:r w:rsidR="006F1AD9">
        <w:rPr>
          <w:sz w:val="22"/>
        </w:rPr>
        <w:t>warancyjny</w:t>
      </w:r>
      <w:r w:rsidR="008E24B1">
        <w:rPr>
          <w:sz w:val="22"/>
        </w:rPr>
        <w:t>, a ich zabezpieczeniem jest jedynie sytuacja finansowa i majątek emitenta</w:t>
      </w:r>
      <w:r>
        <w:rPr>
          <w:sz w:val="22"/>
        </w:rPr>
        <w:t xml:space="preserve">. </w:t>
      </w:r>
      <w:r w:rsidR="00FD50B4">
        <w:rPr>
          <w:sz w:val="22"/>
        </w:rPr>
        <w:t xml:space="preserve">Emitent, czyli </w:t>
      </w:r>
      <w:proofErr w:type="spellStart"/>
      <w:r w:rsidR="00FD50B4">
        <w:rPr>
          <w:sz w:val="22"/>
        </w:rPr>
        <w:t>GetBack</w:t>
      </w:r>
      <w:proofErr w:type="spellEnd"/>
      <w:r w:rsidR="00FD50B4">
        <w:rPr>
          <w:sz w:val="22"/>
        </w:rPr>
        <w:t xml:space="preserve">, odpowiada za nie całym swoim majątkiem, ale w przypadku jego niewypłacalności klient może stracić zainwestowane pieniądze. Jak twierdzą poszkodowani, pracownicy </w:t>
      </w:r>
      <w:r w:rsidR="0026186F">
        <w:rPr>
          <w:sz w:val="22"/>
        </w:rPr>
        <w:t>spółki</w:t>
      </w:r>
      <w:r w:rsidR="00FD50B4">
        <w:rPr>
          <w:sz w:val="22"/>
        </w:rPr>
        <w:t xml:space="preserve"> nie informowali ich o takim ryzyku. Ponadto </w:t>
      </w:r>
      <w:r w:rsidR="001D328E">
        <w:rPr>
          <w:sz w:val="22"/>
        </w:rPr>
        <w:t xml:space="preserve">władze </w:t>
      </w:r>
      <w:proofErr w:type="spellStart"/>
      <w:r w:rsidR="001D328E">
        <w:rPr>
          <w:sz w:val="22"/>
        </w:rPr>
        <w:t>GetBack</w:t>
      </w:r>
      <w:r w:rsidR="0026186F">
        <w:rPr>
          <w:sz w:val="22"/>
        </w:rPr>
        <w:t>u</w:t>
      </w:r>
      <w:proofErr w:type="spellEnd"/>
      <w:r w:rsidR="001D328E">
        <w:rPr>
          <w:sz w:val="22"/>
        </w:rPr>
        <w:t xml:space="preserve"> wiedziały, że </w:t>
      </w:r>
      <w:r w:rsidR="00FD50B4">
        <w:rPr>
          <w:sz w:val="22"/>
        </w:rPr>
        <w:t>na koniec 2017 r. spółka miała dużą stratę, ale klienci nadal słyszeli, że „</w:t>
      </w:r>
      <w:r w:rsidR="002D5261">
        <w:rPr>
          <w:sz w:val="22"/>
        </w:rPr>
        <w:t xml:space="preserve">jest </w:t>
      </w:r>
      <w:r w:rsidR="00FD50B4">
        <w:rPr>
          <w:sz w:val="22"/>
        </w:rPr>
        <w:t>w bardzo dobrej kondycji finansowej</w:t>
      </w:r>
      <w:r w:rsidR="002D5261">
        <w:rPr>
          <w:sz w:val="22"/>
        </w:rPr>
        <w:t>”.</w:t>
      </w:r>
      <w:r w:rsidR="00FD50B4">
        <w:rPr>
          <w:sz w:val="22"/>
        </w:rPr>
        <w:t xml:space="preserve"> </w:t>
      </w:r>
      <w:r w:rsidR="002D5261">
        <w:rPr>
          <w:sz w:val="22"/>
        </w:rPr>
        <w:t xml:space="preserve">Handlowcy </w:t>
      </w:r>
      <w:r w:rsidR="00BF0975">
        <w:rPr>
          <w:sz w:val="22"/>
        </w:rPr>
        <w:t xml:space="preserve">mieli </w:t>
      </w:r>
      <w:r w:rsidR="00B7400F">
        <w:rPr>
          <w:sz w:val="22"/>
        </w:rPr>
        <w:t>twierdzi</w:t>
      </w:r>
      <w:r w:rsidR="00BF0975">
        <w:rPr>
          <w:sz w:val="22"/>
        </w:rPr>
        <w:t>ć</w:t>
      </w:r>
      <w:r w:rsidR="002D5261">
        <w:rPr>
          <w:sz w:val="22"/>
        </w:rPr>
        <w:t xml:space="preserve"> też, że </w:t>
      </w:r>
      <w:r w:rsidR="00B7400F">
        <w:rPr>
          <w:sz w:val="22"/>
        </w:rPr>
        <w:t xml:space="preserve">jest to </w:t>
      </w:r>
      <w:r w:rsidR="002D5261">
        <w:rPr>
          <w:sz w:val="22"/>
        </w:rPr>
        <w:t>oferta tylko dla wybranych</w:t>
      </w:r>
      <w:r w:rsidR="00B7400F">
        <w:rPr>
          <w:sz w:val="22"/>
        </w:rPr>
        <w:t xml:space="preserve">. Ograniczenie to wynika z tego, że </w:t>
      </w:r>
      <w:r w:rsidR="001D328E">
        <w:rPr>
          <w:sz w:val="22"/>
        </w:rPr>
        <w:t xml:space="preserve">zgodnie z prawem </w:t>
      </w:r>
      <w:r w:rsidR="00B7400F">
        <w:rPr>
          <w:sz w:val="22"/>
        </w:rPr>
        <w:t xml:space="preserve">w </w:t>
      </w:r>
      <w:r w:rsidR="005A0C5A">
        <w:rPr>
          <w:sz w:val="22"/>
        </w:rPr>
        <w:t xml:space="preserve">ofercie prywatnej </w:t>
      </w:r>
      <w:r w:rsidR="00B7400F">
        <w:rPr>
          <w:sz w:val="22"/>
        </w:rPr>
        <w:t xml:space="preserve">można </w:t>
      </w:r>
      <w:r w:rsidR="00FA409B">
        <w:rPr>
          <w:sz w:val="22"/>
        </w:rPr>
        <w:t>przedstawi</w:t>
      </w:r>
      <w:r w:rsidR="00B7400F">
        <w:rPr>
          <w:sz w:val="22"/>
        </w:rPr>
        <w:t>ć propozycję nabycia obligacji w ramach jednej emisji maksymalnie 149 os</w:t>
      </w:r>
      <w:r w:rsidR="00FA409B">
        <w:rPr>
          <w:sz w:val="22"/>
        </w:rPr>
        <w:t>obom</w:t>
      </w:r>
      <w:r w:rsidR="00B7400F">
        <w:rPr>
          <w:sz w:val="22"/>
        </w:rPr>
        <w:t xml:space="preserve">. Spółka zatajała jednak przed klientami, że takich emisji </w:t>
      </w:r>
      <w:r w:rsidR="008D610E">
        <w:rPr>
          <w:sz w:val="22"/>
        </w:rPr>
        <w:t>było</w:t>
      </w:r>
      <w:r w:rsidR="00B7400F">
        <w:rPr>
          <w:sz w:val="22"/>
        </w:rPr>
        <w:t xml:space="preserve"> </w:t>
      </w:r>
      <w:r w:rsidR="008E24B1">
        <w:rPr>
          <w:sz w:val="22"/>
        </w:rPr>
        <w:t>wiele</w:t>
      </w:r>
      <w:r w:rsidR="001D328E">
        <w:rPr>
          <w:sz w:val="22"/>
        </w:rPr>
        <w:t xml:space="preserve"> – niekiedy</w:t>
      </w:r>
      <w:r w:rsidR="0026186F">
        <w:rPr>
          <w:sz w:val="22"/>
        </w:rPr>
        <w:t xml:space="preserve"> odbywały się nawet</w:t>
      </w:r>
      <w:r w:rsidR="001D328E">
        <w:rPr>
          <w:sz w:val="22"/>
        </w:rPr>
        <w:t xml:space="preserve"> codziennie</w:t>
      </w:r>
      <w:r w:rsidR="00B7400F">
        <w:rPr>
          <w:sz w:val="22"/>
        </w:rPr>
        <w:t xml:space="preserve">. </w:t>
      </w:r>
      <w:r w:rsidR="006F1AD9">
        <w:rPr>
          <w:sz w:val="22"/>
        </w:rPr>
        <w:t xml:space="preserve">Pracownicy </w:t>
      </w:r>
      <w:proofErr w:type="spellStart"/>
      <w:r w:rsidR="006F1AD9">
        <w:rPr>
          <w:sz w:val="22"/>
        </w:rPr>
        <w:t>GetBacku</w:t>
      </w:r>
      <w:proofErr w:type="spellEnd"/>
      <w:r w:rsidR="006F1AD9">
        <w:rPr>
          <w:sz w:val="22"/>
        </w:rPr>
        <w:t xml:space="preserve"> n</w:t>
      </w:r>
      <w:r w:rsidR="00B7400F">
        <w:rPr>
          <w:sz w:val="22"/>
        </w:rPr>
        <w:t>aciska</w:t>
      </w:r>
      <w:r w:rsidR="008D610E">
        <w:rPr>
          <w:sz w:val="22"/>
        </w:rPr>
        <w:t>li także</w:t>
      </w:r>
      <w:r w:rsidR="00B7400F">
        <w:rPr>
          <w:sz w:val="22"/>
        </w:rPr>
        <w:t xml:space="preserve"> </w:t>
      </w:r>
      <w:r w:rsidR="001D328E">
        <w:rPr>
          <w:sz w:val="22"/>
        </w:rPr>
        <w:t xml:space="preserve">na </w:t>
      </w:r>
      <w:r w:rsidR="004B7C7D">
        <w:rPr>
          <w:sz w:val="22"/>
        </w:rPr>
        <w:t xml:space="preserve">konsumentów, aby się szybko </w:t>
      </w:r>
      <w:r w:rsidR="00B7400F">
        <w:rPr>
          <w:sz w:val="22"/>
        </w:rPr>
        <w:t>decy</w:t>
      </w:r>
      <w:r w:rsidR="004B7C7D">
        <w:rPr>
          <w:sz w:val="22"/>
        </w:rPr>
        <w:t>dowali</w:t>
      </w:r>
      <w:r w:rsidR="00B7400F">
        <w:rPr>
          <w:sz w:val="22"/>
        </w:rPr>
        <w:t>, bo „przepadnie doskonała oferta”, choć kolejne emisje odbywały się na takich samych warunkach i różniły się tylko numerem serii.</w:t>
      </w:r>
    </w:p>
    <w:p w14:paraId="4A5018DC" w14:textId="3D058B70" w:rsidR="0093251E" w:rsidRPr="0093251E" w:rsidRDefault="00BF0975" w:rsidP="0093251E">
      <w:pPr>
        <w:spacing w:after="100" w:afterAutospacing="1" w:line="372" w:lineRule="auto"/>
        <w:jc w:val="both"/>
        <w:rPr>
          <w:sz w:val="22"/>
        </w:rPr>
      </w:pPr>
      <w:r w:rsidRPr="0058703B">
        <w:rPr>
          <w:sz w:val="22"/>
        </w:rPr>
        <w:t>Je</w:t>
      </w:r>
      <w:r>
        <w:rPr>
          <w:sz w:val="22"/>
        </w:rPr>
        <w:t>żeli</w:t>
      </w:r>
      <w:r w:rsidRPr="0058703B">
        <w:rPr>
          <w:sz w:val="22"/>
        </w:rPr>
        <w:t xml:space="preserve"> zarzuty się potwierdzą, spółce grozi kara finansowa – do 10 proc. jej </w:t>
      </w:r>
      <w:r>
        <w:rPr>
          <w:sz w:val="22"/>
        </w:rPr>
        <w:t>obrotu za każde naruszenie.</w:t>
      </w:r>
      <w:r w:rsidR="00B7400F">
        <w:rPr>
          <w:sz w:val="22"/>
        </w:rPr>
        <w:t xml:space="preserve"> </w:t>
      </w:r>
    </w:p>
    <w:p w14:paraId="7DD68D34" w14:textId="77777777" w:rsidR="00BF0975" w:rsidRPr="009C660C" w:rsidRDefault="00BF0975" w:rsidP="00BF0975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I</w:t>
      </w:r>
      <w:r w:rsidR="004B7C7D">
        <w:rPr>
          <w:b/>
          <w:sz w:val="22"/>
        </w:rPr>
        <w:t>nne działania UOKiK</w:t>
      </w:r>
    </w:p>
    <w:p w14:paraId="2AF40990" w14:textId="77777777" w:rsidR="009F0F74" w:rsidRDefault="004B7C7D" w:rsidP="00BF0975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W sumie UOKiK prowadzi teraz 8 postępowań w sprawie możliwych nieprawidłowości przy oferowaniu produktów finansowych związanych z </w:t>
      </w:r>
      <w:proofErr w:type="spellStart"/>
      <w:r>
        <w:rPr>
          <w:sz w:val="22"/>
        </w:rPr>
        <w:t>GetBackiem</w:t>
      </w:r>
      <w:proofErr w:type="spellEnd"/>
      <w:r>
        <w:rPr>
          <w:sz w:val="22"/>
        </w:rPr>
        <w:t>.</w:t>
      </w:r>
      <w:r w:rsidR="009F0F74">
        <w:rPr>
          <w:sz w:val="22"/>
        </w:rPr>
        <w:t xml:space="preserve"> Wśród nich są:</w:t>
      </w:r>
    </w:p>
    <w:p w14:paraId="6F1FB4F2" w14:textId="384285B7" w:rsidR="00BF0975" w:rsidRDefault="009F0F74" w:rsidP="00C81051">
      <w:pPr>
        <w:pStyle w:val="Akapitzlist"/>
        <w:numPr>
          <w:ilvl w:val="0"/>
          <w:numId w:val="6"/>
        </w:numPr>
        <w:spacing w:after="240" w:line="360" w:lineRule="auto"/>
        <w:jc w:val="both"/>
        <w:rPr>
          <w:sz w:val="22"/>
        </w:rPr>
      </w:pPr>
      <w:r w:rsidRPr="009F0F74">
        <w:rPr>
          <w:sz w:val="22"/>
        </w:rPr>
        <w:t xml:space="preserve">2 postępowania </w:t>
      </w:r>
      <w:r w:rsidR="00FA409B">
        <w:rPr>
          <w:sz w:val="22"/>
        </w:rPr>
        <w:t xml:space="preserve">w sprawie naruszenia zbiorowych interesów konsumentów </w:t>
      </w:r>
      <w:r w:rsidRPr="009F0F74">
        <w:rPr>
          <w:sz w:val="22"/>
        </w:rPr>
        <w:t xml:space="preserve">przeciw spółkom oferującym obligacje. Pierwsza z nich to opisany już </w:t>
      </w:r>
      <w:proofErr w:type="spellStart"/>
      <w:r w:rsidRPr="009F0F74">
        <w:rPr>
          <w:b/>
          <w:sz w:val="22"/>
        </w:rPr>
        <w:t>GetBack</w:t>
      </w:r>
      <w:proofErr w:type="spellEnd"/>
      <w:r w:rsidRPr="009F0F74">
        <w:rPr>
          <w:sz w:val="22"/>
        </w:rPr>
        <w:t>.</w:t>
      </w:r>
      <w:r>
        <w:rPr>
          <w:sz w:val="22"/>
        </w:rPr>
        <w:t xml:space="preserve"> Druga to </w:t>
      </w:r>
      <w:r w:rsidRPr="009F0F74">
        <w:rPr>
          <w:b/>
          <w:sz w:val="22"/>
        </w:rPr>
        <w:t>Idea Bank</w:t>
      </w:r>
      <w:r>
        <w:rPr>
          <w:sz w:val="22"/>
        </w:rPr>
        <w:t xml:space="preserve">, wobec której </w:t>
      </w:r>
      <w:hyperlink r:id="rId10" w:history="1">
        <w:r>
          <w:rPr>
            <w:rStyle w:val="Hipercze"/>
            <w:sz w:val="22"/>
          </w:rPr>
          <w:t>p</w:t>
        </w:r>
        <w:r w:rsidR="00BF0975" w:rsidRPr="009F0F74">
          <w:rPr>
            <w:rStyle w:val="Hipercze"/>
            <w:sz w:val="22"/>
          </w:rPr>
          <w:t>ostępowanie</w:t>
        </w:r>
      </w:hyperlink>
      <w:r w:rsidR="00BF0975" w:rsidRPr="009F0F74">
        <w:rPr>
          <w:sz w:val="22"/>
        </w:rPr>
        <w:t xml:space="preserve"> toczy się od października 2018 r. Zarzuty UOKiK dotyczą wprowadzania konsumentów w błąd co do bezpieczeństwa </w:t>
      </w:r>
      <w:r w:rsidR="00FC31FC" w:rsidRPr="009F0F74">
        <w:rPr>
          <w:sz w:val="22"/>
        </w:rPr>
        <w:t xml:space="preserve">obligacji </w:t>
      </w:r>
      <w:proofErr w:type="spellStart"/>
      <w:r w:rsidR="00FC31FC" w:rsidRPr="009F0F74">
        <w:rPr>
          <w:sz w:val="22"/>
        </w:rPr>
        <w:t>GetBacku</w:t>
      </w:r>
      <w:proofErr w:type="spellEnd"/>
      <w:r w:rsidR="00BF0975" w:rsidRPr="009F0F74">
        <w:rPr>
          <w:sz w:val="22"/>
        </w:rPr>
        <w:t xml:space="preserve"> i </w:t>
      </w:r>
      <w:r w:rsidR="00FC31FC" w:rsidRPr="009F0F74">
        <w:rPr>
          <w:sz w:val="22"/>
        </w:rPr>
        <w:t>ich</w:t>
      </w:r>
      <w:r w:rsidR="00BF0975" w:rsidRPr="009F0F74">
        <w:rPr>
          <w:sz w:val="22"/>
        </w:rPr>
        <w:t xml:space="preserve"> ekskluzywnego charakteru. Mogło także dojść do nieuczciwej sprzedaży (</w:t>
      </w:r>
      <w:proofErr w:type="spellStart"/>
      <w:r w:rsidR="00BF0975" w:rsidRPr="009F0F74">
        <w:rPr>
          <w:sz w:val="22"/>
        </w:rPr>
        <w:t>missellingu</w:t>
      </w:r>
      <w:proofErr w:type="spellEnd"/>
      <w:r w:rsidR="00BF0975" w:rsidRPr="009F0F74">
        <w:rPr>
          <w:sz w:val="22"/>
        </w:rPr>
        <w:t>)</w:t>
      </w:r>
      <w:r w:rsidR="00FC31FC" w:rsidRPr="009F0F74">
        <w:rPr>
          <w:sz w:val="22"/>
        </w:rPr>
        <w:t>, bo</w:t>
      </w:r>
      <w:r w:rsidR="00BF0975" w:rsidRPr="009F0F74">
        <w:rPr>
          <w:sz w:val="22"/>
        </w:rPr>
        <w:t xml:space="preserve"> </w:t>
      </w:r>
      <w:r w:rsidR="00FC31FC" w:rsidRPr="009F0F74">
        <w:rPr>
          <w:sz w:val="22"/>
        </w:rPr>
        <w:t>przedstawiciele</w:t>
      </w:r>
      <w:r w:rsidR="00BF0975" w:rsidRPr="009F0F74">
        <w:rPr>
          <w:sz w:val="22"/>
        </w:rPr>
        <w:t xml:space="preserve"> </w:t>
      </w:r>
      <w:r w:rsidR="00FC31FC" w:rsidRPr="009F0F74">
        <w:rPr>
          <w:sz w:val="22"/>
        </w:rPr>
        <w:t xml:space="preserve">Idea Banku </w:t>
      </w:r>
      <w:r w:rsidR="00BF0975" w:rsidRPr="009F0F74">
        <w:rPr>
          <w:sz w:val="22"/>
        </w:rPr>
        <w:t xml:space="preserve">namawiali </w:t>
      </w:r>
      <w:r w:rsidR="00FC31FC" w:rsidRPr="009F0F74">
        <w:rPr>
          <w:sz w:val="22"/>
        </w:rPr>
        <w:t xml:space="preserve">na nie </w:t>
      </w:r>
      <w:r w:rsidR="00BF0975" w:rsidRPr="009F0F74">
        <w:rPr>
          <w:sz w:val="22"/>
        </w:rPr>
        <w:t>osoby, o których powinni byli wiedzieć, że nie akceptują ryzykownych inwestycji.</w:t>
      </w:r>
    </w:p>
    <w:p w14:paraId="2E6DADBD" w14:textId="1FF0AB4C" w:rsidR="001F1EE0" w:rsidRDefault="008E24B1" w:rsidP="001F1EE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5</w:t>
      </w:r>
      <w:r w:rsidRPr="009F0F74">
        <w:rPr>
          <w:sz w:val="22"/>
        </w:rPr>
        <w:t xml:space="preserve"> postępowa</w:t>
      </w:r>
      <w:r>
        <w:rPr>
          <w:sz w:val="22"/>
        </w:rPr>
        <w:t>ń</w:t>
      </w:r>
      <w:r w:rsidRPr="009F0F74">
        <w:rPr>
          <w:sz w:val="22"/>
        </w:rPr>
        <w:t xml:space="preserve"> wyjaśniając</w:t>
      </w:r>
      <w:r>
        <w:rPr>
          <w:sz w:val="22"/>
        </w:rPr>
        <w:t>ych</w:t>
      </w:r>
      <w:r w:rsidRPr="009F0F74">
        <w:rPr>
          <w:sz w:val="22"/>
        </w:rPr>
        <w:t xml:space="preserve"> </w:t>
      </w:r>
      <w:r w:rsidR="00FC31FC" w:rsidRPr="009F0F74">
        <w:rPr>
          <w:sz w:val="22"/>
        </w:rPr>
        <w:t xml:space="preserve">w sprawie oferowania obligacji </w:t>
      </w:r>
      <w:proofErr w:type="spellStart"/>
      <w:r w:rsidR="00FC31FC" w:rsidRPr="009F0F74">
        <w:rPr>
          <w:sz w:val="22"/>
        </w:rPr>
        <w:t>GetBack</w:t>
      </w:r>
      <w:proofErr w:type="spellEnd"/>
      <w:r w:rsidR="00FC31FC" w:rsidRPr="009F0F74">
        <w:rPr>
          <w:sz w:val="22"/>
        </w:rPr>
        <w:t>. Ich celem jest wstępne ustalenie, czy spółki przekazywały konsumentom rzetelne, prawdziwe i pełne informacje</w:t>
      </w:r>
      <w:r w:rsidR="001F1EE0">
        <w:rPr>
          <w:sz w:val="22"/>
        </w:rPr>
        <w:t xml:space="preserve"> oraz</w:t>
      </w:r>
      <w:r w:rsidR="00FC31FC" w:rsidRPr="009F0F74">
        <w:rPr>
          <w:sz w:val="22"/>
        </w:rPr>
        <w:t xml:space="preserve"> czy przy sprzedaży nie dochodziło do </w:t>
      </w:r>
      <w:proofErr w:type="spellStart"/>
      <w:r w:rsidR="00FC31FC" w:rsidRPr="009F0F74">
        <w:rPr>
          <w:sz w:val="22"/>
        </w:rPr>
        <w:t>missellingu</w:t>
      </w:r>
      <w:proofErr w:type="spellEnd"/>
      <w:r w:rsidR="00FC31FC" w:rsidRPr="009F0F74">
        <w:rPr>
          <w:sz w:val="22"/>
        </w:rPr>
        <w:t>. Postępowania dotyczą:</w:t>
      </w:r>
      <w:r w:rsidR="008F0D95" w:rsidRPr="009F0F74">
        <w:rPr>
          <w:sz w:val="22"/>
        </w:rPr>
        <w:t xml:space="preserve"> </w:t>
      </w:r>
      <w:proofErr w:type="spellStart"/>
      <w:r w:rsidR="00FC31FC" w:rsidRPr="009F0F74">
        <w:rPr>
          <w:b/>
          <w:sz w:val="22"/>
        </w:rPr>
        <w:t>GetBack</w:t>
      </w:r>
      <w:r w:rsidR="001F1EE0">
        <w:rPr>
          <w:b/>
          <w:sz w:val="22"/>
        </w:rPr>
        <w:t>u</w:t>
      </w:r>
      <w:proofErr w:type="spellEnd"/>
      <w:r w:rsidR="008F0D95" w:rsidRPr="009F0F74">
        <w:rPr>
          <w:sz w:val="22"/>
        </w:rPr>
        <w:t>,</w:t>
      </w:r>
      <w:r w:rsidR="00FC31FC" w:rsidRPr="009F0F74">
        <w:rPr>
          <w:sz w:val="22"/>
        </w:rPr>
        <w:t xml:space="preserve"> </w:t>
      </w:r>
      <w:r w:rsidR="00FC31FC" w:rsidRPr="001F1EE0">
        <w:rPr>
          <w:b/>
          <w:sz w:val="22"/>
        </w:rPr>
        <w:t>Idea Bank</w:t>
      </w:r>
      <w:r w:rsidR="001F1EE0">
        <w:rPr>
          <w:b/>
          <w:sz w:val="22"/>
        </w:rPr>
        <w:t>u</w:t>
      </w:r>
      <w:r w:rsidR="004A4B83" w:rsidRPr="001F1EE0">
        <w:rPr>
          <w:b/>
          <w:sz w:val="22"/>
        </w:rPr>
        <w:t xml:space="preserve"> i PDM</w:t>
      </w:r>
      <w:r w:rsidR="008F0D95" w:rsidRPr="009F0F74">
        <w:rPr>
          <w:sz w:val="22"/>
        </w:rPr>
        <w:t xml:space="preserve">, </w:t>
      </w:r>
      <w:proofErr w:type="spellStart"/>
      <w:r w:rsidR="00FC31FC" w:rsidRPr="001F1EE0">
        <w:rPr>
          <w:b/>
          <w:sz w:val="22"/>
        </w:rPr>
        <w:t>Mercurius</w:t>
      </w:r>
      <w:proofErr w:type="spellEnd"/>
      <w:r w:rsidR="00FC31FC" w:rsidRPr="001F1EE0">
        <w:rPr>
          <w:b/>
          <w:sz w:val="22"/>
        </w:rPr>
        <w:t xml:space="preserve"> Financial </w:t>
      </w:r>
      <w:proofErr w:type="spellStart"/>
      <w:r w:rsidR="00FC31FC" w:rsidRPr="001F1EE0">
        <w:rPr>
          <w:b/>
          <w:sz w:val="22"/>
        </w:rPr>
        <w:t>Advisors</w:t>
      </w:r>
      <w:proofErr w:type="spellEnd"/>
      <w:r>
        <w:rPr>
          <w:b/>
          <w:sz w:val="22"/>
        </w:rPr>
        <w:t xml:space="preserve">, </w:t>
      </w:r>
      <w:r w:rsidRPr="008E24B1">
        <w:rPr>
          <w:b/>
          <w:sz w:val="22"/>
        </w:rPr>
        <w:t>Getin Noble Banku</w:t>
      </w:r>
      <w:r w:rsidR="008F0D95" w:rsidRPr="009F0F74">
        <w:rPr>
          <w:sz w:val="22"/>
        </w:rPr>
        <w:t xml:space="preserve"> </w:t>
      </w:r>
      <w:r w:rsidR="004A4B83" w:rsidRPr="009F0F74">
        <w:rPr>
          <w:sz w:val="22"/>
        </w:rPr>
        <w:t>oraz</w:t>
      </w:r>
      <w:r w:rsidR="008F0D95" w:rsidRPr="009F0F74">
        <w:rPr>
          <w:sz w:val="22"/>
        </w:rPr>
        <w:t xml:space="preserve"> </w:t>
      </w:r>
      <w:r w:rsidR="00FC31FC" w:rsidRPr="001F1EE0">
        <w:rPr>
          <w:b/>
          <w:sz w:val="22"/>
        </w:rPr>
        <w:t>Noble Securities</w:t>
      </w:r>
      <w:r w:rsidR="00FC31FC" w:rsidRPr="009F0F74">
        <w:rPr>
          <w:sz w:val="22"/>
        </w:rPr>
        <w:t xml:space="preserve">. </w:t>
      </w:r>
    </w:p>
    <w:p w14:paraId="40AEEF05" w14:textId="768B5913" w:rsidR="001F1EE0" w:rsidRDefault="008E24B1" w:rsidP="001F1EE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sz w:val="22"/>
        </w:rPr>
      </w:pPr>
      <w:r w:rsidRPr="008E24B1">
        <w:rPr>
          <w:sz w:val="22"/>
        </w:rPr>
        <w:t xml:space="preserve">1 postępowanie </w:t>
      </w:r>
      <w:r w:rsidR="006A7700" w:rsidRPr="008E24B1">
        <w:rPr>
          <w:sz w:val="22"/>
        </w:rPr>
        <w:t>wyjaśniające</w:t>
      </w:r>
      <w:r w:rsidR="006A7700" w:rsidRPr="001F1EE0">
        <w:rPr>
          <w:sz w:val="22"/>
        </w:rPr>
        <w:t xml:space="preserve"> pośrednio związane z </w:t>
      </w:r>
      <w:proofErr w:type="spellStart"/>
      <w:r w:rsidR="006A7700" w:rsidRPr="001F1EE0">
        <w:rPr>
          <w:sz w:val="22"/>
        </w:rPr>
        <w:t>Getbackiem</w:t>
      </w:r>
      <w:proofErr w:type="spellEnd"/>
      <w:r w:rsidR="006A7700" w:rsidRPr="001F1EE0">
        <w:rPr>
          <w:sz w:val="22"/>
        </w:rPr>
        <w:t xml:space="preserve">. </w:t>
      </w:r>
      <w:r w:rsidRPr="001F1EE0">
        <w:rPr>
          <w:sz w:val="22"/>
        </w:rPr>
        <w:t>Tocz</w:t>
      </w:r>
      <w:r>
        <w:rPr>
          <w:sz w:val="22"/>
        </w:rPr>
        <w:t>y</w:t>
      </w:r>
      <w:r w:rsidRPr="001F1EE0">
        <w:rPr>
          <w:sz w:val="22"/>
        </w:rPr>
        <w:t xml:space="preserve"> </w:t>
      </w:r>
      <w:r w:rsidR="006A7700" w:rsidRPr="001F1EE0">
        <w:rPr>
          <w:sz w:val="22"/>
        </w:rPr>
        <w:t xml:space="preserve">się w sprawie </w:t>
      </w:r>
      <w:r w:rsidR="006A7700" w:rsidRPr="001F1EE0">
        <w:rPr>
          <w:b/>
          <w:sz w:val="22"/>
        </w:rPr>
        <w:t>Idea Banku</w:t>
      </w:r>
      <w:r w:rsidR="006A7700" w:rsidRPr="001F1EE0">
        <w:rPr>
          <w:sz w:val="22"/>
        </w:rPr>
        <w:t xml:space="preserve">. </w:t>
      </w:r>
      <w:r w:rsidRPr="001F1EE0">
        <w:rPr>
          <w:sz w:val="22"/>
        </w:rPr>
        <w:t>Dotycz</w:t>
      </w:r>
      <w:r>
        <w:rPr>
          <w:sz w:val="22"/>
        </w:rPr>
        <w:t>y</w:t>
      </w:r>
      <w:r w:rsidRPr="001F1EE0">
        <w:rPr>
          <w:sz w:val="22"/>
        </w:rPr>
        <w:t xml:space="preserve"> </w:t>
      </w:r>
      <w:r w:rsidR="006A7700" w:rsidRPr="001F1EE0">
        <w:rPr>
          <w:sz w:val="22"/>
        </w:rPr>
        <w:t xml:space="preserve">oferowania ubezpieczeń na życie z </w:t>
      </w:r>
      <w:proofErr w:type="spellStart"/>
      <w:r w:rsidR="0026265D" w:rsidRPr="001F1EE0">
        <w:rPr>
          <w:sz w:val="22"/>
        </w:rPr>
        <w:t>ufk</w:t>
      </w:r>
      <w:proofErr w:type="spellEnd"/>
      <w:r w:rsidR="006A7700" w:rsidRPr="001F1EE0">
        <w:rPr>
          <w:sz w:val="22"/>
        </w:rPr>
        <w:t xml:space="preserve">. Istnieje możliwość, </w:t>
      </w:r>
      <w:r w:rsidR="00896275" w:rsidRPr="001F1EE0">
        <w:rPr>
          <w:sz w:val="22"/>
        </w:rPr>
        <w:t xml:space="preserve">że </w:t>
      </w:r>
      <w:r w:rsidR="0026265D" w:rsidRPr="001F1EE0">
        <w:rPr>
          <w:sz w:val="22"/>
        </w:rPr>
        <w:t xml:space="preserve">pieniądze klientów mogły być inwestowane w fundusze inwestycyjne powiązane z </w:t>
      </w:r>
      <w:proofErr w:type="spellStart"/>
      <w:r w:rsidR="0026265D" w:rsidRPr="001F1EE0">
        <w:rPr>
          <w:sz w:val="22"/>
        </w:rPr>
        <w:t>GetBackiem</w:t>
      </w:r>
      <w:proofErr w:type="spellEnd"/>
      <w:r w:rsidR="0026265D" w:rsidRPr="001F1EE0">
        <w:rPr>
          <w:sz w:val="22"/>
        </w:rPr>
        <w:t>. Urząd wstępnie sprawdza, czy klienci byli informowani o związanym z tym ryzyku.</w:t>
      </w:r>
    </w:p>
    <w:p w14:paraId="121477F9" w14:textId="77777777" w:rsidR="001F1EE0" w:rsidRPr="001F1EE0" w:rsidRDefault="001F1EE0" w:rsidP="001F1EE0">
      <w:pPr>
        <w:pStyle w:val="Akapitzlist"/>
        <w:spacing w:after="240" w:line="360" w:lineRule="auto"/>
        <w:ind w:left="360"/>
        <w:jc w:val="both"/>
        <w:rPr>
          <w:sz w:val="22"/>
        </w:rPr>
      </w:pPr>
    </w:p>
    <w:p w14:paraId="364B472D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00F65A46" w14:textId="77777777" w:rsidR="00ED3406" w:rsidRPr="008E24B1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8E24B1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1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="00767C37" w:rsidRPr="008E24B1">
        <w:rPr>
          <w:rFonts w:ascii="Trebuchet MS" w:hAnsi="Trebuchet MS"/>
          <w:sz w:val="18"/>
          <w:szCs w:val="18"/>
          <w:lang w:val="pl-PL"/>
        </w:rPr>
        <w:t xml:space="preserve"> </w:t>
      </w:r>
      <w:r w:rsidRPr="008E24B1">
        <w:rPr>
          <w:rFonts w:ascii="Trebuchet MS" w:hAnsi="Trebuchet MS"/>
          <w:sz w:val="18"/>
          <w:szCs w:val="18"/>
          <w:lang w:val="pl-PL"/>
        </w:rPr>
        <w:br/>
      </w:r>
      <w:hyperlink r:id="rId12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8E24B1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  <w:r w:rsidR="00ED3406" w:rsidRPr="008E24B1">
        <w:rPr>
          <w:rFonts w:ascii="Trebuchet MS" w:hAnsi="Trebuchet MS"/>
          <w:sz w:val="18"/>
          <w:szCs w:val="18"/>
          <w:lang w:val="pl-PL"/>
        </w:rPr>
        <w:br/>
      </w:r>
      <w:hyperlink r:id="rId13" w:history="1">
        <w:r w:rsidR="00ED3406" w:rsidRPr="009D3825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Rzecznik Finansowy</w:t>
        </w:r>
      </w:hyperlink>
      <w:r w:rsidR="00ED3406" w:rsidRPr="008E24B1">
        <w:rPr>
          <w:rFonts w:ascii="Tahoma" w:hAnsi="Tahoma" w:cs="Tahoma"/>
          <w:color w:val="3C4147"/>
          <w:sz w:val="18"/>
          <w:szCs w:val="18"/>
          <w:shd w:val="clear" w:color="auto" w:fill="FFFFFF"/>
          <w:lang w:val="pl-PL"/>
        </w:rPr>
        <w:t xml:space="preserve"> </w:t>
      </w:r>
      <w:r w:rsidR="00ED3406" w:rsidRPr="008E24B1">
        <w:rPr>
          <w:rFonts w:ascii="Trebuchet MS" w:hAnsi="Trebuchet MS"/>
          <w:sz w:val="18"/>
          <w:szCs w:val="18"/>
          <w:lang w:val="pl-PL"/>
        </w:rPr>
        <w:t>- po odrzuceniu reklamacji przez instytucję finansową</w:t>
      </w:r>
    </w:p>
    <w:p w14:paraId="05F1E981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1B9D6392" w14:textId="28ADA994" w:rsidR="0026186F" w:rsidRPr="00641522" w:rsidRDefault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4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8E24B1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5" w:history="1">
        <w:r w:rsidRPr="008E24B1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8E24B1">
          <w:rPr>
            <w:rStyle w:val="Hipercze"/>
            <w:rFonts w:ascii="Trebuchet MS" w:hAnsi="Trebuchet MS"/>
            <w:sz w:val="18"/>
            <w:szCs w:val="18"/>
            <w:lang w:val="pl-PL"/>
          </w:rPr>
          <w:t>UOKiKgovPL</w:t>
        </w:r>
        <w:proofErr w:type="spellEnd"/>
      </w:hyperlink>
    </w:p>
    <w:sectPr w:rsidR="0026186F" w:rsidRPr="00641522" w:rsidSect="006439FA">
      <w:headerReference w:type="default" r:id="rId16"/>
      <w:footerReference w:type="default" r:id="rId17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F46E" w14:textId="77777777" w:rsidR="00101B15" w:rsidRDefault="00101B15">
      <w:r>
        <w:separator/>
      </w:r>
    </w:p>
  </w:endnote>
  <w:endnote w:type="continuationSeparator" w:id="0">
    <w:p w14:paraId="42FF2FB7" w14:textId="77777777" w:rsidR="00101B15" w:rsidRDefault="0010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D984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D25C2D7" wp14:editId="1CB07BFD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1BC86782" w14:textId="77777777" w:rsidR="0059016B" w:rsidRDefault="00101B15" w:rsidP="004470CD">
    <w:pPr>
      <w:pStyle w:val="Stopka"/>
    </w:pPr>
  </w:p>
  <w:p w14:paraId="7237B5CC" w14:textId="77777777" w:rsidR="0059016B" w:rsidRDefault="00101B15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0D56" w14:textId="77777777" w:rsidR="00101B15" w:rsidRDefault="00101B15">
      <w:r>
        <w:separator/>
      </w:r>
    </w:p>
  </w:footnote>
  <w:footnote w:type="continuationSeparator" w:id="0">
    <w:p w14:paraId="313A3DF8" w14:textId="77777777" w:rsidR="00101B15" w:rsidRDefault="0010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137D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5803805" wp14:editId="52F21BEA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8E3B" w14:textId="77777777" w:rsidR="0059016B" w:rsidRDefault="00101B15" w:rsidP="0041396E">
    <w:pPr>
      <w:pStyle w:val="Nagwek"/>
      <w:tabs>
        <w:tab w:val="clear" w:pos="9072"/>
      </w:tabs>
    </w:pPr>
  </w:p>
  <w:p w14:paraId="273855E3" w14:textId="77777777" w:rsidR="0059016B" w:rsidRDefault="00101B1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C0B"/>
    <w:multiLevelType w:val="hybridMultilevel"/>
    <w:tmpl w:val="52145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62492"/>
    <w:multiLevelType w:val="hybridMultilevel"/>
    <w:tmpl w:val="609CD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0924"/>
    <w:multiLevelType w:val="hybridMultilevel"/>
    <w:tmpl w:val="9E72E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26FDE"/>
    <w:multiLevelType w:val="hybridMultilevel"/>
    <w:tmpl w:val="867A7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4467F"/>
    <w:rsid w:val="000566FD"/>
    <w:rsid w:val="00071F7D"/>
    <w:rsid w:val="00073AA7"/>
    <w:rsid w:val="000B1AC5"/>
    <w:rsid w:val="000B286A"/>
    <w:rsid w:val="000B7BA1"/>
    <w:rsid w:val="000F37DD"/>
    <w:rsid w:val="00101790"/>
    <w:rsid w:val="00101B15"/>
    <w:rsid w:val="00120FBD"/>
    <w:rsid w:val="0012424D"/>
    <w:rsid w:val="00190D5A"/>
    <w:rsid w:val="00193680"/>
    <w:rsid w:val="001979B5"/>
    <w:rsid w:val="001A5F7C"/>
    <w:rsid w:val="001B3FE9"/>
    <w:rsid w:val="001C1FAD"/>
    <w:rsid w:val="001D328E"/>
    <w:rsid w:val="001F1EE0"/>
    <w:rsid w:val="00205580"/>
    <w:rsid w:val="002340A3"/>
    <w:rsid w:val="002420A4"/>
    <w:rsid w:val="002543E3"/>
    <w:rsid w:val="00256A03"/>
    <w:rsid w:val="00260382"/>
    <w:rsid w:val="00260EF9"/>
    <w:rsid w:val="0026186F"/>
    <w:rsid w:val="0026265D"/>
    <w:rsid w:val="00266CB4"/>
    <w:rsid w:val="00295B34"/>
    <w:rsid w:val="002A5D69"/>
    <w:rsid w:val="002C0D5D"/>
    <w:rsid w:val="002C37B6"/>
    <w:rsid w:val="002C6ABE"/>
    <w:rsid w:val="002D5261"/>
    <w:rsid w:val="00301602"/>
    <w:rsid w:val="003520FE"/>
    <w:rsid w:val="00360248"/>
    <w:rsid w:val="00366A46"/>
    <w:rsid w:val="003A0DA4"/>
    <w:rsid w:val="003C5E56"/>
    <w:rsid w:val="003E3F9D"/>
    <w:rsid w:val="004349BA"/>
    <w:rsid w:val="004365C7"/>
    <w:rsid w:val="00451503"/>
    <w:rsid w:val="00486DB1"/>
    <w:rsid w:val="00493E10"/>
    <w:rsid w:val="004A29B3"/>
    <w:rsid w:val="004A4816"/>
    <w:rsid w:val="004A4B83"/>
    <w:rsid w:val="004B4D88"/>
    <w:rsid w:val="004B7C7D"/>
    <w:rsid w:val="004D4556"/>
    <w:rsid w:val="005003F9"/>
    <w:rsid w:val="005121C0"/>
    <w:rsid w:val="00523E0D"/>
    <w:rsid w:val="0052710E"/>
    <w:rsid w:val="005442FC"/>
    <w:rsid w:val="0057543A"/>
    <w:rsid w:val="00594F79"/>
    <w:rsid w:val="005973FD"/>
    <w:rsid w:val="00597C68"/>
    <w:rsid w:val="005A0C5A"/>
    <w:rsid w:val="005D50B9"/>
    <w:rsid w:val="005F1EBD"/>
    <w:rsid w:val="0062055A"/>
    <w:rsid w:val="00620D94"/>
    <w:rsid w:val="00633D4E"/>
    <w:rsid w:val="0063526F"/>
    <w:rsid w:val="00637E86"/>
    <w:rsid w:val="00640ECE"/>
    <w:rsid w:val="00641522"/>
    <w:rsid w:val="006439FA"/>
    <w:rsid w:val="006A2CB6"/>
    <w:rsid w:val="006A487A"/>
    <w:rsid w:val="006A4A7A"/>
    <w:rsid w:val="006A7700"/>
    <w:rsid w:val="006B0848"/>
    <w:rsid w:val="006C34AE"/>
    <w:rsid w:val="006F1AD9"/>
    <w:rsid w:val="007039EC"/>
    <w:rsid w:val="0074489D"/>
    <w:rsid w:val="007514AD"/>
    <w:rsid w:val="00767C37"/>
    <w:rsid w:val="00777C6D"/>
    <w:rsid w:val="007A2685"/>
    <w:rsid w:val="007D03D0"/>
    <w:rsid w:val="007F5CA8"/>
    <w:rsid w:val="0081753E"/>
    <w:rsid w:val="00820312"/>
    <w:rsid w:val="00836B48"/>
    <w:rsid w:val="0085010E"/>
    <w:rsid w:val="00896275"/>
    <w:rsid w:val="00896985"/>
    <w:rsid w:val="008C35DB"/>
    <w:rsid w:val="008C3A5F"/>
    <w:rsid w:val="008D5771"/>
    <w:rsid w:val="008D610E"/>
    <w:rsid w:val="008E24B1"/>
    <w:rsid w:val="008F0D95"/>
    <w:rsid w:val="008F1EFD"/>
    <w:rsid w:val="009305C5"/>
    <w:rsid w:val="0093251E"/>
    <w:rsid w:val="00940E8F"/>
    <w:rsid w:val="0095551D"/>
    <w:rsid w:val="009652F2"/>
    <w:rsid w:val="009830C2"/>
    <w:rsid w:val="00992B70"/>
    <w:rsid w:val="00997528"/>
    <w:rsid w:val="009C660C"/>
    <w:rsid w:val="009F0F74"/>
    <w:rsid w:val="00A13244"/>
    <w:rsid w:val="00A239AA"/>
    <w:rsid w:val="00A439E8"/>
    <w:rsid w:val="00A55C3A"/>
    <w:rsid w:val="00A67634"/>
    <w:rsid w:val="00A73A4F"/>
    <w:rsid w:val="00A77DA2"/>
    <w:rsid w:val="00A8591B"/>
    <w:rsid w:val="00AD331D"/>
    <w:rsid w:val="00AE2923"/>
    <w:rsid w:val="00B40CFD"/>
    <w:rsid w:val="00B41502"/>
    <w:rsid w:val="00B51024"/>
    <w:rsid w:val="00B60F9C"/>
    <w:rsid w:val="00B6769E"/>
    <w:rsid w:val="00B7400F"/>
    <w:rsid w:val="00B865F9"/>
    <w:rsid w:val="00BA26F7"/>
    <w:rsid w:val="00BB1ACF"/>
    <w:rsid w:val="00BD0481"/>
    <w:rsid w:val="00BD495D"/>
    <w:rsid w:val="00BD5EC4"/>
    <w:rsid w:val="00BE2623"/>
    <w:rsid w:val="00BE68EE"/>
    <w:rsid w:val="00BF0975"/>
    <w:rsid w:val="00BF0E73"/>
    <w:rsid w:val="00BF1998"/>
    <w:rsid w:val="00BF4AE4"/>
    <w:rsid w:val="00C27366"/>
    <w:rsid w:val="00C63AA8"/>
    <w:rsid w:val="00C75984"/>
    <w:rsid w:val="00C7783C"/>
    <w:rsid w:val="00CB1AE6"/>
    <w:rsid w:val="00CB3ED4"/>
    <w:rsid w:val="00D07AAB"/>
    <w:rsid w:val="00D1323F"/>
    <w:rsid w:val="00D33DE2"/>
    <w:rsid w:val="00D4192E"/>
    <w:rsid w:val="00D47CCF"/>
    <w:rsid w:val="00D506FC"/>
    <w:rsid w:val="00D6457B"/>
    <w:rsid w:val="00D71A41"/>
    <w:rsid w:val="00DD1866"/>
    <w:rsid w:val="00DD34A3"/>
    <w:rsid w:val="00DE03B6"/>
    <w:rsid w:val="00DE43C2"/>
    <w:rsid w:val="00DF782B"/>
    <w:rsid w:val="00E03AEF"/>
    <w:rsid w:val="00E1500D"/>
    <w:rsid w:val="00E257A8"/>
    <w:rsid w:val="00E42093"/>
    <w:rsid w:val="00E64103"/>
    <w:rsid w:val="00ED3406"/>
    <w:rsid w:val="00EE1BBC"/>
    <w:rsid w:val="00F13970"/>
    <w:rsid w:val="00F21EAC"/>
    <w:rsid w:val="00F4596B"/>
    <w:rsid w:val="00F50F86"/>
    <w:rsid w:val="00F62AB3"/>
    <w:rsid w:val="00F960CF"/>
    <w:rsid w:val="00FA409B"/>
    <w:rsid w:val="00FC31FC"/>
    <w:rsid w:val="00FD50B4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BFD2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C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A2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4590" TargetMode="External"/><Relationship Id="rId13" Type="http://schemas.openxmlformats.org/officeDocument/2006/relationships/hyperlink" Target="http://www.rf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4890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uokikgovpl" TargetMode="External"/><Relationship Id="rId10" Type="http://schemas.openxmlformats.org/officeDocument/2006/relationships/hyperlink" Target="https://uokik.gov.pl/aktualnosci.php?news_id=148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nf.gov.pl/o_nas/komunikaty?articleId=63697&amp;p_id=18" TargetMode="External"/><Relationship Id="rId14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Małgorzata Cieloch</cp:lastModifiedBy>
  <cp:revision>2</cp:revision>
  <cp:lastPrinted>2019-02-04T11:06:00Z</cp:lastPrinted>
  <dcterms:created xsi:type="dcterms:W3CDTF">2019-02-06T17:36:00Z</dcterms:created>
  <dcterms:modified xsi:type="dcterms:W3CDTF">2019-02-06T17:36:00Z</dcterms:modified>
</cp:coreProperties>
</file>