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31" w:rsidRPr="00135455" w:rsidRDefault="003F3C31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</w:t>
      </w:r>
      <w:r w:rsidR="00D24E11" w:rsidRPr="00135455">
        <w:rPr>
          <w:sz w:val="32"/>
          <w:szCs w:val="32"/>
        </w:rPr>
        <w:t>faza postępowania</w:t>
      </w:r>
      <w:r w:rsidR="00D24E11">
        <w:rPr>
          <w:sz w:val="32"/>
          <w:szCs w:val="32"/>
        </w:rPr>
        <w:t xml:space="preserve">: </w:t>
      </w:r>
      <w:proofErr w:type="spellStart"/>
      <w:r w:rsidR="00D24E11" w:rsidRPr="00B60E91">
        <w:rPr>
          <w:sz w:val="32"/>
          <w:szCs w:val="32"/>
        </w:rPr>
        <w:t>e</w:t>
      </w:r>
      <w:r w:rsidR="00D24E11">
        <w:rPr>
          <w:sz w:val="32"/>
          <w:szCs w:val="32"/>
        </w:rPr>
        <w:t>P</w:t>
      </w:r>
      <w:r w:rsidR="00D24E11" w:rsidRPr="00B60E91">
        <w:rPr>
          <w:sz w:val="32"/>
          <w:szCs w:val="32"/>
        </w:rPr>
        <w:t>łatności</w:t>
      </w:r>
      <w:proofErr w:type="spellEnd"/>
      <w:r w:rsidR="00D24E11" w:rsidRPr="00B60E91">
        <w:rPr>
          <w:sz w:val="32"/>
          <w:szCs w:val="32"/>
        </w:rPr>
        <w:t xml:space="preserve"> </w:t>
      </w:r>
      <w:r w:rsidR="00D24E11">
        <w:rPr>
          <w:sz w:val="32"/>
          <w:szCs w:val="32"/>
        </w:rPr>
        <w:t xml:space="preserve">- </w:t>
      </w:r>
      <w:proofErr w:type="spellStart"/>
      <w:r w:rsidR="00D24E11" w:rsidRPr="00B60E91">
        <w:rPr>
          <w:sz w:val="32"/>
          <w:szCs w:val="32"/>
        </w:rPr>
        <w:t>Billbird</w:t>
      </w:r>
      <w:proofErr w:type="spellEnd"/>
    </w:p>
    <w:p w:rsidR="003F3C31" w:rsidRPr="0038677D" w:rsidRDefault="003F3C31" w:rsidP="00E428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postępowanie w sprawie </w:t>
      </w:r>
      <w:r w:rsidR="00E428A2">
        <w:rPr>
          <w:rFonts w:cs="Tahoma"/>
          <w:b/>
          <w:bCs/>
          <w:color w:val="000000" w:themeColor="text1"/>
          <w:sz w:val="22"/>
          <w:lang w:eastAsia="en-GB"/>
        </w:rPr>
        <w:t>przejęcia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przez </w:t>
      </w:r>
      <w:r w:rsidR="00E428A2" w:rsidRPr="00E428A2">
        <w:rPr>
          <w:rFonts w:cs="Tahoma"/>
          <w:b/>
          <w:bCs/>
          <w:color w:val="000000" w:themeColor="text1"/>
          <w:sz w:val="22"/>
          <w:lang w:eastAsia="en-GB"/>
        </w:rPr>
        <w:t xml:space="preserve">Centrum Rozliczeń Elektronicznych Polskie </w:t>
      </w:r>
      <w:proofErr w:type="spellStart"/>
      <w:r w:rsidR="00E428A2" w:rsidRPr="00E428A2">
        <w:rPr>
          <w:rFonts w:cs="Tahoma"/>
          <w:b/>
          <w:bCs/>
          <w:color w:val="000000" w:themeColor="text1"/>
          <w:sz w:val="22"/>
          <w:lang w:eastAsia="en-GB"/>
        </w:rPr>
        <w:t>ePłatności</w:t>
      </w:r>
      <w:proofErr w:type="spellEnd"/>
      <w:r w:rsidRPr="00E428A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428A2">
        <w:rPr>
          <w:rFonts w:cs="Tahoma"/>
          <w:b/>
          <w:bCs/>
          <w:color w:val="000000" w:themeColor="text1"/>
          <w:sz w:val="22"/>
          <w:lang w:eastAsia="en-GB"/>
        </w:rPr>
        <w:t xml:space="preserve">kontroli nad </w:t>
      </w:r>
      <w:proofErr w:type="spellStart"/>
      <w:r w:rsidR="00E428A2" w:rsidRPr="00E428A2">
        <w:rPr>
          <w:rFonts w:cs="Tahoma"/>
          <w:b/>
          <w:bCs/>
          <w:color w:val="000000" w:themeColor="text1"/>
          <w:sz w:val="22"/>
          <w:lang w:eastAsia="en-GB"/>
        </w:rPr>
        <w:t>BillBird</w:t>
      </w:r>
      <w:proofErr w:type="spellEnd"/>
      <w:r w:rsidRPr="0088370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3F3C31" w:rsidRPr="0038677D" w:rsidRDefault="003F3C31" w:rsidP="003F3C3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W tej sprawie </w:t>
      </w:r>
      <w:r>
        <w:rPr>
          <w:rFonts w:cs="Tahoma"/>
          <w:b/>
          <w:bCs/>
          <w:color w:val="000000" w:themeColor="text1"/>
          <w:sz w:val="22"/>
          <w:lang w:eastAsia="en-GB"/>
        </w:rPr>
        <w:t>istnieje ryzyko ograniczenia konkurencji.</w:t>
      </w:r>
    </w:p>
    <w:p w:rsidR="005734F2" w:rsidRDefault="00237C01" w:rsidP="003F3C3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3F3C31">
        <w:rPr>
          <w:b/>
          <w:sz w:val="22"/>
        </w:rPr>
        <w:t xml:space="preserve"> </w:t>
      </w:r>
      <w:r w:rsidR="00331F52">
        <w:rPr>
          <w:b/>
          <w:sz w:val="22"/>
        </w:rPr>
        <w:t>03 czerwca</w:t>
      </w:r>
      <w:bookmarkStart w:id="0" w:name="_GoBack"/>
      <w:bookmarkEnd w:id="0"/>
      <w:r w:rsidR="003F3C31">
        <w:rPr>
          <w:b/>
          <w:sz w:val="22"/>
        </w:rPr>
        <w:t xml:space="preserve"> 2019 r.] </w:t>
      </w:r>
      <w:r w:rsidR="003F3C31" w:rsidRPr="001E4F92">
        <w:rPr>
          <w:sz w:val="22"/>
        </w:rPr>
        <w:t xml:space="preserve">Transakcja </w:t>
      </w:r>
      <w:r w:rsidR="007F7BEF">
        <w:rPr>
          <w:sz w:val="22"/>
        </w:rPr>
        <w:t>zosta</w:t>
      </w:r>
      <w:r w:rsidR="00825121">
        <w:rPr>
          <w:sz w:val="22"/>
        </w:rPr>
        <w:t>ła zgłoszona do UOKiK na początku</w:t>
      </w:r>
      <w:r w:rsidR="007F7BEF">
        <w:rPr>
          <w:sz w:val="22"/>
        </w:rPr>
        <w:t xml:space="preserve"> </w:t>
      </w:r>
      <w:r w:rsidR="00825121">
        <w:rPr>
          <w:sz w:val="22"/>
        </w:rPr>
        <w:t>lutego</w:t>
      </w:r>
      <w:r w:rsidR="009428B7">
        <w:rPr>
          <w:sz w:val="22"/>
        </w:rPr>
        <w:t xml:space="preserve"> 2019 r. Jej uczestnicy </w:t>
      </w:r>
      <w:r w:rsidR="005734F2">
        <w:rPr>
          <w:sz w:val="22"/>
        </w:rPr>
        <w:t>oferują doładowania</w:t>
      </w:r>
      <w:r w:rsidR="005734F2" w:rsidRPr="005734F2">
        <w:rPr>
          <w:sz w:val="22"/>
        </w:rPr>
        <w:t xml:space="preserve"> do telefonów k</w:t>
      </w:r>
      <w:r w:rsidR="005734F2">
        <w:rPr>
          <w:sz w:val="22"/>
        </w:rPr>
        <w:t xml:space="preserve">omórkowych (tzw. </w:t>
      </w:r>
      <w:proofErr w:type="spellStart"/>
      <w:r w:rsidR="005734F2">
        <w:rPr>
          <w:sz w:val="22"/>
        </w:rPr>
        <w:t>pre-paid</w:t>
      </w:r>
      <w:proofErr w:type="spellEnd"/>
      <w:r w:rsidR="005734F2">
        <w:rPr>
          <w:sz w:val="22"/>
        </w:rPr>
        <w:t xml:space="preserve">), </w:t>
      </w:r>
      <w:r w:rsidR="005734F2" w:rsidRPr="005734F2">
        <w:rPr>
          <w:sz w:val="22"/>
        </w:rPr>
        <w:t xml:space="preserve"> </w:t>
      </w:r>
      <w:r w:rsidR="005734F2">
        <w:rPr>
          <w:sz w:val="22"/>
        </w:rPr>
        <w:t>doładowania</w:t>
      </w:r>
      <w:r w:rsidR="005734F2" w:rsidRPr="005734F2">
        <w:rPr>
          <w:sz w:val="22"/>
        </w:rPr>
        <w:t xml:space="preserve"> do energety</w:t>
      </w:r>
      <w:r w:rsidR="00FF543B">
        <w:rPr>
          <w:sz w:val="22"/>
        </w:rPr>
        <w:t>c</w:t>
      </w:r>
      <w:r>
        <w:rPr>
          <w:sz w:val="22"/>
        </w:rPr>
        <w:t>znych liczników przedpłaconych oraz</w:t>
      </w:r>
      <w:r w:rsidR="005734F2" w:rsidRPr="005734F2">
        <w:rPr>
          <w:sz w:val="22"/>
        </w:rPr>
        <w:t xml:space="preserve"> </w:t>
      </w:r>
      <w:r w:rsidR="00FF543B">
        <w:rPr>
          <w:sz w:val="22"/>
        </w:rPr>
        <w:t xml:space="preserve">obsługują różnego rodzaju </w:t>
      </w:r>
      <w:r w:rsidR="009428B7">
        <w:rPr>
          <w:sz w:val="22"/>
        </w:rPr>
        <w:t>transakcje płatnicze</w:t>
      </w:r>
      <w:r w:rsidR="005734F2">
        <w:rPr>
          <w:sz w:val="22"/>
        </w:rPr>
        <w:t>.</w:t>
      </w:r>
    </w:p>
    <w:p w:rsidR="00F568E0" w:rsidRDefault="00F568E0" w:rsidP="003F3C31">
      <w:pPr>
        <w:spacing w:after="240" w:line="360" w:lineRule="auto"/>
        <w:jc w:val="both"/>
        <w:rPr>
          <w:sz w:val="22"/>
        </w:rPr>
      </w:pPr>
      <w:r w:rsidRPr="00F568E0">
        <w:rPr>
          <w:sz w:val="22"/>
        </w:rPr>
        <w:t>Analiza wniosku wykazała, że łączne udziały uczestników koncentracji na jednym z rynków przekracza</w:t>
      </w:r>
      <w:r>
        <w:rPr>
          <w:sz w:val="22"/>
        </w:rPr>
        <w:t>ją próg 40 proc.</w:t>
      </w:r>
      <w:r w:rsidRPr="00F568E0">
        <w:rPr>
          <w:sz w:val="22"/>
        </w:rPr>
        <w:t xml:space="preserve"> </w:t>
      </w:r>
      <w:r w:rsidR="00EF51D8">
        <w:rPr>
          <w:sz w:val="22"/>
        </w:rPr>
        <w:t>Może</w:t>
      </w:r>
      <w:r>
        <w:rPr>
          <w:sz w:val="22"/>
        </w:rPr>
        <w:t xml:space="preserve"> to </w:t>
      </w:r>
      <w:r w:rsidR="00EF51D8">
        <w:rPr>
          <w:sz w:val="22"/>
        </w:rPr>
        <w:t xml:space="preserve">oznaczać </w:t>
      </w:r>
      <w:r>
        <w:rPr>
          <w:sz w:val="22"/>
        </w:rPr>
        <w:t>powstanie</w:t>
      </w:r>
      <w:r w:rsidR="00EF51D8">
        <w:rPr>
          <w:sz w:val="22"/>
        </w:rPr>
        <w:t xml:space="preserve"> pozycji dominującej oraz </w:t>
      </w:r>
      <w:r w:rsidRPr="00F568E0">
        <w:rPr>
          <w:sz w:val="22"/>
        </w:rPr>
        <w:t xml:space="preserve">istotnego ograniczenia konkurencji, </w:t>
      </w:r>
      <w:r>
        <w:rPr>
          <w:sz w:val="22"/>
        </w:rPr>
        <w:t xml:space="preserve">dlatego </w:t>
      </w:r>
      <w:r w:rsidRPr="00F568E0">
        <w:rPr>
          <w:sz w:val="22"/>
        </w:rPr>
        <w:t>w tej sprawie konieczne jest przeprowadzenie badania rynku.</w:t>
      </w:r>
    </w:p>
    <w:p w:rsidR="003F3C31" w:rsidRPr="0010559C" w:rsidRDefault="003F3C31" w:rsidP="003F3C31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Rozpoczęcie drugiego etapu postępowania nie przesądza o rodzaju decyzji, jaka w przyszłości zostanie wydana. Prezes Urzędu Ochrony Konkurencji i Konsumentów może wyrazić zgodę (bezwarunkową lub warunkową) na koncentrację albo zakazać jej przeprowadzenia.</w:t>
      </w:r>
    </w:p>
    <w:p w:rsidR="003F3C31" w:rsidRPr="00D47CCF" w:rsidRDefault="003F3C31" w:rsidP="003F3C31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3F3C31" w:rsidRDefault="003F3C31" w:rsidP="003F3C31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>ustawą o ochronie konkurencji i konsumentów</w:t>
        </w:r>
      </w:hyperlink>
      <w:r w:rsidRPr="005F1EBD">
        <w:rPr>
          <w:rFonts w:cs="Tahoma"/>
          <w:sz w:val="22"/>
          <w:lang w:eastAsia="pl-PL"/>
        </w:rPr>
        <w:t xml:space="preserve"> </w:t>
      </w:r>
      <w:r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3F3C31" w:rsidRPr="00A13244" w:rsidRDefault="00967D07" w:rsidP="003F3C31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3F3C31" w:rsidRPr="00B6769E">
          <w:rPr>
            <w:rStyle w:val="Hipercze"/>
            <w:rFonts w:cs="Tahoma"/>
            <w:sz w:val="22"/>
            <w:lang w:eastAsia="pl-PL"/>
          </w:rPr>
          <w:t>Na stronie internetowej UOKiK </w:t>
        </w:r>
      </w:hyperlink>
      <w:r w:rsidR="003F3C31">
        <w:rPr>
          <w:rFonts w:cs="Tahoma"/>
          <w:sz w:val="22"/>
          <w:lang w:eastAsia="pl-PL"/>
        </w:rPr>
        <w:t xml:space="preserve"> </w:t>
      </w:r>
      <w:r w:rsidR="003F3C31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3F3C31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3F3C31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3F3C31">
        <w:rPr>
          <w:rFonts w:cs="Tahoma"/>
          <w:sz w:val="22"/>
          <w:lang w:eastAsia="pl-PL"/>
        </w:rPr>
        <w:t xml:space="preserve"> </w:t>
      </w:r>
    </w:p>
    <w:p w:rsidR="006B628A" w:rsidRDefault="006B628A" w:rsidP="003F3C31">
      <w:pPr>
        <w:spacing w:before="240" w:after="240" w:line="360" w:lineRule="auto"/>
        <w:jc w:val="both"/>
        <w:rPr>
          <w:rStyle w:val="Pogrubienie"/>
          <w:rFonts w:cs="Tahoma"/>
          <w:color w:val="000000"/>
          <w:szCs w:val="18"/>
        </w:rPr>
      </w:pPr>
    </w:p>
    <w:p w:rsidR="003F3C31" w:rsidRPr="00B6769E" w:rsidRDefault="003F3C31" w:rsidP="003F3C31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lastRenderedPageBreak/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3F3C31" w:rsidRPr="004425B7" w:rsidRDefault="003F3C31" w:rsidP="003F3C31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B73F22" w:rsidRPr="003F3C31" w:rsidRDefault="00B73F22" w:rsidP="003F3C31"/>
    <w:sectPr w:rsidR="00B73F22" w:rsidRPr="003F3C31" w:rsidSect="008D527A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07" w:rsidRDefault="00967D07">
      <w:r>
        <w:separator/>
      </w:r>
    </w:p>
  </w:endnote>
  <w:endnote w:type="continuationSeparator" w:id="0">
    <w:p w:rsidR="00967D07" w:rsidRDefault="0096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07" w:rsidRDefault="00967D07">
      <w:r>
        <w:separator/>
      </w:r>
    </w:p>
  </w:footnote>
  <w:footnote w:type="continuationSeparator" w:id="0">
    <w:p w:rsidR="00967D07" w:rsidRDefault="0096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967D07" w:rsidP="0041396E">
    <w:pPr>
      <w:pStyle w:val="Nagwek"/>
      <w:tabs>
        <w:tab w:val="clear" w:pos="9072"/>
      </w:tabs>
    </w:pPr>
  </w:p>
  <w:p w:rsidR="0059016B" w:rsidRDefault="00967D0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AB2"/>
    <w:rsid w:val="0000713A"/>
    <w:rsid w:val="00007E00"/>
    <w:rsid w:val="00011AF2"/>
    <w:rsid w:val="00013341"/>
    <w:rsid w:val="00023634"/>
    <w:rsid w:val="00042F96"/>
    <w:rsid w:val="000651E9"/>
    <w:rsid w:val="00073AA7"/>
    <w:rsid w:val="000A74FA"/>
    <w:rsid w:val="000B149D"/>
    <w:rsid w:val="000B1AC5"/>
    <w:rsid w:val="000B7247"/>
    <w:rsid w:val="000E6F07"/>
    <w:rsid w:val="0010559C"/>
    <w:rsid w:val="001060F9"/>
    <w:rsid w:val="00107844"/>
    <w:rsid w:val="001129AD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301B"/>
    <w:rsid w:val="001E188E"/>
    <w:rsid w:val="001E4F92"/>
    <w:rsid w:val="001F4A73"/>
    <w:rsid w:val="00205580"/>
    <w:rsid w:val="002157BB"/>
    <w:rsid w:val="002262B5"/>
    <w:rsid w:val="0023138D"/>
    <w:rsid w:val="00237C01"/>
    <w:rsid w:val="0024118E"/>
    <w:rsid w:val="00241BAC"/>
    <w:rsid w:val="00260382"/>
    <w:rsid w:val="00265B0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1F52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3F3C31"/>
    <w:rsid w:val="0040748E"/>
    <w:rsid w:val="00412206"/>
    <w:rsid w:val="00427E08"/>
    <w:rsid w:val="004349BA"/>
    <w:rsid w:val="0043575C"/>
    <w:rsid w:val="004365C7"/>
    <w:rsid w:val="00437C94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734F2"/>
    <w:rsid w:val="00583276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135A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628A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0A5C"/>
    <w:rsid w:val="007A19D8"/>
    <w:rsid w:val="007E36E4"/>
    <w:rsid w:val="007F0ACE"/>
    <w:rsid w:val="007F7BEF"/>
    <w:rsid w:val="00804024"/>
    <w:rsid w:val="0081753E"/>
    <w:rsid w:val="00825121"/>
    <w:rsid w:val="0085010E"/>
    <w:rsid w:val="0085454F"/>
    <w:rsid w:val="0087354F"/>
    <w:rsid w:val="00877500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428B7"/>
    <w:rsid w:val="0095309C"/>
    <w:rsid w:val="009652F2"/>
    <w:rsid w:val="00967D07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E91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4E11"/>
    <w:rsid w:val="00D251AC"/>
    <w:rsid w:val="00D43766"/>
    <w:rsid w:val="00D47CCF"/>
    <w:rsid w:val="00D6457B"/>
    <w:rsid w:val="00D66DEC"/>
    <w:rsid w:val="00D71A41"/>
    <w:rsid w:val="00D768A4"/>
    <w:rsid w:val="00D91E49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28A2"/>
    <w:rsid w:val="00E522AD"/>
    <w:rsid w:val="00E64103"/>
    <w:rsid w:val="00E76CD1"/>
    <w:rsid w:val="00EE4AD8"/>
    <w:rsid w:val="00EF51D8"/>
    <w:rsid w:val="00F139AC"/>
    <w:rsid w:val="00F21EAC"/>
    <w:rsid w:val="00F3243D"/>
    <w:rsid w:val="00F46D0D"/>
    <w:rsid w:val="00F568E0"/>
    <w:rsid w:val="00F92B59"/>
    <w:rsid w:val="00F948BC"/>
    <w:rsid w:val="00F960CF"/>
    <w:rsid w:val="00FA10A3"/>
    <w:rsid w:val="00FA1226"/>
    <w:rsid w:val="00FD09D8"/>
    <w:rsid w:val="00FE665B"/>
    <w:rsid w:val="00FF231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C30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3</cp:revision>
  <cp:lastPrinted>2019-05-27T12:57:00Z</cp:lastPrinted>
  <dcterms:created xsi:type="dcterms:W3CDTF">2019-05-27T13:30:00Z</dcterms:created>
  <dcterms:modified xsi:type="dcterms:W3CDTF">2019-06-03T08:04:00Z</dcterms:modified>
</cp:coreProperties>
</file>