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C1" w:rsidRPr="00CC4997" w:rsidRDefault="002209C1" w:rsidP="002209C1">
      <w:pPr>
        <w:pStyle w:val="TYTUKOMUNIKATU"/>
        <w:spacing w:before="0" w:after="240" w:line="240" w:lineRule="auto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 w:rsidRPr="00CC4997">
        <w:rPr>
          <w:rFonts w:ascii="Trebuchet MS" w:hAnsi="Trebuchet MS"/>
          <w:bCs w:val="0"/>
          <w:sz w:val="32"/>
          <w:szCs w:val="32"/>
          <w:lang w:val="pl-PL"/>
        </w:rPr>
        <w:t>Wyroki sądowe: OCHRONA KONSUMENTÓW</w:t>
      </w:r>
    </w:p>
    <w:p w:rsidR="002209C1" w:rsidRPr="007409D9" w:rsidRDefault="005C25E2" w:rsidP="002209C1">
      <w:pPr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>
        <w:rPr>
          <w:b/>
          <w:kern w:val="3"/>
          <w:sz w:val="22"/>
        </w:rPr>
        <w:t>O</w:t>
      </w:r>
      <w:r w:rsidR="008A211F">
        <w:rPr>
          <w:b/>
          <w:kern w:val="3"/>
          <w:sz w:val="22"/>
        </w:rPr>
        <w:t xml:space="preserve">range Polska, SGI, </w:t>
      </w:r>
      <w:proofErr w:type="spellStart"/>
      <w:r w:rsidR="008A211F">
        <w:rPr>
          <w:b/>
          <w:kern w:val="3"/>
          <w:sz w:val="22"/>
        </w:rPr>
        <w:t>Vex</w:t>
      </w:r>
      <w:proofErr w:type="spellEnd"/>
      <w:r w:rsidR="002209C1" w:rsidRPr="00AE3490">
        <w:rPr>
          <w:b/>
          <w:kern w:val="3"/>
          <w:sz w:val="22"/>
        </w:rPr>
        <w:t>.</w:t>
      </w:r>
    </w:p>
    <w:p w:rsidR="002209C1" w:rsidRPr="00F2227E" w:rsidRDefault="002209C1" w:rsidP="002209C1">
      <w:pPr>
        <w:numPr>
          <w:ilvl w:val="0"/>
          <w:numId w:val="7"/>
        </w:numPr>
        <w:spacing w:after="240" w:line="360" w:lineRule="auto"/>
        <w:jc w:val="both"/>
        <w:rPr>
          <w:b/>
          <w:kern w:val="3"/>
          <w:sz w:val="22"/>
        </w:rPr>
      </w:pPr>
      <w:r w:rsidRPr="00F2227E">
        <w:rPr>
          <w:b/>
          <w:kern w:val="3"/>
          <w:sz w:val="22"/>
        </w:rPr>
        <w:t xml:space="preserve">To przedsiębiorcy, których dotyczyły wyroki sądowe w sprawach decyzji UOKiK </w:t>
      </w:r>
      <w:r w:rsidR="001B21D3">
        <w:rPr>
          <w:b/>
          <w:kern w:val="3"/>
          <w:sz w:val="22"/>
        </w:rPr>
        <w:br/>
      </w:r>
      <w:r w:rsidRPr="00F2227E">
        <w:rPr>
          <w:b/>
          <w:kern w:val="3"/>
          <w:sz w:val="22"/>
        </w:rPr>
        <w:t>z zakresu ochrony konsumentów</w:t>
      </w:r>
    </w:p>
    <w:p w:rsidR="002209C1" w:rsidRPr="00CC4997" w:rsidRDefault="002209C1" w:rsidP="002209C1">
      <w:pPr>
        <w:spacing w:after="240" w:line="360" w:lineRule="auto"/>
        <w:jc w:val="both"/>
        <w:rPr>
          <w:kern w:val="3"/>
          <w:sz w:val="22"/>
        </w:rPr>
      </w:pPr>
      <w:r w:rsidRPr="00CC4997">
        <w:rPr>
          <w:b/>
          <w:kern w:val="3"/>
          <w:sz w:val="22"/>
        </w:rPr>
        <w:t xml:space="preserve">[Warszawa, </w:t>
      </w:r>
      <w:r w:rsidR="000F171F">
        <w:rPr>
          <w:b/>
          <w:kern w:val="3"/>
          <w:sz w:val="22"/>
        </w:rPr>
        <w:t>04</w:t>
      </w:r>
      <w:bookmarkStart w:id="0" w:name="_GoBack"/>
      <w:bookmarkEnd w:id="0"/>
      <w:r>
        <w:rPr>
          <w:b/>
          <w:kern w:val="3"/>
          <w:sz w:val="22"/>
        </w:rPr>
        <w:t xml:space="preserve"> </w:t>
      </w:r>
      <w:r w:rsidR="00A910EC">
        <w:rPr>
          <w:b/>
          <w:kern w:val="3"/>
          <w:sz w:val="22"/>
        </w:rPr>
        <w:t>czerwca</w:t>
      </w:r>
      <w:r w:rsidRPr="00CC4997">
        <w:rPr>
          <w:b/>
          <w:kern w:val="3"/>
          <w:sz w:val="22"/>
        </w:rPr>
        <w:t xml:space="preserve"> </w:t>
      </w:r>
      <w:r w:rsidR="004E2033">
        <w:rPr>
          <w:b/>
          <w:kern w:val="3"/>
          <w:sz w:val="22"/>
        </w:rPr>
        <w:t>2019</w:t>
      </w:r>
      <w:r w:rsidRPr="00CC4997">
        <w:rPr>
          <w:b/>
          <w:kern w:val="3"/>
          <w:sz w:val="22"/>
        </w:rPr>
        <w:t xml:space="preserve"> r.]</w:t>
      </w:r>
      <w:r w:rsidRPr="00CC4997">
        <w:rPr>
          <w:kern w:val="3"/>
          <w:sz w:val="22"/>
        </w:rPr>
        <w:t xml:space="preserve"> </w:t>
      </w:r>
    </w:p>
    <w:p w:rsidR="002209C1" w:rsidRPr="00557568" w:rsidRDefault="006B3ED8" w:rsidP="002209C1">
      <w:pPr>
        <w:spacing w:after="240" w:line="360" w:lineRule="auto"/>
        <w:jc w:val="both"/>
        <w:rPr>
          <w:rStyle w:val="Hipercze"/>
          <w:b/>
          <w:kern w:val="3"/>
          <w:sz w:val="22"/>
        </w:rPr>
      </w:pPr>
      <w:r w:rsidRPr="00557568">
        <w:rPr>
          <w:rStyle w:val="Hipercze"/>
          <w:b/>
          <w:kern w:val="3"/>
          <w:sz w:val="22"/>
        </w:rPr>
        <w:fldChar w:fldCharType="begin"/>
      </w:r>
      <w:r w:rsidRPr="00557568">
        <w:rPr>
          <w:rStyle w:val="Hipercze"/>
          <w:b/>
          <w:kern w:val="3"/>
          <w:sz w:val="22"/>
        </w:rPr>
        <w:instrText xml:space="preserve"> HYPERLINK "https://decyzje.uokik.gov.pl/bp/wyroki.nsf/1/3D90682DE0EA55C7C12583E000453325?editDocument&amp;act=Wyrok" </w:instrText>
      </w:r>
      <w:r w:rsidRPr="00557568">
        <w:rPr>
          <w:rStyle w:val="Hipercze"/>
          <w:b/>
          <w:kern w:val="3"/>
          <w:sz w:val="22"/>
        </w:rPr>
        <w:fldChar w:fldCharType="separate"/>
      </w:r>
      <w:r w:rsidR="002D382D" w:rsidRPr="00557568">
        <w:rPr>
          <w:rStyle w:val="Hipercze"/>
          <w:b/>
          <w:kern w:val="3"/>
          <w:sz w:val="22"/>
        </w:rPr>
        <w:t>Orange Polska</w:t>
      </w:r>
      <w:r w:rsidR="002209C1" w:rsidRPr="00557568">
        <w:rPr>
          <w:rStyle w:val="Hipercze"/>
          <w:b/>
          <w:kern w:val="3"/>
          <w:sz w:val="22"/>
        </w:rPr>
        <w:t xml:space="preserve"> – sygn. </w:t>
      </w:r>
      <w:r w:rsidR="002D382D" w:rsidRPr="00557568">
        <w:rPr>
          <w:rStyle w:val="Hipercze"/>
          <w:b/>
          <w:kern w:val="3"/>
          <w:sz w:val="22"/>
        </w:rPr>
        <w:t xml:space="preserve">XVII </w:t>
      </w:r>
      <w:proofErr w:type="spellStart"/>
      <w:r w:rsidR="002D382D" w:rsidRPr="00557568">
        <w:rPr>
          <w:rStyle w:val="Hipercze"/>
          <w:b/>
          <w:kern w:val="3"/>
          <w:sz w:val="22"/>
        </w:rPr>
        <w:t>AmA</w:t>
      </w:r>
      <w:proofErr w:type="spellEnd"/>
      <w:r w:rsidR="002D382D" w:rsidRPr="00557568">
        <w:rPr>
          <w:rStyle w:val="Hipercze"/>
          <w:b/>
          <w:kern w:val="3"/>
          <w:sz w:val="22"/>
        </w:rPr>
        <w:t xml:space="preserve"> 54/17</w:t>
      </w:r>
    </w:p>
    <w:p w:rsidR="002D382D" w:rsidRPr="00557568" w:rsidRDefault="006B3ED8" w:rsidP="00446BC4">
      <w:pPr>
        <w:spacing w:after="240" w:line="360" w:lineRule="auto"/>
        <w:jc w:val="both"/>
        <w:rPr>
          <w:kern w:val="3"/>
          <w:sz w:val="22"/>
        </w:rPr>
      </w:pPr>
      <w:r w:rsidRPr="00557568">
        <w:rPr>
          <w:rStyle w:val="Hipercze"/>
          <w:b/>
          <w:kern w:val="3"/>
          <w:sz w:val="22"/>
        </w:rPr>
        <w:fldChar w:fldCharType="end"/>
      </w:r>
      <w:r w:rsidR="002209C1" w:rsidRPr="00557568">
        <w:rPr>
          <w:kern w:val="3"/>
          <w:sz w:val="22"/>
        </w:rPr>
        <w:t xml:space="preserve">Pierwszy wyrok dotyczy </w:t>
      </w:r>
      <w:hyperlink r:id="rId7" w:history="1">
        <w:r w:rsidR="002209C1" w:rsidRPr="00557568">
          <w:rPr>
            <w:rStyle w:val="Hipercze"/>
            <w:kern w:val="3"/>
            <w:sz w:val="22"/>
          </w:rPr>
          <w:t>decyzji</w:t>
        </w:r>
      </w:hyperlink>
      <w:r w:rsidR="002209C1" w:rsidRPr="00557568">
        <w:rPr>
          <w:kern w:val="3"/>
          <w:sz w:val="22"/>
        </w:rPr>
        <w:t xml:space="preserve"> z </w:t>
      </w:r>
      <w:r w:rsidR="002D382D" w:rsidRPr="00557568">
        <w:rPr>
          <w:kern w:val="3"/>
          <w:sz w:val="22"/>
        </w:rPr>
        <w:t>sierpnia 2017</w:t>
      </w:r>
      <w:r w:rsidR="002209C1" w:rsidRPr="00557568">
        <w:rPr>
          <w:kern w:val="3"/>
          <w:sz w:val="22"/>
        </w:rPr>
        <w:t xml:space="preserve"> r. UOKiK </w:t>
      </w:r>
      <w:r w:rsidR="002D382D" w:rsidRPr="00557568">
        <w:rPr>
          <w:kern w:val="3"/>
          <w:sz w:val="22"/>
        </w:rPr>
        <w:t>uznał</w:t>
      </w:r>
      <w:r w:rsidR="00185EC2" w:rsidRPr="00557568">
        <w:rPr>
          <w:kern w:val="3"/>
          <w:sz w:val="22"/>
        </w:rPr>
        <w:t>, że</w:t>
      </w:r>
      <w:r w:rsidR="002D382D" w:rsidRPr="00557568">
        <w:rPr>
          <w:kern w:val="3"/>
          <w:sz w:val="22"/>
        </w:rPr>
        <w:t xml:space="preserve"> </w:t>
      </w:r>
      <w:r w:rsidR="00185EC2" w:rsidRPr="00557568">
        <w:rPr>
          <w:kern w:val="3"/>
          <w:sz w:val="22"/>
        </w:rPr>
        <w:t xml:space="preserve">spółka </w:t>
      </w:r>
      <w:r w:rsidR="002D382D" w:rsidRPr="00557568">
        <w:rPr>
          <w:b/>
          <w:kern w:val="3"/>
          <w:sz w:val="22"/>
        </w:rPr>
        <w:t>Orange Polska</w:t>
      </w:r>
      <w:r w:rsidR="002D382D" w:rsidRPr="00557568">
        <w:rPr>
          <w:kern w:val="3"/>
          <w:sz w:val="22"/>
        </w:rPr>
        <w:t xml:space="preserve"> </w:t>
      </w:r>
      <w:r w:rsidR="00185EC2" w:rsidRPr="00557568">
        <w:rPr>
          <w:kern w:val="3"/>
          <w:sz w:val="22"/>
        </w:rPr>
        <w:t>naruszyła</w:t>
      </w:r>
      <w:r w:rsidR="002D382D" w:rsidRPr="00557568">
        <w:rPr>
          <w:kern w:val="3"/>
          <w:sz w:val="22"/>
        </w:rPr>
        <w:t xml:space="preserve"> zbiorowe interesy</w:t>
      </w:r>
      <w:r w:rsidR="00185EC2" w:rsidRPr="00557568">
        <w:rPr>
          <w:kern w:val="3"/>
          <w:sz w:val="22"/>
        </w:rPr>
        <w:t xml:space="preserve"> konsumentów</w:t>
      </w:r>
      <w:r w:rsidR="002D382D" w:rsidRPr="00557568">
        <w:rPr>
          <w:kern w:val="3"/>
          <w:sz w:val="22"/>
        </w:rPr>
        <w:t>.</w:t>
      </w:r>
      <w:r w:rsidR="00185EC2" w:rsidRPr="00557568">
        <w:rPr>
          <w:kern w:val="3"/>
          <w:sz w:val="22"/>
        </w:rPr>
        <w:t xml:space="preserve"> Chodzi o reklamy radiowe, telewizyjne i </w:t>
      </w:r>
      <w:r w:rsidR="00082A88" w:rsidRPr="00557568">
        <w:rPr>
          <w:kern w:val="3"/>
          <w:sz w:val="22"/>
        </w:rPr>
        <w:t xml:space="preserve">zewnętrzne </w:t>
      </w:r>
      <w:r w:rsidR="00185EC2" w:rsidRPr="00557568">
        <w:rPr>
          <w:kern w:val="3"/>
          <w:sz w:val="22"/>
        </w:rPr>
        <w:t xml:space="preserve">na bilbordach </w:t>
      </w:r>
      <w:proofErr w:type="spellStart"/>
      <w:r w:rsidR="00082A88" w:rsidRPr="00557568">
        <w:rPr>
          <w:kern w:val="3"/>
          <w:sz w:val="22"/>
        </w:rPr>
        <w:t>Superpromocji</w:t>
      </w:r>
      <w:proofErr w:type="spellEnd"/>
      <w:r w:rsidR="00082A88" w:rsidRPr="00557568">
        <w:rPr>
          <w:kern w:val="3"/>
          <w:sz w:val="22"/>
        </w:rPr>
        <w:t xml:space="preserve"> Neostrady i </w:t>
      </w:r>
      <w:proofErr w:type="spellStart"/>
      <w:r w:rsidR="00082A88" w:rsidRPr="00557568">
        <w:rPr>
          <w:kern w:val="3"/>
          <w:sz w:val="22"/>
        </w:rPr>
        <w:t>Geopromocji</w:t>
      </w:r>
      <w:proofErr w:type="spellEnd"/>
      <w:r w:rsidR="00185EC2" w:rsidRPr="00557568">
        <w:rPr>
          <w:kern w:val="3"/>
          <w:sz w:val="22"/>
        </w:rPr>
        <w:t xml:space="preserve"> dla Neostrady. Operator zachęcał klientów niskimi opłatami miesięcznymi, nie informował jednak</w:t>
      </w:r>
      <w:r w:rsidR="009B23BE" w:rsidRPr="00557568">
        <w:rPr>
          <w:kern w:val="3"/>
          <w:sz w:val="22"/>
        </w:rPr>
        <w:t xml:space="preserve"> </w:t>
      </w:r>
      <w:r w:rsidR="001B21D3">
        <w:rPr>
          <w:kern w:val="3"/>
          <w:sz w:val="22"/>
        </w:rPr>
        <w:t>rzetelnie</w:t>
      </w:r>
      <w:r w:rsidR="00185EC2" w:rsidRPr="00557568">
        <w:rPr>
          <w:kern w:val="3"/>
          <w:sz w:val="22"/>
        </w:rPr>
        <w:t xml:space="preserve"> o dodatkowej opłacie którą musieli ponieść konsumenci nieposiadający telefonu stacjonarnego.</w:t>
      </w:r>
      <w:r w:rsidR="00446BC4" w:rsidRPr="00557568">
        <w:rPr>
          <w:kern w:val="3"/>
          <w:sz w:val="22"/>
        </w:rPr>
        <w:t xml:space="preserve"> Opłata ta miała zrekompensować operatorowi utrzymanie łącza. Urząd uznał, że komunikat na temat konieczności ponoszenia dodatkowych kosztów był nieczytelny przez co </w:t>
      </w:r>
      <w:r w:rsidR="001B21D3">
        <w:rPr>
          <w:kern w:val="3"/>
          <w:sz w:val="22"/>
        </w:rPr>
        <w:t xml:space="preserve">wiele osób mogło pomyśleć, że cena </w:t>
      </w:r>
      <w:r w:rsidR="0089285D" w:rsidRPr="00557568">
        <w:rPr>
          <w:kern w:val="3"/>
          <w:sz w:val="22"/>
        </w:rPr>
        <w:t>Neostrady</w:t>
      </w:r>
      <w:r w:rsidR="001B21D3">
        <w:rPr>
          <w:kern w:val="3"/>
          <w:sz w:val="22"/>
        </w:rPr>
        <w:t xml:space="preserve"> jest niższa</w:t>
      </w:r>
      <w:r w:rsidR="00446BC4" w:rsidRPr="00557568">
        <w:rPr>
          <w:kern w:val="3"/>
          <w:sz w:val="22"/>
        </w:rPr>
        <w:t>.</w:t>
      </w:r>
    </w:p>
    <w:p w:rsidR="003F3775" w:rsidRPr="00557568" w:rsidRDefault="003F3775" w:rsidP="00446BC4">
      <w:pPr>
        <w:spacing w:after="240" w:line="360" w:lineRule="auto"/>
        <w:jc w:val="both"/>
        <w:rPr>
          <w:kern w:val="3"/>
          <w:sz w:val="22"/>
        </w:rPr>
      </w:pPr>
      <w:r w:rsidRPr="00557568">
        <w:rPr>
          <w:kern w:val="3"/>
          <w:sz w:val="22"/>
        </w:rPr>
        <w:t>UOKiK nałożył na Orange Polska karę w wysokości ponad 16 mln zł.</w:t>
      </w:r>
    </w:p>
    <w:p w:rsidR="003F3775" w:rsidRPr="00185EC2" w:rsidRDefault="003F3775" w:rsidP="00446BC4">
      <w:pPr>
        <w:spacing w:after="240" w:line="360" w:lineRule="auto"/>
        <w:jc w:val="both"/>
        <w:rPr>
          <w:kern w:val="3"/>
          <w:sz w:val="22"/>
        </w:rPr>
      </w:pPr>
      <w:r w:rsidRPr="00557568">
        <w:rPr>
          <w:kern w:val="3"/>
          <w:sz w:val="22"/>
        </w:rPr>
        <w:t xml:space="preserve">W kwietniu 2019 r. Sąd Ochrony Konkurencji i Konsumentów </w:t>
      </w:r>
      <w:r w:rsidR="00517604">
        <w:rPr>
          <w:kern w:val="3"/>
          <w:sz w:val="22"/>
        </w:rPr>
        <w:t>podtrzymał</w:t>
      </w:r>
      <w:r w:rsidR="00517604" w:rsidRPr="00557568">
        <w:rPr>
          <w:kern w:val="3"/>
          <w:sz w:val="22"/>
        </w:rPr>
        <w:t xml:space="preserve"> </w:t>
      </w:r>
      <w:r w:rsidRPr="00557568">
        <w:rPr>
          <w:kern w:val="3"/>
          <w:sz w:val="22"/>
        </w:rPr>
        <w:t xml:space="preserve">decyzję urzędu </w:t>
      </w:r>
      <w:r w:rsidR="00517604">
        <w:rPr>
          <w:kern w:val="3"/>
          <w:sz w:val="22"/>
        </w:rPr>
        <w:t xml:space="preserve">w zakresie dotyczącym stosowania kwestionowanej praktyki, ale </w:t>
      </w:r>
      <w:r w:rsidRPr="00557568">
        <w:rPr>
          <w:kern w:val="3"/>
          <w:sz w:val="22"/>
        </w:rPr>
        <w:t>zmniejsz</w:t>
      </w:r>
      <w:r w:rsidR="00517604">
        <w:rPr>
          <w:kern w:val="3"/>
          <w:sz w:val="22"/>
        </w:rPr>
        <w:t>ył</w:t>
      </w:r>
      <w:r w:rsidRPr="00557568">
        <w:rPr>
          <w:kern w:val="3"/>
          <w:sz w:val="22"/>
        </w:rPr>
        <w:t xml:space="preserve"> karę do ponad 13 mln zł. </w:t>
      </w:r>
      <w:r w:rsidR="00E446C9" w:rsidRPr="00557568">
        <w:rPr>
          <w:kern w:val="3"/>
          <w:sz w:val="22"/>
        </w:rPr>
        <w:t>W ustnych motywach rozstrzy</w:t>
      </w:r>
      <w:r w:rsidR="00007506">
        <w:rPr>
          <w:kern w:val="3"/>
          <w:sz w:val="22"/>
        </w:rPr>
        <w:t>gnięcia sąd wskazał, że prezes u</w:t>
      </w:r>
      <w:r w:rsidR="00E446C9" w:rsidRPr="00557568">
        <w:rPr>
          <w:kern w:val="3"/>
          <w:sz w:val="22"/>
        </w:rPr>
        <w:t>rzędu słusznie uznał, że reklama mog</w:t>
      </w:r>
      <w:r w:rsidR="008F3CF2">
        <w:rPr>
          <w:kern w:val="3"/>
          <w:sz w:val="22"/>
        </w:rPr>
        <w:t>ła być niejasna dla konsumentów. Ponad</w:t>
      </w:r>
      <w:r w:rsidR="00E446C9" w:rsidRPr="00557568">
        <w:rPr>
          <w:kern w:val="3"/>
          <w:sz w:val="22"/>
        </w:rPr>
        <w:t>to w reklamach radiowych nie było żadnej informacji o dodatkowych kosztach</w:t>
      </w:r>
      <w:r w:rsidR="00517604">
        <w:rPr>
          <w:kern w:val="3"/>
          <w:sz w:val="22"/>
        </w:rPr>
        <w:t xml:space="preserve"> związanych </w:t>
      </w:r>
      <w:r w:rsidR="00517604" w:rsidRPr="00517604">
        <w:rPr>
          <w:kern w:val="3"/>
          <w:sz w:val="22"/>
        </w:rPr>
        <w:t>z brakiem posiadania telefonu stacjonarnego</w:t>
      </w:r>
      <w:r w:rsidR="00E446C9" w:rsidRPr="00557568">
        <w:rPr>
          <w:kern w:val="3"/>
          <w:sz w:val="22"/>
        </w:rPr>
        <w:t xml:space="preserve">. </w:t>
      </w:r>
      <w:r w:rsidR="0085446A" w:rsidRPr="00557568">
        <w:rPr>
          <w:kern w:val="3"/>
          <w:sz w:val="22"/>
        </w:rPr>
        <w:t>Sąd obniżył karę</w:t>
      </w:r>
      <w:r w:rsidR="008F3CF2">
        <w:rPr>
          <w:kern w:val="3"/>
          <w:sz w:val="22"/>
        </w:rPr>
        <w:t>,</w:t>
      </w:r>
      <w:r w:rsidR="0085446A" w:rsidRPr="00557568">
        <w:rPr>
          <w:kern w:val="3"/>
          <w:sz w:val="22"/>
        </w:rPr>
        <w:t xml:space="preserve"> mając na uwadze</w:t>
      </w:r>
      <w:r w:rsidR="00BB0F4F">
        <w:rPr>
          <w:kern w:val="3"/>
          <w:sz w:val="22"/>
        </w:rPr>
        <w:t>, że praktyka była</w:t>
      </w:r>
      <w:r w:rsidR="0085446A" w:rsidRPr="00557568">
        <w:rPr>
          <w:kern w:val="3"/>
          <w:sz w:val="22"/>
        </w:rPr>
        <w:t xml:space="preserve"> stosowan</w:t>
      </w:r>
      <w:r w:rsidR="00BB0F4F">
        <w:rPr>
          <w:kern w:val="3"/>
          <w:sz w:val="22"/>
        </w:rPr>
        <w:t>a</w:t>
      </w:r>
      <w:r w:rsidR="0085446A" w:rsidRPr="00557568">
        <w:rPr>
          <w:kern w:val="3"/>
          <w:sz w:val="22"/>
        </w:rPr>
        <w:t xml:space="preserve"> </w:t>
      </w:r>
      <w:r w:rsidR="00BB0F4F">
        <w:rPr>
          <w:kern w:val="3"/>
          <w:sz w:val="22"/>
        </w:rPr>
        <w:t>w okresie przedkontraktowym</w:t>
      </w:r>
      <w:r w:rsidR="0085446A" w:rsidRPr="00557568">
        <w:rPr>
          <w:kern w:val="3"/>
          <w:sz w:val="22"/>
        </w:rPr>
        <w:t>.</w:t>
      </w:r>
    </w:p>
    <w:p w:rsidR="002209C1" w:rsidRDefault="00396445" w:rsidP="002209C1">
      <w:pPr>
        <w:spacing w:after="240" w:line="360" w:lineRule="auto"/>
        <w:jc w:val="both"/>
        <w:rPr>
          <w:b/>
          <w:kern w:val="3"/>
          <w:sz w:val="22"/>
        </w:rPr>
      </w:pPr>
      <w:hyperlink r:id="rId8" w:history="1">
        <w:r w:rsidR="00330670">
          <w:rPr>
            <w:rStyle w:val="Hipercze"/>
            <w:b/>
            <w:kern w:val="3"/>
            <w:sz w:val="22"/>
          </w:rPr>
          <w:t>SGI</w:t>
        </w:r>
        <w:r w:rsidR="002209C1" w:rsidRPr="00F802E3">
          <w:rPr>
            <w:rStyle w:val="Hipercze"/>
            <w:b/>
            <w:kern w:val="3"/>
            <w:sz w:val="22"/>
          </w:rPr>
          <w:t xml:space="preserve"> </w:t>
        </w:r>
        <w:r w:rsidR="002209C1" w:rsidRPr="000A7C51">
          <w:rPr>
            <w:rStyle w:val="Hipercze"/>
            <w:b/>
            <w:kern w:val="3"/>
            <w:sz w:val="22"/>
          </w:rPr>
          <w:t xml:space="preserve">– sygn. </w:t>
        </w:r>
        <w:r w:rsidR="00330670" w:rsidRPr="00330670">
          <w:rPr>
            <w:rStyle w:val="Hipercze"/>
            <w:b/>
            <w:kern w:val="3"/>
            <w:sz w:val="22"/>
          </w:rPr>
          <w:t>I NSK 17/18</w:t>
        </w:r>
      </w:hyperlink>
    </w:p>
    <w:p w:rsidR="00494FEC" w:rsidRDefault="00330670" w:rsidP="008F0B70">
      <w:pPr>
        <w:spacing w:after="240" w:line="360" w:lineRule="auto"/>
        <w:jc w:val="both"/>
        <w:rPr>
          <w:kern w:val="3"/>
          <w:sz w:val="22"/>
        </w:rPr>
      </w:pPr>
      <w:r>
        <w:rPr>
          <w:kern w:val="3"/>
          <w:sz w:val="22"/>
        </w:rPr>
        <w:t xml:space="preserve">Kolejny wyrok dotyczy </w:t>
      </w:r>
      <w:hyperlink r:id="rId9" w:history="1">
        <w:r w:rsidRPr="005C526D">
          <w:rPr>
            <w:rStyle w:val="Hipercze"/>
            <w:kern w:val="3"/>
            <w:sz w:val="22"/>
          </w:rPr>
          <w:t>decyzji</w:t>
        </w:r>
      </w:hyperlink>
      <w:r>
        <w:rPr>
          <w:kern w:val="3"/>
          <w:sz w:val="22"/>
        </w:rPr>
        <w:t xml:space="preserve"> z lipca 2014 r. UOKiK stwierdził, że spółka SGI </w:t>
      </w:r>
      <w:r w:rsidR="00FA5ACA">
        <w:rPr>
          <w:kern w:val="3"/>
          <w:sz w:val="22"/>
        </w:rPr>
        <w:t xml:space="preserve">w umowach z konsumentami </w:t>
      </w:r>
      <w:r>
        <w:rPr>
          <w:kern w:val="3"/>
          <w:sz w:val="22"/>
        </w:rPr>
        <w:t xml:space="preserve">stosowała 33 </w:t>
      </w:r>
      <w:r w:rsidR="00FA5ACA">
        <w:rPr>
          <w:kern w:val="3"/>
          <w:sz w:val="22"/>
        </w:rPr>
        <w:t xml:space="preserve">postanowienia </w:t>
      </w:r>
      <w:r>
        <w:rPr>
          <w:kern w:val="3"/>
          <w:sz w:val="22"/>
        </w:rPr>
        <w:t>wpisane do rejestru klauzul niedozwolonych</w:t>
      </w:r>
      <w:r w:rsidR="00FA5ACA">
        <w:rPr>
          <w:kern w:val="3"/>
          <w:sz w:val="22"/>
        </w:rPr>
        <w:t xml:space="preserve">. Urząd uznał takie działanie za praktykę naruszającą zbiorowe interesy konsumentów  </w:t>
      </w:r>
      <w:r>
        <w:rPr>
          <w:kern w:val="3"/>
          <w:sz w:val="22"/>
        </w:rPr>
        <w:t xml:space="preserve">oraz </w:t>
      </w:r>
      <w:r>
        <w:rPr>
          <w:kern w:val="3"/>
          <w:sz w:val="22"/>
        </w:rPr>
        <w:lastRenderedPageBreak/>
        <w:t>nakazał</w:t>
      </w:r>
      <w:r w:rsidRPr="00330670">
        <w:rPr>
          <w:kern w:val="3"/>
          <w:sz w:val="22"/>
        </w:rPr>
        <w:t xml:space="preserve"> </w:t>
      </w:r>
      <w:r w:rsidR="00262D48">
        <w:rPr>
          <w:kern w:val="3"/>
          <w:sz w:val="22"/>
        </w:rPr>
        <w:t>aneksowanie</w:t>
      </w:r>
      <w:r w:rsidRPr="00330670">
        <w:rPr>
          <w:kern w:val="3"/>
          <w:sz w:val="22"/>
        </w:rPr>
        <w:t xml:space="preserve"> umów z konsumentami</w:t>
      </w:r>
      <w:r>
        <w:rPr>
          <w:kern w:val="3"/>
          <w:sz w:val="22"/>
        </w:rPr>
        <w:t>.</w:t>
      </w:r>
      <w:r w:rsidR="00494FEC">
        <w:rPr>
          <w:kern w:val="3"/>
          <w:sz w:val="22"/>
        </w:rPr>
        <w:t xml:space="preserve"> </w:t>
      </w:r>
      <w:r w:rsidR="008F0B70">
        <w:rPr>
          <w:kern w:val="3"/>
          <w:sz w:val="22"/>
        </w:rPr>
        <w:t>Przedsiębiorca specjalizuje się w budowie mieszkań i apartamentów.</w:t>
      </w:r>
    </w:p>
    <w:p w:rsidR="0026447A" w:rsidRDefault="003E5D88" w:rsidP="006E590C">
      <w:pPr>
        <w:spacing w:after="240" w:line="360" w:lineRule="auto"/>
        <w:jc w:val="both"/>
        <w:rPr>
          <w:kern w:val="3"/>
          <w:sz w:val="22"/>
        </w:rPr>
      </w:pPr>
      <w:r>
        <w:rPr>
          <w:kern w:val="3"/>
          <w:sz w:val="22"/>
        </w:rPr>
        <w:t>Pomimo, że spółka</w:t>
      </w:r>
      <w:r w:rsidR="0026447A">
        <w:rPr>
          <w:kern w:val="3"/>
          <w:sz w:val="22"/>
        </w:rPr>
        <w:t xml:space="preserve"> nie był</w:t>
      </w:r>
      <w:r w:rsidR="00FA5ACA">
        <w:rPr>
          <w:kern w:val="3"/>
          <w:sz w:val="22"/>
        </w:rPr>
        <w:t>a</w:t>
      </w:r>
      <w:r w:rsidR="0026447A">
        <w:rPr>
          <w:kern w:val="3"/>
          <w:sz w:val="22"/>
        </w:rPr>
        <w:t xml:space="preserve"> stroną w postępowani</w:t>
      </w:r>
      <w:r w:rsidR="00FA5ACA">
        <w:rPr>
          <w:kern w:val="3"/>
          <w:sz w:val="22"/>
        </w:rPr>
        <w:t>ach</w:t>
      </w:r>
      <w:r w:rsidR="0026447A">
        <w:rPr>
          <w:kern w:val="3"/>
          <w:sz w:val="22"/>
        </w:rPr>
        <w:t xml:space="preserve"> o uznanie zakwestionowan</w:t>
      </w:r>
      <w:r w:rsidR="006E590C">
        <w:rPr>
          <w:kern w:val="3"/>
          <w:sz w:val="22"/>
        </w:rPr>
        <w:t xml:space="preserve">ych </w:t>
      </w:r>
      <w:r w:rsidR="00FA5ACA">
        <w:rPr>
          <w:kern w:val="3"/>
          <w:sz w:val="22"/>
        </w:rPr>
        <w:t xml:space="preserve">postanowień </w:t>
      </w:r>
      <w:r w:rsidR="006E590C">
        <w:rPr>
          <w:kern w:val="3"/>
          <w:sz w:val="22"/>
        </w:rPr>
        <w:t xml:space="preserve">za niedozwolone, </w:t>
      </w:r>
      <w:r w:rsidR="004846BE">
        <w:rPr>
          <w:kern w:val="3"/>
          <w:sz w:val="22"/>
        </w:rPr>
        <w:t xml:space="preserve">w październiku 2015 r., </w:t>
      </w:r>
      <w:r w:rsidR="006E590C">
        <w:rPr>
          <w:kern w:val="3"/>
          <w:sz w:val="22"/>
        </w:rPr>
        <w:t>Sądu Ochrony Konkurencji i Konsumentów</w:t>
      </w:r>
      <w:r w:rsidR="0026447A">
        <w:rPr>
          <w:kern w:val="3"/>
          <w:sz w:val="22"/>
        </w:rPr>
        <w:t xml:space="preserve"> oddalił odwołanie</w:t>
      </w:r>
      <w:r w:rsidR="006E590C">
        <w:rPr>
          <w:kern w:val="3"/>
          <w:sz w:val="22"/>
        </w:rPr>
        <w:t xml:space="preserve"> spółki</w:t>
      </w:r>
      <w:r w:rsidR="0026447A">
        <w:rPr>
          <w:kern w:val="3"/>
          <w:sz w:val="22"/>
        </w:rPr>
        <w:t xml:space="preserve">. </w:t>
      </w:r>
      <w:r w:rsidR="006E590C">
        <w:rPr>
          <w:kern w:val="3"/>
          <w:sz w:val="22"/>
        </w:rPr>
        <w:t>Przedsiębiorca zaskarżył decyzję tylko w części dotyczącej</w:t>
      </w:r>
      <w:r w:rsidR="006E590C" w:rsidRPr="00494FEC">
        <w:rPr>
          <w:kern w:val="3"/>
          <w:sz w:val="22"/>
        </w:rPr>
        <w:t xml:space="preserve"> usunięcia skutków naruszenia</w:t>
      </w:r>
      <w:r w:rsidR="006E590C">
        <w:rPr>
          <w:kern w:val="3"/>
          <w:sz w:val="22"/>
        </w:rPr>
        <w:t>. Sąd uznał, że w takiej sytuacji nie może badać</w:t>
      </w:r>
      <w:r w:rsidR="00377FC9">
        <w:rPr>
          <w:kern w:val="3"/>
          <w:sz w:val="22"/>
        </w:rPr>
        <w:t>,</w:t>
      </w:r>
      <w:r w:rsidR="006E590C">
        <w:rPr>
          <w:kern w:val="3"/>
          <w:sz w:val="22"/>
        </w:rPr>
        <w:t xml:space="preserve"> czy działania SGI rzeczywiście stanowiły</w:t>
      </w:r>
      <w:r w:rsidR="006E590C" w:rsidRPr="005A1979">
        <w:rPr>
          <w:kern w:val="3"/>
          <w:sz w:val="22"/>
        </w:rPr>
        <w:t xml:space="preserve"> niedozwoloną praktykę</w:t>
      </w:r>
      <w:r w:rsidR="006E590C">
        <w:rPr>
          <w:kern w:val="3"/>
          <w:sz w:val="22"/>
        </w:rPr>
        <w:t xml:space="preserve">.  </w:t>
      </w:r>
    </w:p>
    <w:p w:rsidR="00A257AB" w:rsidRDefault="00734F52" w:rsidP="00330670">
      <w:pPr>
        <w:spacing w:after="240" w:line="360" w:lineRule="auto"/>
        <w:jc w:val="both"/>
        <w:rPr>
          <w:kern w:val="3"/>
          <w:sz w:val="22"/>
        </w:rPr>
      </w:pPr>
      <w:r>
        <w:rPr>
          <w:kern w:val="3"/>
          <w:sz w:val="22"/>
        </w:rPr>
        <w:t xml:space="preserve">W lutym 2017 r. </w:t>
      </w:r>
      <w:r w:rsidR="00A257AB">
        <w:rPr>
          <w:kern w:val="3"/>
          <w:sz w:val="22"/>
        </w:rPr>
        <w:t xml:space="preserve">Sąd Apelacyjny </w:t>
      </w:r>
      <w:r>
        <w:rPr>
          <w:kern w:val="3"/>
          <w:sz w:val="22"/>
        </w:rPr>
        <w:t xml:space="preserve">nie zgodził się z </w:t>
      </w:r>
      <w:r w:rsidR="00715748">
        <w:rPr>
          <w:kern w:val="3"/>
          <w:sz w:val="22"/>
        </w:rPr>
        <w:t>argumentacją sądu</w:t>
      </w:r>
      <w:r>
        <w:rPr>
          <w:kern w:val="3"/>
          <w:sz w:val="22"/>
        </w:rPr>
        <w:t xml:space="preserve"> niższej instancji i </w:t>
      </w:r>
      <w:r w:rsidR="00361682">
        <w:rPr>
          <w:kern w:val="3"/>
          <w:sz w:val="22"/>
        </w:rPr>
        <w:t>uchylił</w:t>
      </w:r>
      <w:r w:rsidR="00294E5F">
        <w:rPr>
          <w:kern w:val="3"/>
          <w:sz w:val="22"/>
        </w:rPr>
        <w:t xml:space="preserve"> częściowo decyzję</w:t>
      </w:r>
      <w:r>
        <w:rPr>
          <w:kern w:val="3"/>
          <w:sz w:val="22"/>
        </w:rPr>
        <w:t>.</w:t>
      </w:r>
    </w:p>
    <w:p w:rsidR="00294E5F" w:rsidRPr="003824B2" w:rsidRDefault="003824B2" w:rsidP="003824B2">
      <w:pPr>
        <w:spacing w:after="240" w:line="360" w:lineRule="auto"/>
        <w:jc w:val="both"/>
        <w:rPr>
          <w:kern w:val="3"/>
          <w:sz w:val="22"/>
        </w:rPr>
      </w:pPr>
      <w:r>
        <w:rPr>
          <w:kern w:val="3"/>
          <w:sz w:val="22"/>
        </w:rPr>
        <w:t xml:space="preserve">Urząd złożył skargę kasacyjną, w której </w:t>
      </w:r>
      <w:r w:rsidR="00377FC9">
        <w:rPr>
          <w:kern w:val="3"/>
          <w:sz w:val="22"/>
        </w:rPr>
        <w:t>wskazał</w:t>
      </w:r>
      <w:r>
        <w:rPr>
          <w:kern w:val="3"/>
          <w:sz w:val="22"/>
        </w:rPr>
        <w:t>, że decyzja w niezaskarżonej części staje się</w:t>
      </w:r>
      <w:r w:rsidRPr="003824B2">
        <w:rPr>
          <w:kern w:val="3"/>
          <w:sz w:val="22"/>
        </w:rPr>
        <w:t xml:space="preserve"> prawomocna</w:t>
      </w:r>
      <w:r>
        <w:rPr>
          <w:kern w:val="3"/>
          <w:sz w:val="22"/>
        </w:rPr>
        <w:t xml:space="preserve">. </w:t>
      </w:r>
      <w:r w:rsidR="00330670">
        <w:rPr>
          <w:kern w:val="3"/>
          <w:sz w:val="22"/>
        </w:rPr>
        <w:t xml:space="preserve">W lutym 2019 r. Sąd Najwyższy </w:t>
      </w:r>
      <w:r w:rsidR="005B786D">
        <w:rPr>
          <w:kern w:val="3"/>
          <w:sz w:val="22"/>
        </w:rPr>
        <w:t xml:space="preserve">wydał wyrok, którym uchylił orzeczenie </w:t>
      </w:r>
      <w:r>
        <w:rPr>
          <w:kern w:val="3"/>
          <w:sz w:val="22"/>
        </w:rPr>
        <w:t>Sądu Apelacyjnego. SN</w:t>
      </w:r>
      <w:r w:rsidRPr="003824B2">
        <w:rPr>
          <w:kern w:val="3"/>
          <w:sz w:val="22"/>
        </w:rPr>
        <w:t xml:space="preserve"> wskazał, że zakres zaskarżenia decyzji wyznacza granice rozpoznania spr</w:t>
      </w:r>
      <w:r w:rsidR="007433EC">
        <w:rPr>
          <w:kern w:val="3"/>
          <w:sz w:val="22"/>
        </w:rPr>
        <w:t>awy przez sąd i</w:t>
      </w:r>
      <w:r w:rsidRPr="003824B2">
        <w:rPr>
          <w:kern w:val="3"/>
          <w:sz w:val="22"/>
        </w:rPr>
        <w:t xml:space="preserve"> </w:t>
      </w:r>
      <w:r>
        <w:rPr>
          <w:kern w:val="3"/>
          <w:sz w:val="22"/>
        </w:rPr>
        <w:t>SA</w:t>
      </w:r>
      <w:r w:rsidRPr="003824B2">
        <w:rPr>
          <w:kern w:val="3"/>
          <w:sz w:val="22"/>
        </w:rPr>
        <w:t xml:space="preserve"> </w:t>
      </w:r>
      <w:r>
        <w:rPr>
          <w:kern w:val="3"/>
          <w:sz w:val="22"/>
        </w:rPr>
        <w:t>musiał uznać</w:t>
      </w:r>
      <w:r w:rsidRPr="003824B2">
        <w:rPr>
          <w:kern w:val="3"/>
          <w:sz w:val="22"/>
        </w:rPr>
        <w:t xml:space="preserve">, że SGI stosowało praktykę </w:t>
      </w:r>
      <w:r>
        <w:rPr>
          <w:kern w:val="3"/>
          <w:sz w:val="22"/>
        </w:rPr>
        <w:t>naruszającą zbiorowe interesy konsumentów</w:t>
      </w:r>
      <w:r w:rsidRPr="003824B2">
        <w:rPr>
          <w:kern w:val="3"/>
          <w:sz w:val="22"/>
        </w:rPr>
        <w:t xml:space="preserve">. </w:t>
      </w:r>
    </w:p>
    <w:p w:rsidR="002D353E" w:rsidRPr="005C526D" w:rsidRDefault="005C526D" w:rsidP="002D353E">
      <w:pPr>
        <w:spacing w:after="240" w:line="360" w:lineRule="auto"/>
        <w:jc w:val="both"/>
        <w:rPr>
          <w:rStyle w:val="Hipercze"/>
          <w:b/>
          <w:kern w:val="3"/>
          <w:sz w:val="22"/>
        </w:rPr>
      </w:pPr>
      <w:r>
        <w:rPr>
          <w:rStyle w:val="Hipercze"/>
          <w:b/>
          <w:kern w:val="3"/>
          <w:sz w:val="22"/>
        </w:rPr>
        <w:fldChar w:fldCharType="begin"/>
      </w:r>
      <w:r>
        <w:rPr>
          <w:rStyle w:val="Hipercze"/>
          <w:b/>
          <w:kern w:val="3"/>
          <w:sz w:val="22"/>
        </w:rPr>
        <w:instrText xml:space="preserve"> HYPERLINK "https://decyzje.uokik.gov.pl/bp/wyroki.nsf/1/BEF2822409720F1BC125840100422E19?editDocument&amp;act=Wyrok" </w:instrText>
      </w:r>
      <w:r>
        <w:rPr>
          <w:rStyle w:val="Hipercze"/>
          <w:b/>
          <w:kern w:val="3"/>
          <w:sz w:val="22"/>
        </w:rPr>
      </w:r>
      <w:r>
        <w:rPr>
          <w:rStyle w:val="Hipercze"/>
          <w:b/>
          <w:kern w:val="3"/>
          <w:sz w:val="22"/>
        </w:rPr>
        <w:fldChar w:fldCharType="separate"/>
      </w:r>
      <w:proofErr w:type="spellStart"/>
      <w:r w:rsidR="00554C7C" w:rsidRPr="005C526D">
        <w:rPr>
          <w:rStyle w:val="Hipercze"/>
          <w:b/>
          <w:kern w:val="3"/>
          <w:sz w:val="22"/>
        </w:rPr>
        <w:t>Vex</w:t>
      </w:r>
      <w:proofErr w:type="spellEnd"/>
      <w:r w:rsidR="002D353E" w:rsidRPr="005C526D">
        <w:rPr>
          <w:rStyle w:val="Hipercze"/>
          <w:b/>
          <w:kern w:val="3"/>
          <w:sz w:val="22"/>
        </w:rPr>
        <w:t xml:space="preserve"> </w:t>
      </w:r>
      <w:r w:rsidR="007C5F0A" w:rsidRPr="005C526D">
        <w:rPr>
          <w:rStyle w:val="Hipercze"/>
          <w:b/>
          <w:kern w:val="3"/>
          <w:sz w:val="22"/>
        </w:rPr>
        <w:t xml:space="preserve">– sygn. </w:t>
      </w:r>
      <w:r w:rsidR="00554C7C" w:rsidRPr="005C526D">
        <w:rPr>
          <w:rStyle w:val="Hipercze"/>
          <w:b/>
          <w:kern w:val="3"/>
          <w:sz w:val="22"/>
        </w:rPr>
        <w:t xml:space="preserve">XVII </w:t>
      </w:r>
      <w:proofErr w:type="spellStart"/>
      <w:r w:rsidR="00554C7C" w:rsidRPr="005C526D">
        <w:rPr>
          <w:rStyle w:val="Hipercze"/>
          <w:b/>
          <w:kern w:val="3"/>
          <w:sz w:val="22"/>
        </w:rPr>
        <w:t>AmA</w:t>
      </w:r>
      <w:proofErr w:type="spellEnd"/>
      <w:r w:rsidR="00554C7C" w:rsidRPr="005C526D">
        <w:rPr>
          <w:rStyle w:val="Hipercze"/>
          <w:b/>
          <w:kern w:val="3"/>
          <w:sz w:val="22"/>
        </w:rPr>
        <w:t xml:space="preserve"> 41/18</w:t>
      </w:r>
    </w:p>
    <w:p w:rsidR="00C55A01" w:rsidRDefault="005C526D" w:rsidP="00C55A01">
      <w:pPr>
        <w:spacing w:after="240" w:line="360" w:lineRule="auto"/>
        <w:jc w:val="both"/>
        <w:rPr>
          <w:kern w:val="3"/>
          <w:sz w:val="22"/>
        </w:rPr>
      </w:pPr>
      <w:r>
        <w:rPr>
          <w:rStyle w:val="Hipercze"/>
          <w:b/>
          <w:kern w:val="3"/>
          <w:sz w:val="22"/>
        </w:rPr>
        <w:fldChar w:fldCharType="end"/>
      </w:r>
      <w:r w:rsidR="002D353E">
        <w:rPr>
          <w:kern w:val="3"/>
          <w:sz w:val="22"/>
        </w:rPr>
        <w:t xml:space="preserve">Trzeci z wyroków dotyczy odwołania </w:t>
      </w:r>
      <w:proofErr w:type="spellStart"/>
      <w:r w:rsidR="00C55A01">
        <w:rPr>
          <w:kern w:val="3"/>
          <w:sz w:val="22"/>
        </w:rPr>
        <w:t>Vex</w:t>
      </w:r>
      <w:proofErr w:type="spellEnd"/>
      <w:r w:rsidR="002D353E">
        <w:rPr>
          <w:kern w:val="3"/>
          <w:sz w:val="22"/>
        </w:rPr>
        <w:t xml:space="preserve"> od </w:t>
      </w:r>
      <w:hyperlink r:id="rId10" w:history="1">
        <w:r w:rsidR="002D353E" w:rsidRPr="00CA27E5">
          <w:rPr>
            <w:rStyle w:val="Hipercze"/>
            <w:kern w:val="3"/>
            <w:sz w:val="22"/>
          </w:rPr>
          <w:t>decyzji</w:t>
        </w:r>
      </w:hyperlink>
      <w:r w:rsidR="00C55A01">
        <w:rPr>
          <w:kern w:val="3"/>
          <w:sz w:val="22"/>
        </w:rPr>
        <w:t xml:space="preserve"> UOKiK z lipca 2018</w:t>
      </w:r>
      <w:r w:rsidR="002D353E">
        <w:rPr>
          <w:kern w:val="3"/>
          <w:sz w:val="22"/>
        </w:rPr>
        <w:t xml:space="preserve"> r. </w:t>
      </w:r>
      <w:r w:rsidR="00C55A01" w:rsidRPr="00C55A01">
        <w:rPr>
          <w:kern w:val="3"/>
          <w:sz w:val="22"/>
        </w:rPr>
        <w:t>Postępowanie przeciwko wrocławsk</w:t>
      </w:r>
      <w:r w:rsidR="00EC7090">
        <w:rPr>
          <w:kern w:val="3"/>
          <w:sz w:val="22"/>
        </w:rPr>
        <w:t>iej firmie windykacyjnej</w:t>
      </w:r>
      <w:r w:rsidR="00C55A01" w:rsidRPr="00C55A01">
        <w:rPr>
          <w:kern w:val="3"/>
          <w:sz w:val="22"/>
        </w:rPr>
        <w:t xml:space="preserve"> zostało wszczęte w listopadzie 2016 r. </w:t>
      </w:r>
      <w:r w:rsidR="00C700F3">
        <w:rPr>
          <w:kern w:val="3"/>
          <w:sz w:val="22"/>
        </w:rPr>
        <w:br/>
      </w:r>
      <w:r w:rsidR="00C55A01" w:rsidRPr="00C55A01">
        <w:rPr>
          <w:kern w:val="3"/>
          <w:sz w:val="22"/>
        </w:rPr>
        <w:t>Do Urzędu Ochrony Konkurencji i Konsumentów wpłynęło wiele skarg od osób, które czuły się zastraszone działaniami tej firmy.</w:t>
      </w:r>
      <w:r w:rsidR="00C55A01">
        <w:rPr>
          <w:kern w:val="3"/>
          <w:sz w:val="22"/>
        </w:rPr>
        <w:t xml:space="preserve"> </w:t>
      </w:r>
      <w:proofErr w:type="spellStart"/>
      <w:r w:rsidR="00C55A01" w:rsidRPr="00C55A01">
        <w:rPr>
          <w:kern w:val="3"/>
          <w:sz w:val="22"/>
        </w:rPr>
        <w:t>V</w:t>
      </w:r>
      <w:r w:rsidR="00EC7090">
        <w:rPr>
          <w:kern w:val="3"/>
          <w:sz w:val="22"/>
        </w:rPr>
        <w:t>ex</w:t>
      </w:r>
      <w:proofErr w:type="spellEnd"/>
      <w:r w:rsidR="00EC7090">
        <w:rPr>
          <w:kern w:val="3"/>
          <w:sz w:val="22"/>
        </w:rPr>
        <w:t>, aby zmusić konsumentów do s</w:t>
      </w:r>
      <w:r w:rsidR="00C55A01" w:rsidRPr="00C55A01">
        <w:rPr>
          <w:kern w:val="3"/>
          <w:sz w:val="22"/>
        </w:rPr>
        <w:t>płaty długu, wywiera</w:t>
      </w:r>
      <w:r w:rsidR="00C55A01">
        <w:rPr>
          <w:kern w:val="3"/>
          <w:sz w:val="22"/>
        </w:rPr>
        <w:t>ł</w:t>
      </w:r>
      <w:r w:rsidR="00C55A01" w:rsidRPr="00C55A01">
        <w:rPr>
          <w:kern w:val="3"/>
          <w:sz w:val="22"/>
        </w:rPr>
        <w:t xml:space="preserve"> na nich nacisk, który stanowi niedozwoloną agresywn</w:t>
      </w:r>
      <w:r w:rsidR="00C55A01">
        <w:rPr>
          <w:kern w:val="3"/>
          <w:sz w:val="22"/>
        </w:rPr>
        <w:t>ą praktykę rynkową. Wykorzystywał</w:t>
      </w:r>
      <w:r w:rsidR="00C55A01" w:rsidRPr="00C55A01">
        <w:rPr>
          <w:kern w:val="3"/>
          <w:sz w:val="22"/>
        </w:rPr>
        <w:t xml:space="preserve"> do tego różne metody. Wysyła</w:t>
      </w:r>
      <w:r w:rsidR="00C55A01">
        <w:rPr>
          <w:kern w:val="3"/>
          <w:sz w:val="22"/>
        </w:rPr>
        <w:t>ł</w:t>
      </w:r>
      <w:r w:rsidR="00C55A01" w:rsidRPr="00C55A01">
        <w:rPr>
          <w:kern w:val="3"/>
          <w:sz w:val="22"/>
        </w:rPr>
        <w:t xml:space="preserve"> do konsumentów wiadomości sms i e-maile, strasząc wizytą</w:t>
      </w:r>
      <w:r w:rsidR="00C700F3">
        <w:rPr>
          <w:kern w:val="3"/>
          <w:sz w:val="22"/>
        </w:rPr>
        <w:t xml:space="preserve"> </w:t>
      </w:r>
      <w:proofErr w:type="spellStart"/>
      <w:r w:rsidR="00C700F3">
        <w:rPr>
          <w:kern w:val="3"/>
          <w:sz w:val="22"/>
        </w:rPr>
        <w:t>windykatorów</w:t>
      </w:r>
      <w:proofErr w:type="spellEnd"/>
      <w:r w:rsidR="00C700F3">
        <w:rPr>
          <w:kern w:val="3"/>
          <w:sz w:val="22"/>
        </w:rPr>
        <w:t xml:space="preserve"> </w:t>
      </w:r>
      <w:r w:rsidR="00C55A01" w:rsidRPr="00C55A01">
        <w:rPr>
          <w:kern w:val="3"/>
          <w:sz w:val="22"/>
        </w:rPr>
        <w:t>w późnych godzinach.</w:t>
      </w:r>
      <w:r w:rsidR="00E632C3">
        <w:rPr>
          <w:kern w:val="3"/>
          <w:sz w:val="22"/>
        </w:rPr>
        <w:t xml:space="preserve"> Firma kontaktowała</w:t>
      </w:r>
      <w:r w:rsidR="00E632C3" w:rsidRPr="00E632C3">
        <w:rPr>
          <w:kern w:val="3"/>
          <w:sz w:val="22"/>
        </w:rPr>
        <w:t xml:space="preserve"> się z s</w:t>
      </w:r>
      <w:r w:rsidR="00E632C3">
        <w:rPr>
          <w:kern w:val="3"/>
          <w:sz w:val="22"/>
        </w:rPr>
        <w:t xml:space="preserve">ąsiadami, rodziną i pracodawcą </w:t>
      </w:r>
      <w:r w:rsidR="00E632C3" w:rsidRPr="00E632C3">
        <w:rPr>
          <w:kern w:val="3"/>
          <w:sz w:val="22"/>
        </w:rPr>
        <w:t>bez zgody dłużnika.</w:t>
      </w:r>
      <w:r w:rsidR="00E632C3">
        <w:rPr>
          <w:kern w:val="3"/>
          <w:sz w:val="22"/>
        </w:rPr>
        <w:t xml:space="preserve"> </w:t>
      </w:r>
      <w:r w:rsidR="00377FC9">
        <w:rPr>
          <w:kern w:val="3"/>
          <w:sz w:val="22"/>
        </w:rPr>
        <w:t xml:space="preserve">Ponadto </w:t>
      </w:r>
      <w:proofErr w:type="spellStart"/>
      <w:r w:rsidR="00377FC9">
        <w:rPr>
          <w:kern w:val="3"/>
          <w:sz w:val="22"/>
        </w:rPr>
        <w:t>Vex</w:t>
      </w:r>
      <w:proofErr w:type="spellEnd"/>
      <w:r w:rsidR="00E632C3" w:rsidRPr="00E632C3">
        <w:rPr>
          <w:kern w:val="3"/>
          <w:sz w:val="22"/>
        </w:rPr>
        <w:t xml:space="preserve"> </w:t>
      </w:r>
      <w:r w:rsidR="004D12F7">
        <w:rPr>
          <w:kern w:val="3"/>
          <w:sz w:val="22"/>
        </w:rPr>
        <w:t xml:space="preserve">w wiadomościach e-mail </w:t>
      </w:r>
      <w:r w:rsidR="00E632C3">
        <w:rPr>
          <w:kern w:val="3"/>
          <w:sz w:val="22"/>
        </w:rPr>
        <w:t xml:space="preserve">nie podawał </w:t>
      </w:r>
      <w:r w:rsidR="00E632C3" w:rsidRPr="00E632C3">
        <w:rPr>
          <w:kern w:val="3"/>
          <w:sz w:val="22"/>
        </w:rPr>
        <w:t xml:space="preserve">pełnych informacji o wysokości długu ani </w:t>
      </w:r>
      <w:r w:rsidR="00E632C3">
        <w:rPr>
          <w:kern w:val="3"/>
          <w:sz w:val="22"/>
        </w:rPr>
        <w:t xml:space="preserve">danych </w:t>
      </w:r>
      <w:r w:rsidR="00E632C3" w:rsidRPr="00E632C3">
        <w:rPr>
          <w:kern w:val="3"/>
          <w:sz w:val="22"/>
        </w:rPr>
        <w:t xml:space="preserve">wyraźnie identyfikujących przedsiębiorcę </w:t>
      </w:r>
      <w:r w:rsidR="00377FC9">
        <w:rPr>
          <w:kern w:val="3"/>
          <w:sz w:val="22"/>
        </w:rPr>
        <w:t>któremu konsumenci</w:t>
      </w:r>
      <w:r w:rsidR="00E632C3" w:rsidRPr="00E632C3">
        <w:rPr>
          <w:kern w:val="3"/>
          <w:sz w:val="22"/>
        </w:rPr>
        <w:t xml:space="preserve"> zalegają ze spłatą.</w:t>
      </w:r>
    </w:p>
    <w:p w:rsidR="00C6674C" w:rsidRDefault="00C6674C" w:rsidP="00C55A01">
      <w:pPr>
        <w:spacing w:after="240" w:line="360" w:lineRule="auto"/>
        <w:jc w:val="both"/>
        <w:rPr>
          <w:kern w:val="3"/>
          <w:sz w:val="22"/>
        </w:rPr>
      </w:pPr>
      <w:r w:rsidRPr="00C6674C">
        <w:rPr>
          <w:kern w:val="3"/>
          <w:sz w:val="22"/>
        </w:rPr>
        <w:t>Preze</w:t>
      </w:r>
      <w:r w:rsidR="00D50E10">
        <w:rPr>
          <w:kern w:val="3"/>
          <w:sz w:val="22"/>
        </w:rPr>
        <w:t>s UOKiK nakazał spółce</w:t>
      </w:r>
      <w:r w:rsidRPr="00C6674C">
        <w:rPr>
          <w:kern w:val="3"/>
          <w:sz w:val="22"/>
        </w:rPr>
        <w:t xml:space="preserve"> zaprzestanie stosowania niezgodnych z prawem działań windykacyjnych</w:t>
      </w:r>
      <w:r w:rsidR="00D50E10">
        <w:rPr>
          <w:kern w:val="3"/>
          <w:sz w:val="22"/>
        </w:rPr>
        <w:t xml:space="preserve"> i nałożył na nią karę w wysokości 20 tys. zł</w:t>
      </w:r>
      <w:r>
        <w:rPr>
          <w:kern w:val="3"/>
          <w:sz w:val="22"/>
        </w:rPr>
        <w:t xml:space="preserve"> (20 122 zł).</w:t>
      </w:r>
    </w:p>
    <w:p w:rsidR="00C6674C" w:rsidRPr="00C55A01" w:rsidRDefault="00377FC9" w:rsidP="00C55A01">
      <w:pPr>
        <w:spacing w:after="240" w:line="360" w:lineRule="auto"/>
        <w:jc w:val="both"/>
        <w:rPr>
          <w:kern w:val="3"/>
          <w:sz w:val="22"/>
        </w:rPr>
      </w:pPr>
      <w:r>
        <w:rPr>
          <w:kern w:val="3"/>
          <w:sz w:val="22"/>
        </w:rPr>
        <w:t>W maju 2019 r. Sąd O</w:t>
      </w:r>
      <w:r w:rsidR="00D05D55">
        <w:rPr>
          <w:kern w:val="3"/>
          <w:sz w:val="22"/>
        </w:rPr>
        <w:t xml:space="preserve">chrony Konkurencji i Konsumentów oddalił odwołanie spółki. </w:t>
      </w:r>
    </w:p>
    <w:p w:rsidR="00792E27" w:rsidRDefault="00D05D55" w:rsidP="00BD3A16">
      <w:pPr>
        <w:spacing w:after="240" w:line="360" w:lineRule="auto"/>
        <w:jc w:val="both"/>
        <w:rPr>
          <w:kern w:val="3"/>
          <w:sz w:val="22"/>
        </w:rPr>
      </w:pPr>
      <w:r w:rsidRPr="00D05D55">
        <w:rPr>
          <w:kern w:val="3"/>
          <w:sz w:val="22"/>
        </w:rPr>
        <w:lastRenderedPageBreak/>
        <w:t xml:space="preserve">Sąd wskazał, że nie ulega </w:t>
      </w:r>
      <w:r w:rsidR="00377FC9">
        <w:rPr>
          <w:kern w:val="3"/>
          <w:sz w:val="22"/>
        </w:rPr>
        <w:t xml:space="preserve">wątpliwości, że </w:t>
      </w:r>
      <w:proofErr w:type="spellStart"/>
      <w:r w:rsidR="00377FC9">
        <w:rPr>
          <w:kern w:val="3"/>
          <w:sz w:val="22"/>
        </w:rPr>
        <w:t>Vex</w:t>
      </w:r>
      <w:proofErr w:type="spellEnd"/>
      <w:r w:rsidR="00377FC9">
        <w:rPr>
          <w:kern w:val="3"/>
          <w:sz w:val="22"/>
        </w:rPr>
        <w:t xml:space="preserve"> stosował</w:t>
      </w:r>
      <w:r w:rsidRPr="00D05D55">
        <w:rPr>
          <w:kern w:val="3"/>
          <w:sz w:val="22"/>
        </w:rPr>
        <w:t xml:space="preserve"> agresywną praktykę rynkową</w:t>
      </w:r>
      <w:r w:rsidR="00EC7090">
        <w:rPr>
          <w:kern w:val="3"/>
          <w:sz w:val="22"/>
        </w:rPr>
        <w:t>,</w:t>
      </w:r>
      <w:r w:rsidRPr="00D05D55">
        <w:rPr>
          <w:kern w:val="3"/>
          <w:sz w:val="22"/>
        </w:rPr>
        <w:t xml:space="preserve"> </w:t>
      </w:r>
      <w:r w:rsidR="00377FC9">
        <w:rPr>
          <w:kern w:val="3"/>
          <w:sz w:val="22"/>
        </w:rPr>
        <w:t>a jego</w:t>
      </w:r>
      <w:r w:rsidR="00EC7090">
        <w:rPr>
          <w:kern w:val="3"/>
          <w:sz w:val="22"/>
        </w:rPr>
        <w:t xml:space="preserve"> działania mogły powodować u konsumenta</w:t>
      </w:r>
      <w:r w:rsidR="00377FC9">
        <w:rPr>
          <w:kern w:val="3"/>
          <w:sz w:val="22"/>
        </w:rPr>
        <w:t xml:space="preserve"> i jego najbliższych</w:t>
      </w:r>
      <w:r w:rsidRPr="00D05D55">
        <w:rPr>
          <w:kern w:val="3"/>
          <w:sz w:val="22"/>
        </w:rPr>
        <w:t xml:space="preserve"> poczucie</w:t>
      </w:r>
      <w:r w:rsidR="00C700F3">
        <w:rPr>
          <w:kern w:val="3"/>
          <w:sz w:val="22"/>
        </w:rPr>
        <w:t xml:space="preserve"> zagrożenia</w:t>
      </w:r>
      <w:r w:rsidRPr="00D05D55">
        <w:rPr>
          <w:kern w:val="3"/>
          <w:sz w:val="22"/>
        </w:rPr>
        <w:t>.</w:t>
      </w:r>
      <w:r>
        <w:rPr>
          <w:kern w:val="3"/>
          <w:sz w:val="22"/>
        </w:rPr>
        <w:t xml:space="preserve"> </w:t>
      </w:r>
      <w:r w:rsidR="006E6E4E">
        <w:rPr>
          <w:kern w:val="3"/>
          <w:sz w:val="22"/>
        </w:rPr>
        <w:t xml:space="preserve">Zdaniem </w:t>
      </w:r>
      <w:proofErr w:type="spellStart"/>
      <w:r w:rsidR="006E6E4E">
        <w:rPr>
          <w:kern w:val="3"/>
          <w:sz w:val="22"/>
        </w:rPr>
        <w:t>SOKiK</w:t>
      </w:r>
      <w:proofErr w:type="spellEnd"/>
      <w:r w:rsidR="006E6E4E">
        <w:rPr>
          <w:kern w:val="3"/>
          <w:sz w:val="22"/>
        </w:rPr>
        <w:t xml:space="preserve"> </w:t>
      </w:r>
      <w:r w:rsidRPr="00D05D55">
        <w:rPr>
          <w:kern w:val="3"/>
          <w:sz w:val="22"/>
        </w:rPr>
        <w:t xml:space="preserve">nagabywanie osób postronnych bez zgody </w:t>
      </w:r>
      <w:r w:rsidR="00EC7090">
        <w:rPr>
          <w:kern w:val="3"/>
          <w:sz w:val="22"/>
        </w:rPr>
        <w:t>dłużnika</w:t>
      </w:r>
      <w:r w:rsidRPr="00D05D55">
        <w:rPr>
          <w:kern w:val="3"/>
          <w:sz w:val="22"/>
        </w:rPr>
        <w:t>, wobec którego trw</w:t>
      </w:r>
      <w:r w:rsidR="006E6E4E">
        <w:rPr>
          <w:kern w:val="3"/>
          <w:sz w:val="22"/>
        </w:rPr>
        <w:t xml:space="preserve">ają czynności windykacyjne </w:t>
      </w:r>
      <w:r w:rsidR="00EC7090">
        <w:rPr>
          <w:kern w:val="3"/>
          <w:sz w:val="22"/>
        </w:rPr>
        <w:t>narusza jego godność i prywatność</w:t>
      </w:r>
      <w:r w:rsidRPr="00D05D55">
        <w:rPr>
          <w:kern w:val="3"/>
          <w:sz w:val="22"/>
        </w:rPr>
        <w:t>.</w:t>
      </w:r>
      <w:r w:rsidR="006E6E4E">
        <w:rPr>
          <w:kern w:val="3"/>
          <w:sz w:val="22"/>
        </w:rPr>
        <w:t xml:space="preserve"> Sąd o</w:t>
      </w:r>
      <w:r w:rsidR="0057780E" w:rsidRPr="0057780E">
        <w:rPr>
          <w:kern w:val="3"/>
          <w:sz w:val="22"/>
        </w:rPr>
        <w:t xml:space="preserve">cenił, że nałożona na </w:t>
      </w:r>
      <w:r w:rsidR="0057780E">
        <w:rPr>
          <w:kern w:val="3"/>
          <w:sz w:val="22"/>
        </w:rPr>
        <w:t>spółkę</w:t>
      </w:r>
      <w:r w:rsidR="0057780E" w:rsidRPr="0057780E">
        <w:rPr>
          <w:kern w:val="3"/>
          <w:sz w:val="22"/>
        </w:rPr>
        <w:t xml:space="preserve"> kara jest </w:t>
      </w:r>
      <w:r w:rsidR="0057780E">
        <w:rPr>
          <w:kern w:val="3"/>
          <w:sz w:val="22"/>
        </w:rPr>
        <w:t>proporcjonalna</w:t>
      </w:r>
      <w:r w:rsidR="0057780E" w:rsidRPr="0057780E">
        <w:rPr>
          <w:kern w:val="3"/>
          <w:sz w:val="22"/>
        </w:rPr>
        <w:t xml:space="preserve"> do stwierdzonych naruszeń</w:t>
      </w:r>
      <w:r w:rsidR="0057780E">
        <w:rPr>
          <w:kern w:val="3"/>
          <w:sz w:val="22"/>
        </w:rPr>
        <w:t>.</w:t>
      </w:r>
      <w:r w:rsidR="005E36F6">
        <w:rPr>
          <w:kern w:val="3"/>
          <w:sz w:val="22"/>
        </w:rPr>
        <w:t xml:space="preserve"> Wyrok nie jest prawomocny.</w:t>
      </w:r>
    </w:p>
    <w:p w:rsidR="002209C1" w:rsidRPr="00CC4997" w:rsidRDefault="002209C1" w:rsidP="002209C1">
      <w:pPr>
        <w:spacing w:after="240" w:line="360" w:lineRule="auto"/>
        <w:jc w:val="both"/>
        <w:rPr>
          <w:b/>
          <w:sz w:val="22"/>
        </w:rPr>
      </w:pPr>
      <w:r w:rsidRPr="00CC4997">
        <w:rPr>
          <w:b/>
          <w:sz w:val="22"/>
        </w:rPr>
        <w:t>Baza wyroków</w:t>
      </w:r>
    </w:p>
    <w:p w:rsidR="002209C1" w:rsidRDefault="002209C1" w:rsidP="002209C1">
      <w:pPr>
        <w:spacing w:after="240" w:line="360" w:lineRule="auto"/>
        <w:jc w:val="both"/>
        <w:rPr>
          <w:b/>
          <w:sz w:val="22"/>
        </w:rPr>
      </w:pPr>
      <w:r w:rsidRPr="00CC4997">
        <w:rPr>
          <w:sz w:val="22"/>
        </w:rPr>
        <w:t xml:space="preserve">Od listopada 2015 r. na stronie UOKIK działa </w:t>
      </w:r>
      <w:hyperlink r:id="rId11" w:history="1">
        <w:r w:rsidRPr="00CC4997">
          <w:rPr>
            <w:rStyle w:val="Hipercze"/>
            <w:sz w:val="22"/>
          </w:rPr>
          <w:t>baza wyroków sądowych</w:t>
        </w:r>
      </w:hyperlink>
      <w:r w:rsidRPr="00CC4997">
        <w:rPr>
          <w:sz w:val="22"/>
        </w:rPr>
        <w:t xml:space="preserve">. Zamieszczane są w niej informacje dotyczące wszystkich rozstrzygnięć w sprawach decyzji z zakresu praktyk ograniczających konkurencję, kontroli koncentracji, naruszenia zbiorowych interesów konsumentów oraz w sprawach o uznanie klauzul za niedozwolone (w których powodem był prezes UOKiK). Baza dostępna jest w zakładce „Wyroki” na stronie internetowej UOKiK: </w:t>
      </w:r>
      <w:hyperlink r:id="rId12" w:history="1">
        <w:r w:rsidRPr="00CC4997">
          <w:rPr>
            <w:rStyle w:val="Hipercze"/>
            <w:sz w:val="22"/>
          </w:rPr>
          <w:t>http://decyzje.uokik.gov.pl/bp/wyroki.nsf</w:t>
        </w:r>
      </w:hyperlink>
      <w:r w:rsidRPr="00CC4997">
        <w:rPr>
          <w:sz w:val="22"/>
        </w:rPr>
        <w:t xml:space="preserve">. Szczegóły dotyczące zasad zamieszczania wyroków znajdują się w dokumencie: </w:t>
      </w:r>
      <w:hyperlink r:id="rId13" w:history="1">
        <w:r w:rsidRPr="00CC4997">
          <w:rPr>
            <w:rStyle w:val="Hipercze"/>
            <w:sz w:val="22"/>
          </w:rPr>
          <w:t xml:space="preserve">Zasady informowania o sprawowaniu </w:t>
        </w:r>
        <w:r>
          <w:rPr>
            <w:rStyle w:val="Hipercze"/>
            <w:sz w:val="22"/>
          </w:rPr>
          <w:t>sądowej kontroli nad decyzjami p</w:t>
        </w:r>
        <w:r w:rsidRPr="00CC4997">
          <w:rPr>
            <w:rStyle w:val="Hipercze"/>
            <w:sz w:val="22"/>
          </w:rPr>
          <w:t>rezesa UOKiK.</w:t>
        </w:r>
      </w:hyperlink>
    </w:p>
    <w:p w:rsidR="002209C1" w:rsidRPr="002209C1" w:rsidRDefault="002209C1" w:rsidP="002209C1">
      <w:pPr>
        <w:spacing w:after="240" w:line="360" w:lineRule="auto"/>
        <w:rPr>
          <w:rFonts w:cs="Tahoma"/>
          <w:bCs/>
          <w:color w:val="000000"/>
          <w:szCs w:val="18"/>
        </w:rPr>
      </w:pPr>
      <w:r w:rsidRPr="002209C1">
        <w:rPr>
          <w:rStyle w:val="Pogrubienie"/>
          <w:rFonts w:cs="Tahoma"/>
          <w:color w:val="000000"/>
          <w:szCs w:val="18"/>
        </w:rPr>
        <w:t>Dodatkowe informacje dla mediów:</w:t>
      </w:r>
      <w:r w:rsidRPr="002209C1">
        <w:rPr>
          <w:szCs w:val="18"/>
        </w:rPr>
        <w:t xml:space="preserve"> </w:t>
      </w:r>
    </w:p>
    <w:p w:rsidR="002209C1" w:rsidRPr="008969D2" w:rsidRDefault="002209C1" w:rsidP="002209C1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 w:rsidRPr="002209C1">
        <w:rPr>
          <w:rFonts w:ascii="Trebuchet MS" w:hAnsi="Trebuchet MS"/>
          <w:sz w:val="18"/>
          <w:szCs w:val="18"/>
          <w:lang w:val="pl-PL"/>
        </w:rPr>
        <w:t xml:space="preserve">Biuro prasowe UOKiK </w:t>
      </w:r>
      <w:r w:rsidRPr="002209C1">
        <w:rPr>
          <w:rFonts w:ascii="Trebuchet MS" w:hAnsi="Trebuchet MS"/>
          <w:sz w:val="18"/>
          <w:szCs w:val="18"/>
          <w:lang w:val="pl-PL"/>
        </w:rPr>
        <w:br/>
        <w:t xml:space="preserve">pl. Powstańców Warszawy 1, 00-950 Warszawa </w:t>
      </w:r>
      <w:r w:rsidRPr="002209C1">
        <w:rPr>
          <w:rFonts w:ascii="Trebuchet MS" w:hAnsi="Trebuchet MS"/>
          <w:sz w:val="18"/>
          <w:szCs w:val="18"/>
          <w:lang w:val="pl-PL"/>
        </w:rPr>
        <w:br/>
        <w:t>Tel. 22 55 60 </w:t>
      </w:r>
      <w:r w:rsidR="008A211F">
        <w:rPr>
          <w:rFonts w:ascii="Trebuchet MS" w:hAnsi="Trebuchet MS"/>
          <w:sz w:val="18"/>
          <w:szCs w:val="18"/>
          <w:lang w:val="pl-PL"/>
        </w:rPr>
        <w:t>246</w:t>
      </w:r>
      <w:r w:rsidRPr="002209C1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4" w:history="1">
        <w:r w:rsidRPr="002209C1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  <w:r w:rsidRPr="002209C1">
        <w:rPr>
          <w:rFonts w:ascii="Trebuchet MS" w:hAnsi="Trebuchet MS" w:cs="Tahoma"/>
          <w:sz w:val="18"/>
          <w:szCs w:val="18"/>
          <w:lang w:val="pl-PL"/>
        </w:rPr>
        <w:br/>
      </w:r>
      <w:r w:rsidRPr="008969D2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8969D2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5" w:history="1">
        <w:r w:rsidRPr="008969D2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8969D2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p w:rsidR="00B73F22" w:rsidRPr="002209C1" w:rsidRDefault="00B73F22" w:rsidP="002209C1"/>
    <w:sectPr w:rsidR="00B73F22" w:rsidRPr="002209C1" w:rsidSect="008D527A">
      <w:headerReference w:type="default" r:id="rId16"/>
      <w:footerReference w:type="default" r:id="rId17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45" w:rsidRDefault="00396445">
      <w:r>
        <w:separator/>
      </w:r>
    </w:p>
  </w:endnote>
  <w:endnote w:type="continuationSeparator" w:id="0">
    <w:p w:rsidR="00396445" w:rsidRDefault="0039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2209C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45" w:rsidRDefault="00396445">
      <w:r>
        <w:separator/>
      </w:r>
    </w:p>
  </w:footnote>
  <w:footnote w:type="continuationSeparator" w:id="0">
    <w:p w:rsidR="00396445" w:rsidRDefault="0039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396445" w:rsidP="0041396E">
    <w:pPr>
      <w:pStyle w:val="Nagwek"/>
      <w:tabs>
        <w:tab w:val="clear" w:pos="9072"/>
      </w:tabs>
    </w:pPr>
  </w:p>
  <w:p w:rsidR="0059016B" w:rsidRDefault="00396445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71F40"/>
    <w:multiLevelType w:val="hybridMultilevel"/>
    <w:tmpl w:val="13CCB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506"/>
    <w:rsid w:val="00007E00"/>
    <w:rsid w:val="00011AF2"/>
    <w:rsid w:val="00023634"/>
    <w:rsid w:val="00037703"/>
    <w:rsid w:val="00041D34"/>
    <w:rsid w:val="00042F96"/>
    <w:rsid w:val="000548D4"/>
    <w:rsid w:val="000651A5"/>
    <w:rsid w:val="000651E9"/>
    <w:rsid w:val="00066643"/>
    <w:rsid w:val="00073AA7"/>
    <w:rsid w:val="00082A88"/>
    <w:rsid w:val="000A74FA"/>
    <w:rsid w:val="000B149D"/>
    <w:rsid w:val="000B1AC5"/>
    <w:rsid w:val="000B7247"/>
    <w:rsid w:val="000E0EEF"/>
    <w:rsid w:val="000F171F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85EC2"/>
    <w:rsid w:val="00190D5A"/>
    <w:rsid w:val="001979B5"/>
    <w:rsid w:val="001A5F7C"/>
    <w:rsid w:val="001A6E5B"/>
    <w:rsid w:val="001A7451"/>
    <w:rsid w:val="001B21D3"/>
    <w:rsid w:val="001C1FAD"/>
    <w:rsid w:val="001C5EDB"/>
    <w:rsid w:val="001D3C78"/>
    <w:rsid w:val="001E188E"/>
    <w:rsid w:val="001E4F92"/>
    <w:rsid w:val="001F4A73"/>
    <w:rsid w:val="00205580"/>
    <w:rsid w:val="002157BB"/>
    <w:rsid w:val="002209C1"/>
    <w:rsid w:val="002262B5"/>
    <w:rsid w:val="0023138D"/>
    <w:rsid w:val="0024118E"/>
    <w:rsid w:val="00241BAC"/>
    <w:rsid w:val="00260382"/>
    <w:rsid w:val="00262D48"/>
    <w:rsid w:val="00263DD2"/>
    <w:rsid w:val="0026447A"/>
    <w:rsid w:val="002658F4"/>
    <w:rsid w:val="00266CB4"/>
    <w:rsid w:val="00267DD1"/>
    <w:rsid w:val="002801AA"/>
    <w:rsid w:val="002812AD"/>
    <w:rsid w:val="00285C68"/>
    <w:rsid w:val="0029288E"/>
    <w:rsid w:val="00294E5F"/>
    <w:rsid w:val="00295B34"/>
    <w:rsid w:val="002A5D69"/>
    <w:rsid w:val="002B1DBF"/>
    <w:rsid w:val="002C0D5D"/>
    <w:rsid w:val="002C692D"/>
    <w:rsid w:val="002C6ABE"/>
    <w:rsid w:val="002D353E"/>
    <w:rsid w:val="002D382D"/>
    <w:rsid w:val="002E388C"/>
    <w:rsid w:val="002F1BF3"/>
    <w:rsid w:val="002F4D43"/>
    <w:rsid w:val="003056C6"/>
    <w:rsid w:val="00311B14"/>
    <w:rsid w:val="00324306"/>
    <w:rsid w:val="003278D6"/>
    <w:rsid w:val="003303F0"/>
    <w:rsid w:val="00330670"/>
    <w:rsid w:val="0034059B"/>
    <w:rsid w:val="00346549"/>
    <w:rsid w:val="0035019C"/>
    <w:rsid w:val="00360248"/>
    <w:rsid w:val="00361682"/>
    <w:rsid w:val="00366A46"/>
    <w:rsid w:val="00377A0D"/>
    <w:rsid w:val="00377FC9"/>
    <w:rsid w:val="003824B2"/>
    <w:rsid w:val="0038677D"/>
    <w:rsid w:val="00396445"/>
    <w:rsid w:val="003B3858"/>
    <w:rsid w:val="003D3FF4"/>
    <w:rsid w:val="003D7161"/>
    <w:rsid w:val="003E32BB"/>
    <w:rsid w:val="003E3F9D"/>
    <w:rsid w:val="003E5D88"/>
    <w:rsid w:val="003E69E5"/>
    <w:rsid w:val="003F3775"/>
    <w:rsid w:val="0040748E"/>
    <w:rsid w:val="00412206"/>
    <w:rsid w:val="00427E08"/>
    <w:rsid w:val="004349BA"/>
    <w:rsid w:val="0043575C"/>
    <w:rsid w:val="004365C7"/>
    <w:rsid w:val="004425B7"/>
    <w:rsid w:val="00444A85"/>
    <w:rsid w:val="00446BC4"/>
    <w:rsid w:val="00462CFA"/>
    <w:rsid w:val="00471C94"/>
    <w:rsid w:val="004846BE"/>
    <w:rsid w:val="00486DB1"/>
    <w:rsid w:val="00493E10"/>
    <w:rsid w:val="00494FEC"/>
    <w:rsid w:val="004972E8"/>
    <w:rsid w:val="004A2BD3"/>
    <w:rsid w:val="004C0F9E"/>
    <w:rsid w:val="004C1243"/>
    <w:rsid w:val="004C131B"/>
    <w:rsid w:val="004C5C26"/>
    <w:rsid w:val="004D12F7"/>
    <w:rsid w:val="004E2033"/>
    <w:rsid w:val="004F03DE"/>
    <w:rsid w:val="004F7E99"/>
    <w:rsid w:val="005003F9"/>
    <w:rsid w:val="0050417B"/>
    <w:rsid w:val="0050760D"/>
    <w:rsid w:val="005133CE"/>
    <w:rsid w:val="00517604"/>
    <w:rsid w:val="00521BA3"/>
    <w:rsid w:val="00523E0D"/>
    <w:rsid w:val="00524FA1"/>
    <w:rsid w:val="00525588"/>
    <w:rsid w:val="0052710E"/>
    <w:rsid w:val="0054424A"/>
    <w:rsid w:val="005442FC"/>
    <w:rsid w:val="00544B83"/>
    <w:rsid w:val="00554C7C"/>
    <w:rsid w:val="0055631D"/>
    <w:rsid w:val="00557568"/>
    <w:rsid w:val="0057780E"/>
    <w:rsid w:val="00593935"/>
    <w:rsid w:val="005973FD"/>
    <w:rsid w:val="00597C68"/>
    <w:rsid w:val="005A1979"/>
    <w:rsid w:val="005A2EB9"/>
    <w:rsid w:val="005A382B"/>
    <w:rsid w:val="005A4047"/>
    <w:rsid w:val="005B786D"/>
    <w:rsid w:val="005C0D39"/>
    <w:rsid w:val="005C25E2"/>
    <w:rsid w:val="005C526D"/>
    <w:rsid w:val="005C6232"/>
    <w:rsid w:val="005D6F7A"/>
    <w:rsid w:val="005E36F6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45A81"/>
    <w:rsid w:val="0067485D"/>
    <w:rsid w:val="006A2065"/>
    <w:rsid w:val="006A3D88"/>
    <w:rsid w:val="006A4A7A"/>
    <w:rsid w:val="006B0848"/>
    <w:rsid w:val="006B3ED8"/>
    <w:rsid w:val="006B733D"/>
    <w:rsid w:val="006C34AE"/>
    <w:rsid w:val="006C67AF"/>
    <w:rsid w:val="006D3DC5"/>
    <w:rsid w:val="006E2E13"/>
    <w:rsid w:val="006E590C"/>
    <w:rsid w:val="006E6E4E"/>
    <w:rsid w:val="006F143B"/>
    <w:rsid w:val="007039EC"/>
    <w:rsid w:val="0071572D"/>
    <w:rsid w:val="00715748"/>
    <w:rsid w:val="007157BA"/>
    <w:rsid w:val="007169F9"/>
    <w:rsid w:val="007174A6"/>
    <w:rsid w:val="007224B3"/>
    <w:rsid w:val="00731303"/>
    <w:rsid w:val="00734F52"/>
    <w:rsid w:val="007402E0"/>
    <w:rsid w:val="007433EC"/>
    <w:rsid w:val="00744296"/>
    <w:rsid w:val="0074489D"/>
    <w:rsid w:val="007514AD"/>
    <w:rsid w:val="0075524D"/>
    <w:rsid w:val="007560B0"/>
    <w:rsid w:val="00764056"/>
    <w:rsid w:val="00764CE9"/>
    <w:rsid w:val="00776C4F"/>
    <w:rsid w:val="007838E4"/>
    <w:rsid w:val="0079068A"/>
    <w:rsid w:val="00792E27"/>
    <w:rsid w:val="007A19D8"/>
    <w:rsid w:val="007B557B"/>
    <w:rsid w:val="007C5F0A"/>
    <w:rsid w:val="007E36E4"/>
    <w:rsid w:val="007E50F5"/>
    <w:rsid w:val="007F0ACE"/>
    <w:rsid w:val="007F1F88"/>
    <w:rsid w:val="00804024"/>
    <w:rsid w:val="00806A37"/>
    <w:rsid w:val="0081753E"/>
    <w:rsid w:val="0085010E"/>
    <w:rsid w:val="0085446A"/>
    <w:rsid w:val="0085454F"/>
    <w:rsid w:val="0087354F"/>
    <w:rsid w:val="008744C8"/>
    <w:rsid w:val="0089285D"/>
    <w:rsid w:val="00896985"/>
    <w:rsid w:val="008969D2"/>
    <w:rsid w:val="008A211F"/>
    <w:rsid w:val="008B0926"/>
    <w:rsid w:val="008C53D0"/>
    <w:rsid w:val="008D527A"/>
    <w:rsid w:val="008D56DA"/>
    <w:rsid w:val="008D5771"/>
    <w:rsid w:val="008F0B70"/>
    <w:rsid w:val="008F3CF2"/>
    <w:rsid w:val="008F472E"/>
    <w:rsid w:val="00902556"/>
    <w:rsid w:val="0090338C"/>
    <w:rsid w:val="00903B7C"/>
    <w:rsid w:val="0091048E"/>
    <w:rsid w:val="009249D2"/>
    <w:rsid w:val="00924ABC"/>
    <w:rsid w:val="00940E8F"/>
    <w:rsid w:val="00947787"/>
    <w:rsid w:val="0095309C"/>
    <w:rsid w:val="00963816"/>
    <w:rsid w:val="009652F2"/>
    <w:rsid w:val="009673B0"/>
    <w:rsid w:val="009719ED"/>
    <w:rsid w:val="00986C37"/>
    <w:rsid w:val="00997528"/>
    <w:rsid w:val="0099796A"/>
    <w:rsid w:val="009B23BE"/>
    <w:rsid w:val="009C1346"/>
    <w:rsid w:val="009D05C8"/>
    <w:rsid w:val="009D69AB"/>
    <w:rsid w:val="009E3C0B"/>
    <w:rsid w:val="00A13244"/>
    <w:rsid w:val="00A239AA"/>
    <w:rsid w:val="00A257AB"/>
    <w:rsid w:val="00A27360"/>
    <w:rsid w:val="00A439E8"/>
    <w:rsid w:val="00A44371"/>
    <w:rsid w:val="00A45753"/>
    <w:rsid w:val="00A53253"/>
    <w:rsid w:val="00A53423"/>
    <w:rsid w:val="00A62659"/>
    <w:rsid w:val="00A65F20"/>
    <w:rsid w:val="00A76293"/>
    <w:rsid w:val="00A77DA2"/>
    <w:rsid w:val="00A85D9D"/>
    <w:rsid w:val="00A910EC"/>
    <w:rsid w:val="00A916A6"/>
    <w:rsid w:val="00A92C4C"/>
    <w:rsid w:val="00AA602D"/>
    <w:rsid w:val="00AB572D"/>
    <w:rsid w:val="00AD256F"/>
    <w:rsid w:val="00AE2923"/>
    <w:rsid w:val="00AE7F9D"/>
    <w:rsid w:val="00B028F7"/>
    <w:rsid w:val="00B220E5"/>
    <w:rsid w:val="00B22863"/>
    <w:rsid w:val="00B23C14"/>
    <w:rsid w:val="00B25175"/>
    <w:rsid w:val="00B41502"/>
    <w:rsid w:val="00B51024"/>
    <w:rsid w:val="00B60CD8"/>
    <w:rsid w:val="00B60F9C"/>
    <w:rsid w:val="00B63633"/>
    <w:rsid w:val="00B6769E"/>
    <w:rsid w:val="00B73F22"/>
    <w:rsid w:val="00B76F9A"/>
    <w:rsid w:val="00B810B2"/>
    <w:rsid w:val="00BA26F7"/>
    <w:rsid w:val="00BA79F0"/>
    <w:rsid w:val="00BA7DF9"/>
    <w:rsid w:val="00BB0F4F"/>
    <w:rsid w:val="00BB5068"/>
    <w:rsid w:val="00BB7AE8"/>
    <w:rsid w:val="00BD0481"/>
    <w:rsid w:val="00BD1239"/>
    <w:rsid w:val="00BD3A16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2259"/>
    <w:rsid w:val="00C55A01"/>
    <w:rsid w:val="00C63AA8"/>
    <w:rsid w:val="00C6674C"/>
    <w:rsid w:val="00C700F3"/>
    <w:rsid w:val="00C7783C"/>
    <w:rsid w:val="00C934A1"/>
    <w:rsid w:val="00C95A3E"/>
    <w:rsid w:val="00C96CBB"/>
    <w:rsid w:val="00CA6B58"/>
    <w:rsid w:val="00CB1AE6"/>
    <w:rsid w:val="00CB3ED4"/>
    <w:rsid w:val="00CB3F86"/>
    <w:rsid w:val="00CD34F0"/>
    <w:rsid w:val="00CE0954"/>
    <w:rsid w:val="00CF11F7"/>
    <w:rsid w:val="00D05D55"/>
    <w:rsid w:val="00D1323F"/>
    <w:rsid w:val="00D202BA"/>
    <w:rsid w:val="00D251AC"/>
    <w:rsid w:val="00D2550C"/>
    <w:rsid w:val="00D275F6"/>
    <w:rsid w:val="00D34A52"/>
    <w:rsid w:val="00D43766"/>
    <w:rsid w:val="00D47CCF"/>
    <w:rsid w:val="00D50E10"/>
    <w:rsid w:val="00D6457B"/>
    <w:rsid w:val="00D66DEC"/>
    <w:rsid w:val="00D71A41"/>
    <w:rsid w:val="00D768A4"/>
    <w:rsid w:val="00D92F52"/>
    <w:rsid w:val="00DA052C"/>
    <w:rsid w:val="00DA753F"/>
    <w:rsid w:val="00DC4292"/>
    <w:rsid w:val="00DC5754"/>
    <w:rsid w:val="00DD107D"/>
    <w:rsid w:val="00DD34A3"/>
    <w:rsid w:val="00DD6056"/>
    <w:rsid w:val="00DE7C6A"/>
    <w:rsid w:val="00DF2857"/>
    <w:rsid w:val="00DF782B"/>
    <w:rsid w:val="00E03AEF"/>
    <w:rsid w:val="00E05031"/>
    <w:rsid w:val="00E102DE"/>
    <w:rsid w:val="00E42093"/>
    <w:rsid w:val="00E446C9"/>
    <w:rsid w:val="00E522AD"/>
    <w:rsid w:val="00E632C3"/>
    <w:rsid w:val="00E64103"/>
    <w:rsid w:val="00E76CD1"/>
    <w:rsid w:val="00EC7090"/>
    <w:rsid w:val="00EE4AD8"/>
    <w:rsid w:val="00F139AC"/>
    <w:rsid w:val="00F21EAC"/>
    <w:rsid w:val="00F3243D"/>
    <w:rsid w:val="00F44D07"/>
    <w:rsid w:val="00F46D0D"/>
    <w:rsid w:val="00F92B59"/>
    <w:rsid w:val="00F948BC"/>
    <w:rsid w:val="00F960CF"/>
    <w:rsid w:val="00FA10A3"/>
    <w:rsid w:val="00FA1226"/>
    <w:rsid w:val="00FA5ACA"/>
    <w:rsid w:val="00FB39E1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CFDD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TYTUKOMUNIKATU">
    <w:name w:val="TYTUŁ KOMUNIKATU"/>
    <w:basedOn w:val="Normalny"/>
    <w:link w:val="TYTUKOMUNIKATUZnak"/>
    <w:rsid w:val="002209C1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2209C1"/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customStyle="1" w:styleId="apple-converted-space">
    <w:name w:val="apple-converted-space"/>
    <w:basedOn w:val="Domylnaczcionkaakapitu"/>
    <w:rsid w:val="002209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B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B83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yzje.uokik.gov.pl/bp/wyroki.nsf/1/EC7AE67B47A6ACBCC125840100429FE9?editDocument&amp;act=Wyrok" TargetMode="External"/><Relationship Id="rId13" Type="http://schemas.openxmlformats.org/officeDocument/2006/relationships/hyperlink" Target="https://uokik.gov.pl/download.php?plik=169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yzje.uokik.gov.pl/bp/dec_prez.nsf/1/E9DB005F187D9368C12582280041B49D?editDocument&amp;act=Decyzja" TargetMode="External"/><Relationship Id="rId12" Type="http://schemas.openxmlformats.org/officeDocument/2006/relationships/hyperlink" Target="http://decyzje.uokik.gov.pl/bp/wyroki.ns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yzje.uokik.gov.pl/bp/wyroki.ns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UOKiKgovPL" TargetMode="External"/><Relationship Id="rId10" Type="http://schemas.openxmlformats.org/officeDocument/2006/relationships/hyperlink" Target="https://decyzje.uokik.gov.pl/bp/dec_prez.nsf/1/FB504DC301984D05C125832F00429193?editDocument&amp;act=Decyzj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yzje.uokik.gov.pl/bp/dec_prez.nsf/1/30175831545CB3C4C1257EC6007BA686?editDocument&amp;act=Decyzja" TargetMode="External"/><Relationship Id="rId14" Type="http://schemas.openxmlformats.org/officeDocument/2006/relationships/hyperlink" Target="mailto:biuroprasowe@uokik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5</cp:revision>
  <cp:lastPrinted>2019-05-21T13:48:00Z</cp:lastPrinted>
  <dcterms:created xsi:type="dcterms:W3CDTF">2019-05-31T11:01:00Z</dcterms:created>
  <dcterms:modified xsi:type="dcterms:W3CDTF">2019-06-04T07:34:00Z</dcterms:modified>
</cp:coreProperties>
</file>