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6C8A" w14:textId="685A7663" w:rsidR="00995FCE" w:rsidRDefault="0065521C" w:rsidP="00C67BE3">
      <w:pPr>
        <w:pStyle w:val="OZNPROJEKTUwskazaniedatylubwersjiprojektu"/>
        <w:keepNext/>
      </w:pPr>
      <w:bookmarkStart w:id="0" w:name="_GoBack"/>
      <w:bookmarkEnd w:id="0"/>
      <w:r>
        <w:t xml:space="preserve">Projekt </w:t>
      </w:r>
      <w:r w:rsidR="0076676B">
        <w:t>13</w:t>
      </w:r>
      <w:r>
        <w:t>.0</w:t>
      </w:r>
      <w:r w:rsidR="000C4AC2">
        <w:t>3.2020</w:t>
      </w:r>
    </w:p>
    <w:p w14:paraId="47F1D7E7" w14:textId="77777777" w:rsidR="00C67BE3" w:rsidRDefault="00C67BE3" w:rsidP="00995FCE">
      <w:pPr>
        <w:pStyle w:val="OZNRODZAKTUtznustawalubrozporzdzenieiorganwydajcy"/>
        <w:rPr>
          <w:rFonts w:eastAsia="SimSun"/>
        </w:rPr>
      </w:pPr>
    </w:p>
    <w:p w14:paraId="23F496BB" w14:textId="77777777" w:rsidR="00995FCE" w:rsidRPr="00995FCE" w:rsidRDefault="00995FCE" w:rsidP="00995FCE">
      <w:pPr>
        <w:pStyle w:val="OZNRODZAKTUtznustawalubrozporzdzenieiorganwydajcy"/>
        <w:rPr>
          <w:rFonts w:eastAsia="SimSun"/>
        </w:rPr>
      </w:pPr>
      <w:r w:rsidRPr="00995FCE">
        <w:rPr>
          <w:rFonts w:eastAsia="SimSun"/>
        </w:rPr>
        <w:t>ZARZĄDZENIE</w:t>
      </w:r>
      <w:r w:rsidR="00C67BE3">
        <w:rPr>
          <w:rFonts w:eastAsia="SimSun"/>
        </w:rPr>
        <w:t xml:space="preserve"> Nr </w:t>
      </w:r>
      <w:r w:rsidRPr="00995FCE">
        <w:rPr>
          <w:rFonts w:eastAsia="SimSun"/>
        </w:rPr>
        <w:t xml:space="preserve"> ...</w:t>
      </w:r>
    </w:p>
    <w:p w14:paraId="7947474A" w14:textId="77777777" w:rsidR="00995FCE" w:rsidRPr="00995FCE" w:rsidRDefault="00995FCE" w:rsidP="00995FCE">
      <w:pPr>
        <w:pStyle w:val="OZNRODZAKTUtznustawalubrozporzdzenieiorganwydajcy"/>
        <w:rPr>
          <w:rFonts w:eastAsia="SimSun"/>
        </w:rPr>
      </w:pPr>
      <w:r w:rsidRPr="00995FCE">
        <w:rPr>
          <w:rFonts w:eastAsia="SimSun"/>
        </w:rPr>
        <w:t>PREZESA RADY MINISTRÓW</w:t>
      </w:r>
    </w:p>
    <w:p w14:paraId="3E86ED66" w14:textId="77777777" w:rsidR="00995FCE" w:rsidRPr="00995FCE" w:rsidRDefault="000C4AC2" w:rsidP="00995FCE">
      <w:pPr>
        <w:pStyle w:val="DATAAKTUdatauchwalenialubwydaniaaktu"/>
      </w:pPr>
      <w:r>
        <w:t>z dnia   …..     2020</w:t>
      </w:r>
      <w:r w:rsidR="00C67BE3">
        <w:t> </w:t>
      </w:r>
      <w:r w:rsidR="00995FCE" w:rsidRPr="00995FCE">
        <w:t>r.</w:t>
      </w:r>
    </w:p>
    <w:p w14:paraId="594E4449" w14:textId="77777777" w:rsidR="00995FCE" w:rsidRPr="00995FCE" w:rsidRDefault="00995FCE" w:rsidP="00C67BE3">
      <w:pPr>
        <w:pStyle w:val="TYTUAKTUprzedmiotregulacjiustawylubrozporzdzenia"/>
      </w:pPr>
      <w:r w:rsidRPr="00995FCE">
        <w:t>zmieniające zarządzenie</w:t>
      </w:r>
      <w:r w:rsidR="00C67BE3" w:rsidRPr="00995FCE">
        <w:t xml:space="preserve"> w</w:t>
      </w:r>
      <w:r w:rsidR="00C67BE3">
        <w:t> </w:t>
      </w:r>
      <w:r w:rsidRPr="00995FCE">
        <w:t>sprawie nadania statutu Urzędowi Ochrony Konkurencji i Konsumentów</w:t>
      </w:r>
    </w:p>
    <w:p w14:paraId="2A9E8361" w14:textId="77777777" w:rsidR="00995FCE" w:rsidRDefault="00995FCE" w:rsidP="00995FCE">
      <w:pPr>
        <w:pStyle w:val="NIEARTTEKSTtekstnieartykuowanynppodstprawnarozplubpreambua"/>
      </w:pPr>
      <w:r w:rsidRPr="00995FCE">
        <w:t>Na podstawie</w:t>
      </w:r>
      <w:r w:rsidR="00D155FA">
        <w:t xml:space="preserve"> </w:t>
      </w:r>
      <w:r w:rsidR="00C67BE3">
        <w:t>art. </w:t>
      </w:r>
      <w:r w:rsidRPr="00995FCE">
        <w:t>3</w:t>
      </w:r>
      <w:r w:rsidR="00C67BE3" w:rsidRPr="00995FCE">
        <w:t>4</w:t>
      </w:r>
      <w:r w:rsidR="00C67BE3">
        <w:t> </w:t>
      </w:r>
      <w:r w:rsidRPr="00995FCE">
        <w:t>ustawy</w:t>
      </w:r>
      <w:r w:rsidR="00DC0078">
        <w:t xml:space="preserve"> </w:t>
      </w:r>
      <w:r w:rsidR="00C67BE3" w:rsidRPr="00995FCE">
        <w:t>z</w:t>
      </w:r>
      <w:r w:rsidR="00C67BE3">
        <w:t> </w:t>
      </w:r>
      <w:r w:rsidRPr="00995FCE">
        <w:t>dnia 1</w:t>
      </w:r>
      <w:r w:rsidR="00C67BE3" w:rsidRPr="00995FCE">
        <w:t>6</w:t>
      </w:r>
      <w:r w:rsidR="00C67BE3">
        <w:t> </w:t>
      </w:r>
      <w:r w:rsidRPr="00995FCE">
        <w:t>lutego 200</w:t>
      </w:r>
      <w:r w:rsidR="00C67BE3" w:rsidRPr="00995FCE">
        <w:t>7</w:t>
      </w:r>
      <w:r w:rsidR="00C67BE3">
        <w:t> </w:t>
      </w:r>
      <w:r w:rsidRPr="00995FCE">
        <w:t>r.</w:t>
      </w:r>
      <w:r w:rsidR="00C67BE3" w:rsidRPr="00995FCE">
        <w:t xml:space="preserve"> o</w:t>
      </w:r>
      <w:r w:rsidR="00C67BE3">
        <w:t> </w:t>
      </w:r>
      <w:r w:rsidRPr="00995FCE">
        <w:t>ochronie konkurencji</w:t>
      </w:r>
      <w:r w:rsidR="00C67BE3" w:rsidRPr="00995FCE">
        <w:t xml:space="preserve"> i</w:t>
      </w:r>
      <w:r w:rsidR="00C67BE3">
        <w:t> </w:t>
      </w:r>
      <w:r w:rsidRPr="00995FCE">
        <w:t xml:space="preserve">konsumentów </w:t>
      </w:r>
      <w:r w:rsidRPr="001F707C">
        <w:t>(</w:t>
      </w:r>
      <w:r w:rsidR="00C67BE3" w:rsidRPr="001F707C">
        <w:t>Dz. U. z </w:t>
      </w:r>
      <w:r w:rsidRPr="001F707C">
        <w:t>201</w:t>
      </w:r>
      <w:r w:rsidR="0065521C">
        <w:t>9</w:t>
      </w:r>
      <w:r w:rsidR="00C67BE3" w:rsidRPr="001F707C">
        <w:t> </w:t>
      </w:r>
      <w:r w:rsidRPr="001F707C">
        <w:t>r.</w:t>
      </w:r>
      <w:r w:rsidR="00C67BE3" w:rsidRPr="001F707C">
        <w:t xml:space="preserve"> </w:t>
      </w:r>
      <w:r w:rsidR="00307931">
        <w:t xml:space="preserve">poz. </w:t>
      </w:r>
      <w:r w:rsidR="0065521C">
        <w:t>369</w:t>
      </w:r>
      <w:r w:rsidR="000C4AC2">
        <w:t>, 1571 i 1667</w:t>
      </w:r>
      <w:r w:rsidRPr="001F707C">
        <w:t xml:space="preserve">) </w:t>
      </w:r>
      <w:r w:rsidRPr="00995FCE">
        <w:t>zarządza się, co następuje:</w:t>
      </w:r>
    </w:p>
    <w:p w14:paraId="1E22F86E" w14:textId="77777777" w:rsidR="005B514C" w:rsidRDefault="005B514C" w:rsidP="0065521C">
      <w:pPr>
        <w:pStyle w:val="ARTartustawynprozporzdzenia"/>
        <w:keepNext/>
      </w:pPr>
      <w:r w:rsidRPr="00C67BE3">
        <w:rPr>
          <w:rStyle w:val="Ppogrubienie"/>
        </w:rPr>
        <w:t>§ 1.</w:t>
      </w:r>
      <w:r w:rsidR="00C67BE3" w:rsidRPr="005B514C">
        <w:t xml:space="preserve"> W</w:t>
      </w:r>
      <w:r w:rsidR="00C67BE3">
        <w:t> </w:t>
      </w:r>
      <w:r w:rsidRPr="005B514C">
        <w:t>zarządzeniu</w:t>
      </w:r>
      <w:r w:rsidR="00C67BE3">
        <w:t xml:space="preserve"> nr </w:t>
      </w:r>
      <w:r w:rsidR="000C4AC2">
        <w:t>272</w:t>
      </w:r>
      <w:r w:rsidR="00C67BE3">
        <w:t> </w:t>
      </w:r>
      <w:r w:rsidRPr="005B514C">
        <w:t>Prezesa Rady Ministrów</w:t>
      </w:r>
      <w:r w:rsidR="00C67BE3" w:rsidRPr="005B514C">
        <w:t xml:space="preserve"> z</w:t>
      </w:r>
      <w:r w:rsidR="00C67BE3">
        <w:t> </w:t>
      </w:r>
      <w:r w:rsidRPr="005B514C">
        <w:t>dnia 2</w:t>
      </w:r>
      <w:r w:rsidR="000C4AC2">
        <w:t>0</w:t>
      </w:r>
      <w:r w:rsidR="00C67BE3">
        <w:t> </w:t>
      </w:r>
      <w:r w:rsidR="000C4AC2">
        <w:t>grudnia 2019</w:t>
      </w:r>
      <w:r w:rsidR="00C67BE3">
        <w:t> </w:t>
      </w:r>
      <w:r w:rsidRPr="005B514C">
        <w:t>r.</w:t>
      </w:r>
      <w:r w:rsidR="00C67BE3" w:rsidRPr="005B514C">
        <w:t xml:space="preserve"> w</w:t>
      </w:r>
      <w:r w:rsidR="00C67BE3">
        <w:t> </w:t>
      </w:r>
      <w:r w:rsidRPr="005B514C">
        <w:t>sprawie nadania statutu Urzędowi Ochrony Konkurencji</w:t>
      </w:r>
      <w:r w:rsidR="00C67BE3" w:rsidRPr="005B514C">
        <w:t xml:space="preserve"> i</w:t>
      </w:r>
      <w:r w:rsidR="00C67BE3">
        <w:t> </w:t>
      </w:r>
      <w:r w:rsidRPr="005B514C">
        <w:t>Konsumentów (</w:t>
      </w:r>
      <w:r w:rsidR="00BD2977">
        <w:t>M.</w:t>
      </w:r>
      <w:r w:rsidR="00C67BE3">
        <w:t>P.</w:t>
      </w:r>
      <w:r w:rsidR="00B54056">
        <w:t xml:space="preserve"> poz. </w:t>
      </w:r>
      <w:r w:rsidR="000C4AC2">
        <w:t>1198</w:t>
      </w:r>
      <w:r w:rsidR="00BD2977">
        <w:t>)</w:t>
      </w:r>
      <w:r w:rsidR="00C67BE3" w:rsidRPr="005B514C">
        <w:t xml:space="preserve"> w</w:t>
      </w:r>
      <w:r w:rsidR="00C67BE3">
        <w:t> </w:t>
      </w:r>
      <w:r w:rsidRPr="005B514C">
        <w:t>załączniku</w:t>
      </w:r>
      <w:r w:rsidR="00C67BE3" w:rsidRPr="005B514C">
        <w:t xml:space="preserve"> w</w:t>
      </w:r>
      <w:r w:rsidR="003046DE">
        <w:t>prowadza się następujące zmiany</w:t>
      </w:r>
      <w:r w:rsidRPr="005B514C">
        <w:t>:</w:t>
      </w:r>
    </w:p>
    <w:p w14:paraId="3EA165C8" w14:textId="77777777" w:rsidR="003046DE" w:rsidRPr="00754B5F" w:rsidRDefault="003046DE" w:rsidP="00754B5F">
      <w:pPr>
        <w:pStyle w:val="PKTpunkt"/>
      </w:pPr>
      <w:r w:rsidRPr="00754B5F">
        <w:t>1) w § 2 w ust. 1 skreśla się wyrazy „pkt 1ˮ;</w:t>
      </w:r>
    </w:p>
    <w:p w14:paraId="50CA90FB" w14:textId="77777777" w:rsidR="003046DE" w:rsidRDefault="003046DE" w:rsidP="00754B5F">
      <w:pPr>
        <w:pStyle w:val="PKTpunkt"/>
      </w:pPr>
      <w:r>
        <w:t xml:space="preserve">2) </w:t>
      </w:r>
      <w:r>
        <w:rPr>
          <w:rFonts w:cs="Times"/>
        </w:rPr>
        <w:t>§</w:t>
      </w:r>
      <w:r>
        <w:t xml:space="preserve"> 4 otrzymuje brzmienie</w:t>
      </w:r>
      <w:r w:rsidR="00754B5F">
        <w:t>:</w:t>
      </w:r>
    </w:p>
    <w:p w14:paraId="0628D989" w14:textId="35EB7757" w:rsidR="00754B5F" w:rsidRDefault="00D155FA" w:rsidP="00754B5F">
      <w:pPr>
        <w:pStyle w:val="ZPKTzmpktartykuempunktem"/>
      </w:pPr>
      <w:r>
        <w:rPr>
          <w:rFonts w:ascii="Times New Roman" w:hAnsi="Times New Roman" w:cs="Times New Roman"/>
        </w:rPr>
        <w:t>„</w:t>
      </w:r>
      <w:r w:rsidR="00754B5F">
        <w:rPr>
          <w:rFonts w:cs="Times"/>
        </w:rPr>
        <w:t>§</w:t>
      </w:r>
      <w:r w:rsidR="00754B5F">
        <w:t xml:space="preserve"> 4. W skład Centrali Urzędu wchodzą </w:t>
      </w:r>
      <w:r w:rsidR="007631DF">
        <w:t xml:space="preserve">następujące </w:t>
      </w:r>
      <w:r w:rsidR="00754B5F">
        <w:t>komórki organizacyjne:</w:t>
      </w:r>
    </w:p>
    <w:p w14:paraId="682E02E8" w14:textId="243F9440" w:rsidR="00754B5F" w:rsidRPr="008741A1" w:rsidRDefault="00754B5F" w:rsidP="00754B5F">
      <w:pPr>
        <w:pStyle w:val="LITlitera"/>
      </w:pPr>
      <w:r>
        <w:t>1</w:t>
      </w:r>
      <w:r w:rsidRPr="008741A1">
        <w:t>)</w:t>
      </w:r>
      <w:r w:rsidRPr="008741A1">
        <w:tab/>
        <w:t>Biuro Prezesa</w:t>
      </w:r>
      <w:r w:rsidR="00586AD6">
        <w:t>;</w:t>
      </w:r>
    </w:p>
    <w:p w14:paraId="48326994" w14:textId="14D9D6D2" w:rsidR="00754B5F" w:rsidRPr="008741A1" w:rsidRDefault="00754B5F" w:rsidP="00754B5F">
      <w:pPr>
        <w:pStyle w:val="LITlitera"/>
      </w:pPr>
      <w:r>
        <w:t>2</w:t>
      </w:r>
      <w:r w:rsidRPr="008741A1">
        <w:t>)</w:t>
      </w:r>
      <w:r w:rsidRPr="008741A1">
        <w:tab/>
        <w:t>Biuro Kadr, Szkolenia i Organizacji</w:t>
      </w:r>
      <w:r w:rsidR="00586AD6">
        <w:t>;</w:t>
      </w:r>
    </w:p>
    <w:p w14:paraId="510930CD" w14:textId="669B9EFB" w:rsidR="00754B5F" w:rsidRDefault="00754B5F" w:rsidP="00754B5F">
      <w:pPr>
        <w:pStyle w:val="LITlitera"/>
      </w:pPr>
      <w:r>
        <w:t>3</w:t>
      </w:r>
      <w:r w:rsidRPr="008741A1">
        <w:t>)</w:t>
      </w:r>
      <w:r w:rsidRPr="008741A1">
        <w:tab/>
        <w:t>Biuro Budżetu i Administracji</w:t>
      </w:r>
      <w:r w:rsidR="00586AD6">
        <w:t>;</w:t>
      </w:r>
    </w:p>
    <w:p w14:paraId="68A200BC" w14:textId="557C6051" w:rsidR="00754B5F" w:rsidRDefault="00754B5F" w:rsidP="00754B5F">
      <w:pPr>
        <w:pStyle w:val="LITlitera"/>
      </w:pPr>
      <w:r>
        <w:t>4)</w:t>
      </w:r>
      <w:r>
        <w:tab/>
        <w:t>B</w:t>
      </w:r>
      <w:r w:rsidR="00586AD6">
        <w:t>iuro Współpracy Międzynarodowej;</w:t>
      </w:r>
    </w:p>
    <w:p w14:paraId="2A032B74" w14:textId="3C7971C5" w:rsidR="00754B5F" w:rsidRDefault="00586AD6" w:rsidP="00754B5F">
      <w:pPr>
        <w:pStyle w:val="LITlitera"/>
      </w:pPr>
      <w:r>
        <w:t>5)</w:t>
      </w:r>
      <w:r>
        <w:tab/>
        <w:t>Biuro Informatyki i Ochrony;</w:t>
      </w:r>
    </w:p>
    <w:p w14:paraId="56A6BDFB" w14:textId="34C3B614" w:rsidR="00754B5F" w:rsidRPr="008741A1" w:rsidRDefault="00586AD6" w:rsidP="00754B5F">
      <w:pPr>
        <w:pStyle w:val="LITlitera"/>
      </w:pPr>
      <w:r>
        <w:t>6)</w:t>
      </w:r>
      <w:r>
        <w:tab/>
        <w:t>Departament Komunikacji;</w:t>
      </w:r>
    </w:p>
    <w:p w14:paraId="55D332E7" w14:textId="7BF17C6E" w:rsidR="00754B5F" w:rsidRPr="008741A1" w:rsidRDefault="00754B5F" w:rsidP="00754B5F">
      <w:pPr>
        <w:pStyle w:val="LITlitera"/>
      </w:pPr>
      <w:r>
        <w:t>7</w:t>
      </w:r>
      <w:r w:rsidRPr="008741A1">
        <w:t>)</w:t>
      </w:r>
      <w:r w:rsidRPr="008741A1">
        <w:tab/>
        <w:t>Departament Prawny</w:t>
      </w:r>
      <w:r w:rsidR="00586AD6">
        <w:t>;</w:t>
      </w:r>
    </w:p>
    <w:p w14:paraId="2254B743" w14:textId="717D0ED5" w:rsidR="00754B5F" w:rsidRDefault="00754B5F" w:rsidP="00754B5F">
      <w:pPr>
        <w:pStyle w:val="LITlitera"/>
      </w:pPr>
      <w:r>
        <w:t>8</w:t>
      </w:r>
      <w:r w:rsidRPr="008741A1">
        <w:t>)</w:t>
      </w:r>
      <w:r w:rsidRPr="008741A1">
        <w:tab/>
        <w:t>Departament Analiz Rynku</w:t>
      </w:r>
      <w:r w:rsidR="00586AD6">
        <w:t>;</w:t>
      </w:r>
    </w:p>
    <w:p w14:paraId="60627ED0" w14:textId="0263C5D9" w:rsidR="00754B5F" w:rsidRDefault="0076676B" w:rsidP="00754B5F">
      <w:pPr>
        <w:pStyle w:val="LITlitera"/>
      </w:pPr>
      <w:r>
        <w:t>9</w:t>
      </w:r>
      <w:r w:rsidR="00754B5F" w:rsidRPr="008741A1">
        <w:t>)</w:t>
      </w:r>
      <w:r w:rsidR="00754B5F" w:rsidRPr="008741A1">
        <w:tab/>
        <w:t>Departament Ochrony Konkurencji</w:t>
      </w:r>
      <w:r w:rsidR="00586AD6">
        <w:t>;</w:t>
      </w:r>
    </w:p>
    <w:p w14:paraId="3DA7DE95" w14:textId="365FF912" w:rsidR="00754B5F" w:rsidRPr="008741A1" w:rsidRDefault="0076676B" w:rsidP="00754B5F">
      <w:pPr>
        <w:pStyle w:val="LITlitera"/>
      </w:pPr>
      <w:r>
        <w:t>10</w:t>
      </w:r>
      <w:r w:rsidR="00754B5F">
        <w:t>)</w:t>
      </w:r>
      <w:r w:rsidR="00754B5F">
        <w:tab/>
        <w:t xml:space="preserve">Departament </w:t>
      </w:r>
      <w:r w:rsidR="007631DF">
        <w:t xml:space="preserve">Przeciwdziałania </w:t>
      </w:r>
      <w:r w:rsidR="00754B5F">
        <w:t>Z</w:t>
      </w:r>
      <w:r w:rsidR="007631DF">
        <w:t>mo</w:t>
      </w:r>
      <w:r w:rsidR="00754B5F">
        <w:t>w</w:t>
      </w:r>
      <w:r w:rsidR="007631DF">
        <w:t>om</w:t>
      </w:r>
      <w:r w:rsidR="00754B5F">
        <w:t xml:space="preserve"> Przetargowy</w:t>
      </w:r>
      <w:r w:rsidR="007631DF">
        <w:t>m;</w:t>
      </w:r>
    </w:p>
    <w:p w14:paraId="6C12DEFB" w14:textId="10208A47" w:rsidR="00754B5F" w:rsidRPr="008741A1" w:rsidRDefault="0076676B" w:rsidP="00754B5F">
      <w:pPr>
        <w:pStyle w:val="LITlitera"/>
      </w:pPr>
      <w:r>
        <w:t>11</w:t>
      </w:r>
      <w:r w:rsidR="00754B5F" w:rsidRPr="008741A1">
        <w:t>)</w:t>
      </w:r>
      <w:r w:rsidR="00754B5F" w:rsidRPr="008741A1">
        <w:tab/>
        <w:t>Departament Kontroli Koncentracji</w:t>
      </w:r>
      <w:r w:rsidR="00586AD6">
        <w:t>;</w:t>
      </w:r>
    </w:p>
    <w:p w14:paraId="2B012FC2" w14:textId="104E8DB4" w:rsidR="00754B5F" w:rsidRDefault="0076676B" w:rsidP="00754B5F">
      <w:pPr>
        <w:pStyle w:val="LITlitera"/>
      </w:pPr>
      <w:r>
        <w:t>12</w:t>
      </w:r>
      <w:r w:rsidR="00754B5F" w:rsidRPr="008741A1">
        <w:t>)</w:t>
      </w:r>
      <w:r w:rsidR="00754B5F" w:rsidRPr="008741A1">
        <w:tab/>
        <w:t>Departament Monitorowania Pomocy Publicznej</w:t>
      </w:r>
      <w:r w:rsidR="00586AD6">
        <w:t>;</w:t>
      </w:r>
    </w:p>
    <w:p w14:paraId="6791E098" w14:textId="5E53789B" w:rsidR="00754B5F" w:rsidRPr="008741A1" w:rsidRDefault="0076676B" w:rsidP="00754B5F">
      <w:pPr>
        <w:pStyle w:val="LITlitera"/>
      </w:pPr>
      <w:r>
        <w:t>13</w:t>
      </w:r>
      <w:r w:rsidR="00754B5F">
        <w:t>)</w:t>
      </w:r>
      <w:r w:rsidR="00754B5F">
        <w:tab/>
        <w:t xml:space="preserve">Departament </w:t>
      </w:r>
      <w:r w:rsidR="00184C7A">
        <w:t>Przewagi Kontraktowej</w:t>
      </w:r>
      <w:r w:rsidR="007631DF">
        <w:t>;</w:t>
      </w:r>
    </w:p>
    <w:p w14:paraId="62620D1F" w14:textId="32CA4E49" w:rsidR="00754B5F" w:rsidRPr="008741A1" w:rsidRDefault="0076676B" w:rsidP="00754B5F">
      <w:pPr>
        <w:pStyle w:val="LITlitera"/>
      </w:pPr>
      <w:r>
        <w:t>14</w:t>
      </w:r>
      <w:r w:rsidR="00754B5F" w:rsidRPr="008741A1">
        <w:t>)</w:t>
      </w:r>
      <w:r w:rsidR="00754B5F" w:rsidRPr="008741A1">
        <w:tab/>
        <w:t>Departament Ochrony Zbiorowych Interesów Konsumentów</w:t>
      </w:r>
      <w:r w:rsidR="00586AD6">
        <w:t>;</w:t>
      </w:r>
    </w:p>
    <w:p w14:paraId="669E394C" w14:textId="64CCED45" w:rsidR="00754B5F" w:rsidRPr="008741A1" w:rsidRDefault="0076676B" w:rsidP="00754B5F">
      <w:pPr>
        <w:pStyle w:val="LITlitera"/>
      </w:pPr>
      <w:r>
        <w:t>15</w:t>
      </w:r>
      <w:r w:rsidR="00754B5F" w:rsidRPr="008741A1">
        <w:t>)</w:t>
      </w:r>
      <w:r w:rsidR="00754B5F" w:rsidRPr="008741A1">
        <w:tab/>
        <w:t>Departament Nadzoru Rynku</w:t>
      </w:r>
      <w:r w:rsidR="00586AD6">
        <w:t>;</w:t>
      </w:r>
    </w:p>
    <w:p w14:paraId="5F090D0C" w14:textId="2A722EBA" w:rsidR="00754B5F" w:rsidRPr="008741A1" w:rsidRDefault="0076676B" w:rsidP="00754B5F">
      <w:pPr>
        <w:pStyle w:val="LITlitera"/>
      </w:pPr>
      <w:r>
        <w:t>16</w:t>
      </w:r>
      <w:r w:rsidR="00754B5F" w:rsidRPr="008741A1">
        <w:t>)</w:t>
      </w:r>
      <w:r w:rsidR="00754B5F" w:rsidRPr="008741A1">
        <w:tab/>
        <w:t>Departament Inspekcji Handlowej</w:t>
      </w:r>
      <w:r w:rsidR="00586AD6">
        <w:t>;</w:t>
      </w:r>
    </w:p>
    <w:p w14:paraId="79466989" w14:textId="71AA127A" w:rsidR="00754B5F" w:rsidRPr="008741A1" w:rsidRDefault="0076676B" w:rsidP="00754B5F">
      <w:pPr>
        <w:pStyle w:val="LITlitera"/>
      </w:pPr>
      <w:r>
        <w:lastRenderedPageBreak/>
        <w:t>17</w:t>
      </w:r>
      <w:r w:rsidR="00754B5F" w:rsidRPr="008741A1">
        <w:t>)</w:t>
      </w:r>
      <w:r w:rsidR="00754B5F" w:rsidRPr="008741A1">
        <w:tab/>
        <w:t>Departament Laboratoriów</w:t>
      </w:r>
      <w:r w:rsidR="00586AD6">
        <w:t>;</w:t>
      </w:r>
    </w:p>
    <w:p w14:paraId="1D4BA75B" w14:textId="51A4E29B" w:rsidR="00754B5F" w:rsidRPr="008741A1" w:rsidRDefault="0076676B" w:rsidP="00754B5F">
      <w:pPr>
        <w:pStyle w:val="LITlitera"/>
      </w:pPr>
      <w:r>
        <w:t>18</w:t>
      </w:r>
      <w:r w:rsidR="00754B5F" w:rsidRPr="008741A1">
        <w:t>)</w:t>
      </w:r>
      <w:r w:rsidR="00754B5F" w:rsidRPr="008741A1">
        <w:tab/>
        <w:t xml:space="preserve">Departament </w:t>
      </w:r>
      <w:r w:rsidR="00754B5F">
        <w:t>Postępowań</w:t>
      </w:r>
      <w:r w:rsidR="00586AD6">
        <w:t xml:space="preserve"> w Sprawach Zatorów Płatniczych;</w:t>
      </w:r>
    </w:p>
    <w:p w14:paraId="7A6007D3" w14:textId="4497E36F" w:rsidR="00754B5F" w:rsidRPr="008741A1" w:rsidRDefault="0076676B" w:rsidP="00754B5F">
      <w:pPr>
        <w:pStyle w:val="LITlitera"/>
      </w:pPr>
      <w:r>
        <w:t>19</w:t>
      </w:r>
      <w:r w:rsidR="00754B5F" w:rsidRPr="008741A1">
        <w:t>)</w:t>
      </w:r>
      <w:r w:rsidR="00754B5F" w:rsidRPr="008741A1">
        <w:tab/>
        <w:t xml:space="preserve">Departament </w:t>
      </w:r>
      <w:r w:rsidR="00754B5F">
        <w:t>Wsparcia Postępowań</w:t>
      </w:r>
      <w:r w:rsidR="00586AD6">
        <w:t xml:space="preserve"> w Sprawach Zatorów Płatniczych;</w:t>
      </w:r>
    </w:p>
    <w:p w14:paraId="51192B94" w14:textId="3187B2BB" w:rsidR="00754B5F" w:rsidRDefault="0076676B" w:rsidP="00754B5F">
      <w:pPr>
        <w:pStyle w:val="LITlitera"/>
      </w:pPr>
      <w:r>
        <w:t>20</w:t>
      </w:r>
      <w:r w:rsidR="00754B5F" w:rsidRPr="008741A1">
        <w:t>)</w:t>
      </w:r>
      <w:r w:rsidR="00754B5F" w:rsidRPr="008741A1">
        <w:tab/>
        <w:t xml:space="preserve">Departament </w:t>
      </w:r>
      <w:r w:rsidR="00754B5F">
        <w:t xml:space="preserve">Rozwoju </w:t>
      </w:r>
      <w:proofErr w:type="spellStart"/>
      <w:r w:rsidR="00754B5F">
        <w:t>Analiz</w:t>
      </w:r>
      <w:r w:rsidR="00D155FA">
        <w:t>.</w:t>
      </w:r>
      <w:r w:rsidR="00D155FA">
        <w:rPr>
          <w:rFonts w:ascii="Times New Roman" w:hAnsi="Times New Roman" w:cs="Times New Roman"/>
        </w:rPr>
        <w:t>ˮ</w:t>
      </w:r>
      <w:proofErr w:type="spellEnd"/>
      <w:r w:rsidR="00D155FA">
        <w:t>;</w:t>
      </w:r>
    </w:p>
    <w:p w14:paraId="3B59E010" w14:textId="77777777" w:rsidR="00881045" w:rsidRDefault="008F361A" w:rsidP="008F361A">
      <w:pPr>
        <w:pStyle w:val="PKTpunkt"/>
      </w:pPr>
      <w:r>
        <w:t xml:space="preserve">3) w </w:t>
      </w:r>
      <w:r>
        <w:rPr>
          <w:rFonts w:cs="Times"/>
        </w:rPr>
        <w:t>§</w:t>
      </w:r>
      <w:r>
        <w:t xml:space="preserve"> 7 w ust. 1</w:t>
      </w:r>
      <w:r w:rsidR="00881045">
        <w:t>:</w:t>
      </w:r>
    </w:p>
    <w:p w14:paraId="743AAE3A" w14:textId="4F135DA4" w:rsidR="008F361A" w:rsidRDefault="00881045" w:rsidP="00881045">
      <w:pPr>
        <w:pStyle w:val="LITlitera"/>
      </w:pPr>
      <w:r>
        <w:t xml:space="preserve">a) </w:t>
      </w:r>
      <w:r w:rsidR="008F361A">
        <w:t xml:space="preserve"> </w:t>
      </w:r>
      <w:r>
        <w:tab/>
      </w:r>
      <w:r w:rsidR="008F361A">
        <w:t>po pkt 7 dodaje się pkt 7a w brzmieniu:</w:t>
      </w:r>
    </w:p>
    <w:p w14:paraId="68522250" w14:textId="401C76EC" w:rsidR="008F361A" w:rsidRDefault="008F361A" w:rsidP="00881045">
      <w:pPr>
        <w:pStyle w:val="ZLITzmlitartykuempunktem"/>
      </w:pPr>
      <w:r>
        <w:rPr>
          <w:rFonts w:ascii="Times New Roman" w:hAnsi="Times New Roman" w:cs="Times New Roman"/>
        </w:rPr>
        <w:t>„</w:t>
      </w:r>
      <w:r>
        <w:t xml:space="preserve">7a) </w:t>
      </w:r>
      <w:r>
        <w:tab/>
      </w:r>
      <w:r w:rsidRPr="008F361A">
        <w:t xml:space="preserve">przekazywanie </w:t>
      </w:r>
      <w:r w:rsidR="00881045">
        <w:t xml:space="preserve">zgłaszającemu </w:t>
      </w:r>
      <w:r w:rsidRPr="008F361A">
        <w:t>informacji o sposobie rozpatrzenia zawiadomienia, o której mowa w art. 86 ust. 4  ustawy z dnia 16 lutego 2007 r. o ochronie konkurencji i konsumentów</w:t>
      </w:r>
      <w:r w:rsidR="00881045">
        <w:t xml:space="preserve"> (Dz. U. z 2019 r. poz. 369, 1571 i 1667)</w:t>
      </w:r>
      <w:r w:rsidRPr="008F361A">
        <w:t xml:space="preserve">, zwanej dalej „ustawą”, wraz z </w:t>
      </w:r>
      <w:proofErr w:type="spellStart"/>
      <w:r w:rsidRPr="008F361A">
        <w:t>uzasadnieniem</w:t>
      </w:r>
      <w:r>
        <w:t>;</w:t>
      </w:r>
      <w:r>
        <w:rPr>
          <w:rFonts w:ascii="Times New Roman" w:hAnsi="Times New Roman" w:cs="Times New Roman"/>
        </w:rPr>
        <w:t>ˮ</w:t>
      </w:r>
      <w:proofErr w:type="spellEnd"/>
      <w:r w:rsidR="00881045">
        <w:t>,</w:t>
      </w:r>
    </w:p>
    <w:p w14:paraId="7732640A" w14:textId="58EDC226" w:rsidR="00881045" w:rsidRDefault="00881045" w:rsidP="00881045">
      <w:pPr>
        <w:pStyle w:val="ZLITzmlitartykuempunktem"/>
      </w:pPr>
      <w:r>
        <w:t xml:space="preserve">b) </w:t>
      </w:r>
      <w:r>
        <w:tab/>
        <w:t xml:space="preserve">w pkt 10 skreśla się wyrazy </w:t>
      </w:r>
      <w:r>
        <w:rPr>
          <w:rFonts w:ascii="Times New Roman" w:hAnsi="Times New Roman" w:cs="Times New Roman"/>
        </w:rPr>
        <w:t>„</w:t>
      </w:r>
      <w:r>
        <w:t xml:space="preserve">z dnia </w:t>
      </w:r>
      <w:r w:rsidRPr="008F361A">
        <w:t>16 lutego 2007 r. o ochronie konkurencji i konsumentów</w:t>
      </w:r>
      <w:r>
        <w:t xml:space="preserve"> (Dz. U. z 2019 r. poz. 369, 1571 i 1667)</w:t>
      </w:r>
      <w:r w:rsidRPr="008F361A">
        <w:t>, zwanej dalej „ustawą”</w:t>
      </w:r>
      <w:r w:rsidR="00C50209">
        <w:rPr>
          <w:rFonts w:ascii="Times New Roman" w:hAnsi="Times New Roman" w:cs="Times New Roman"/>
        </w:rPr>
        <w:t>ˮ</w:t>
      </w:r>
      <w:r>
        <w:t>;</w:t>
      </w:r>
    </w:p>
    <w:p w14:paraId="371FDB56" w14:textId="68EA2F19" w:rsidR="00D26918" w:rsidRDefault="00D26918" w:rsidP="00D26918">
      <w:pPr>
        <w:pStyle w:val="PKTpunkt"/>
      </w:pPr>
      <w:r>
        <w:t xml:space="preserve">4) w </w:t>
      </w:r>
      <w:r>
        <w:rPr>
          <w:rFonts w:cs="Times"/>
        </w:rPr>
        <w:t>§</w:t>
      </w:r>
      <w:r w:rsidR="00881045">
        <w:t xml:space="preserve"> 16 wyraz </w:t>
      </w:r>
      <w:r w:rsidR="00881045">
        <w:rPr>
          <w:rFonts w:ascii="Times New Roman" w:hAnsi="Times New Roman" w:cs="Times New Roman"/>
        </w:rPr>
        <w:t>„</w:t>
      </w:r>
      <w:proofErr w:type="spellStart"/>
      <w:r w:rsidR="00881045">
        <w:t>jednostkami</w:t>
      </w:r>
      <w:r w:rsidR="00881045">
        <w:rPr>
          <w:rFonts w:ascii="Times New Roman" w:hAnsi="Times New Roman" w:cs="Times New Roman"/>
        </w:rPr>
        <w:t>ˮ</w:t>
      </w:r>
      <w:proofErr w:type="spellEnd"/>
      <w:r>
        <w:t xml:space="preserve"> zastępuje się wyrazami </w:t>
      </w:r>
      <w:r>
        <w:rPr>
          <w:rFonts w:ascii="Times New Roman" w:hAnsi="Times New Roman" w:cs="Times New Roman"/>
        </w:rPr>
        <w:t>„</w:t>
      </w:r>
      <w:r>
        <w:t xml:space="preserve">komórkami organizacyjnymi </w:t>
      </w:r>
      <w:proofErr w:type="spellStart"/>
      <w:r>
        <w:t>Urzędu</w:t>
      </w:r>
      <w:r>
        <w:rPr>
          <w:rFonts w:ascii="Times New Roman" w:hAnsi="Times New Roman" w:cs="Times New Roman"/>
        </w:rPr>
        <w:t>ˮ</w:t>
      </w:r>
      <w:proofErr w:type="spellEnd"/>
      <w:r>
        <w:t>;</w:t>
      </w:r>
    </w:p>
    <w:p w14:paraId="4DA9A568" w14:textId="00BB6151" w:rsidR="00B54056" w:rsidRDefault="00D26918" w:rsidP="00D155FA">
      <w:pPr>
        <w:pStyle w:val="PKTpunkt"/>
      </w:pPr>
      <w:r>
        <w:t>5</w:t>
      </w:r>
      <w:r w:rsidR="00D155FA" w:rsidRPr="00D155FA">
        <w:t>) w §</w:t>
      </w:r>
      <w:r w:rsidR="00B54056">
        <w:t xml:space="preserve"> 17 </w:t>
      </w:r>
      <w:r w:rsidR="00D155FA" w:rsidRPr="00D155FA">
        <w:t xml:space="preserve">ust. 2 </w:t>
      </w:r>
      <w:r w:rsidR="00B54056">
        <w:t>otrzymuje brzmienie:</w:t>
      </w:r>
    </w:p>
    <w:p w14:paraId="003B5C0E" w14:textId="0979F7DF" w:rsidR="00D155FA" w:rsidRPr="008741A1" w:rsidRDefault="00B54056" w:rsidP="00B54056">
      <w:pPr>
        <w:pStyle w:val="ZUSTzmustartykuempunktem"/>
      </w:pPr>
      <w:r>
        <w:rPr>
          <w:rFonts w:ascii="Times New Roman" w:hAnsi="Times New Roman" w:cs="Times New Roman"/>
        </w:rPr>
        <w:t>„</w:t>
      </w:r>
      <w:r>
        <w:t xml:space="preserve">2. </w:t>
      </w:r>
      <w:r w:rsidRPr="00874E6A">
        <w:t>Prezes</w:t>
      </w:r>
      <w:r>
        <w:t xml:space="preserve"> Urzędu</w:t>
      </w:r>
      <w:r w:rsidRPr="00874E6A">
        <w:t xml:space="preserve"> może tworzyć w</w:t>
      </w:r>
      <w:r w:rsidR="00D26918">
        <w:t xml:space="preserve"> Urzędzie</w:t>
      </w:r>
      <w:r w:rsidRPr="00874E6A">
        <w:t xml:space="preserve">, na czas określony lub nieokreślony, zespoły do wykonywania zadań wykraczających poza zakres zadań poszczególnych </w:t>
      </w:r>
      <w:r>
        <w:t>delegatur Urzędu lub</w:t>
      </w:r>
      <w:r w:rsidRPr="00874E6A">
        <w:t xml:space="preserve"> komórek organizacyjnych Centrali</w:t>
      </w:r>
      <w:r>
        <w:t xml:space="preserve"> Urzędu, </w:t>
      </w:r>
      <w:r w:rsidRPr="00874E6A">
        <w:t xml:space="preserve"> określając ich nazwę, skład, zakres zadań i</w:t>
      </w:r>
      <w:r>
        <w:t> </w:t>
      </w:r>
      <w:r w:rsidRPr="00874E6A">
        <w:t xml:space="preserve">tryb </w:t>
      </w:r>
      <w:proofErr w:type="spellStart"/>
      <w:r w:rsidRPr="00874E6A">
        <w:t>pracy</w:t>
      </w:r>
      <w:r w:rsidR="00D155FA">
        <w:t>.</w:t>
      </w:r>
      <w:r>
        <w:rPr>
          <w:rFonts w:ascii="Times New Roman" w:hAnsi="Times New Roman" w:cs="Times New Roman"/>
        </w:rPr>
        <w:t>ˮ</w:t>
      </w:r>
      <w:proofErr w:type="spellEnd"/>
      <w:r>
        <w:t>.</w:t>
      </w:r>
    </w:p>
    <w:p w14:paraId="00472D54" w14:textId="77777777" w:rsidR="005B514C" w:rsidRPr="005B514C" w:rsidRDefault="005B514C" w:rsidP="005B514C">
      <w:pPr>
        <w:pStyle w:val="ARTartustawynprozporzdzenia"/>
      </w:pPr>
      <w:r w:rsidRPr="00C67BE3">
        <w:rPr>
          <w:rStyle w:val="Ppogrubienie"/>
        </w:rPr>
        <w:t>§ 2.</w:t>
      </w:r>
      <w:r w:rsidRPr="005B514C">
        <w:t xml:space="preserve"> Zarządzenie wchodzi</w:t>
      </w:r>
      <w:r w:rsidR="00C67BE3" w:rsidRPr="005B514C">
        <w:t xml:space="preserve"> w</w:t>
      </w:r>
      <w:r w:rsidR="00C67BE3">
        <w:t> </w:t>
      </w:r>
      <w:r w:rsidRPr="005B514C">
        <w:t xml:space="preserve">życie po upływie </w:t>
      </w:r>
      <w:r w:rsidR="00C67BE3" w:rsidRPr="005B514C">
        <w:t>7</w:t>
      </w:r>
      <w:r w:rsidR="00C67BE3">
        <w:t> </w:t>
      </w:r>
      <w:r w:rsidRPr="005B514C">
        <w:t>dni od dnia ogłoszenia.</w:t>
      </w:r>
    </w:p>
    <w:p w14:paraId="45A29162" w14:textId="77777777" w:rsidR="005B514C" w:rsidRDefault="005B514C" w:rsidP="00C67BE3">
      <w:pPr>
        <w:pStyle w:val="ARTartustawynprozporzdzenia"/>
        <w:keepNext/>
      </w:pPr>
    </w:p>
    <w:p w14:paraId="08B048B7" w14:textId="77777777" w:rsidR="003A13D0" w:rsidRPr="003A13D0" w:rsidRDefault="003A13D0" w:rsidP="003A13D0">
      <w:pPr>
        <w:pStyle w:val="NAZORGWYDnazwaorganuwydajcegoprojektowanyakt"/>
        <w:rPr>
          <w:rFonts w:eastAsia="SimSun"/>
        </w:rPr>
      </w:pPr>
      <w:r w:rsidRPr="003A13D0">
        <w:rPr>
          <w:rFonts w:eastAsia="SimSun"/>
        </w:rPr>
        <w:t>PREZES RADY MINISTRÓW</w:t>
      </w:r>
    </w:p>
    <w:p w14:paraId="6DE24675" w14:textId="77777777" w:rsidR="003A13D0" w:rsidRPr="00552A28" w:rsidRDefault="003A13D0" w:rsidP="00C67BE3">
      <w:pPr>
        <w:keepNext/>
      </w:pPr>
    </w:p>
    <w:p w14:paraId="1CB5D644" w14:textId="77777777" w:rsidR="003A13D0" w:rsidRDefault="003A13D0" w:rsidP="005B514C">
      <w:pPr>
        <w:pStyle w:val="ARTartustawynprozporzdzenia"/>
      </w:pPr>
    </w:p>
    <w:sectPr w:rsidR="003A13D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06C7" w14:textId="77777777" w:rsidR="000304E6" w:rsidRDefault="000304E6">
      <w:r>
        <w:separator/>
      </w:r>
    </w:p>
  </w:endnote>
  <w:endnote w:type="continuationSeparator" w:id="0">
    <w:p w14:paraId="3AAB66A1" w14:textId="77777777" w:rsidR="000304E6" w:rsidRDefault="0003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BAAA" w14:textId="77777777" w:rsidR="000304E6" w:rsidRDefault="000304E6">
      <w:r>
        <w:separator/>
      </w:r>
    </w:p>
  </w:footnote>
  <w:footnote w:type="continuationSeparator" w:id="0">
    <w:p w14:paraId="23B0E8E7" w14:textId="77777777" w:rsidR="000304E6" w:rsidRDefault="0003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93F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B073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4E6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1CB1"/>
    <w:rsid w:val="000736CD"/>
    <w:rsid w:val="0007533B"/>
    <w:rsid w:val="0007545D"/>
    <w:rsid w:val="000760BF"/>
    <w:rsid w:val="0007613E"/>
    <w:rsid w:val="00076BFC"/>
    <w:rsid w:val="000814A7"/>
    <w:rsid w:val="00083B23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AC2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F2C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B90"/>
    <w:rsid w:val="001270A2"/>
    <w:rsid w:val="00131237"/>
    <w:rsid w:val="001329AC"/>
    <w:rsid w:val="00134CA0"/>
    <w:rsid w:val="0014026F"/>
    <w:rsid w:val="001476B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C7A"/>
    <w:rsid w:val="00184D4A"/>
    <w:rsid w:val="0018648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4CA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07C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6D4"/>
    <w:rsid w:val="002765B4"/>
    <w:rsid w:val="00276A94"/>
    <w:rsid w:val="0029405D"/>
    <w:rsid w:val="00294FA6"/>
    <w:rsid w:val="00295A6F"/>
    <w:rsid w:val="00297EE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6DE"/>
    <w:rsid w:val="0030793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3D0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9E5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8B5"/>
    <w:rsid w:val="00480A58"/>
    <w:rsid w:val="00482151"/>
    <w:rsid w:val="00485FAD"/>
    <w:rsid w:val="00487AED"/>
    <w:rsid w:val="00491EDF"/>
    <w:rsid w:val="00492A3F"/>
    <w:rsid w:val="00493F6E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D67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AD6"/>
    <w:rsid w:val="00591124"/>
    <w:rsid w:val="00597024"/>
    <w:rsid w:val="005A0274"/>
    <w:rsid w:val="005A095C"/>
    <w:rsid w:val="005A2385"/>
    <w:rsid w:val="005A669D"/>
    <w:rsid w:val="005A75D8"/>
    <w:rsid w:val="005B514C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21C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A76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9AD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B5F"/>
    <w:rsid w:val="00756629"/>
    <w:rsid w:val="007575D2"/>
    <w:rsid w:val="00757B4F"/>
    <w:rsid w:val="00757B6A"/>
    <w:rsid w:val="007610E0"/>
    <w:rsid w:val="007621AA"/>
    <w:rsid w:val="0076260A"/>
    <w:rsid w:val="007631DF"/>
    <w:rsid w:val="00764A67"/>
    <w:rsid w:val="0076676B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4A9"/>
    <w:rsid w:val="007A1F2F"/>
    <w:rsid w:val="007A2A5C"/>
    <w:rsid w:val="007A5150"/>
    <w:rsid w:val="007A5373"/>
    <w:rsid w:val="007A789F"/>
    <w:rsid w:val="007B75BC"/>
    <w:rsid w:val="007C011B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6E0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04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48A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85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61A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36E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C3F"/>
    <w:rsid w:val="00984E03"/>
    <w:rsid w:val="00987E85"/>
    <w:rsid w:val="00995FC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583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44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8CF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056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4D1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977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8E6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BA7"/>
    <w:rsid w:val="00C37194"/>
    <w:rsid w:val="00C40637"/>
    <w:rsid w:val="00C40F6C"/>
    <w:rsid w:val="00C44426"/>
    <w:rsid w:val="00C445F3"/>
    <w:rsid w:val="00C451F4"/>
    <w:rsid w:val="00C45EB1"/>
    <w:rsid w:val="00C50209"/>
    <w:rsid w:val="00C5388D"/>
    <w:rsid w:val="00C54A3A"/>
    <w:rsid w:val="00C55566"/>
    <w:rsid w:val="00C56448"/>
    <w:rsid w:val="00C667BE"/>
    <w:rsid w:val="00C6766B"/>
    <w:rsid w:val="00C67BE3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73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5FA"/>
    <w:rsid w:val="00D16820"/>
    <w:rsid w:val="00D169C8"/>
    <w:rsid w:val="00D1793F"/>
    <w:rsid w:val="00D22AF5"/>
    <w:rsid w:val="00D235EA"/>
    <w:rsid w:val="00D247A9"/>
    <w:rsid w:val="00D26918"/>
    <w:rsid w:val="00D32721"/>
    <w:rsid w:val="00D328DC"/>
    <w:rsid w:val="00D33387"/>
    <w:rsid w:val="00D402FB"/>
    <w:rsid w:val="00D42510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43C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078"/>
    <w:rsid w:val="00DC1C6B"/>
    <w:rsid w:val="00DC214E"/>
    <w:rsid w:val="00DC2C2E"/>
    <w:rsid w:val="00DC4AF0"/>
    <w:rsid w:val="00DC7886"/>
    <w:rsid w:val="00DD0CF2"/>
    <w:rsid w:val="00DD7CB4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F69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AB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D40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A7F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5D4EF"/>
  <w15:docId w15:val="{A99061D1-974E-42C1-9DB4-8DC5632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awroc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7168ED-7B60-4F5D-95CE-6D112F1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Renata Wolanin</dc:creator>
  <cp:lastModifiedBy>Dominik Piejko</cp:lastModifiedBy>
  <cp:revision>2</cp:revision>
  <cp:lastPrinted>2012-04-23T06:39:00Z</cp:lastPrinted>
  <dcterms:created xsi:type="dcterms:W3CDTF">2020-04-09T10:19:00Z</dcterms:created>
  <dcterms:modified xsi:type="dcterms:W3CDTF">2020-04-09T10:19:00Z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