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3034" w14:textId="6836E18B" w:rsidR="00813C76" w:rsidRPr="00971584" w:rsidRDefault="0085694D" w:rsidP="0085694D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5BB8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331DA36-1ED6-4D71-BFBD-90253F1D72E9" style="width:455.25pt;height:462.75pt">
            <v:imagedata r:id="rId7" o:title=""/>
          </v:shape>
        </w:pict>
      </w:r>
    </w:p>
    <w:bookmarkEnd w:id="0"/>
    <w:p w14:paraId="5EB1F4CF" w14:textId="77777777" w:rsidR="00813C76" w:rsidRPr="00971584" w:rsidRDefault="00813C76" w:rsidP="00813C76">
      <w:pPr>
        <w:rPr>
          <w:noProof/>
        </w:rPr>
        <w:sectPr w:rsidR="00813C76" w:rsidRPr="00971584" w:rsidSect="008569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7D4F0A" w:rsidRPr="00971584" w14:paraId="464DAD47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CCCCCC"/>
          </w:tcPr>
          <w:p w14:paraId="6C0992B2" w14:textId="77777777" w:rsidR="007D4F0A" w:rsidRPr="00971584" w:rsidRDefault="001837CF" w:rsidP="001837CF">
            <w:pPr>
              <w:rPr>
                <w:b/>
                <w:noProof/>
                <w:szCs w:val="24"/>
              </w:rPr>
            </w:pPr>
            <w:bookmarkStart w:id="1" w:name="_GoBack"/>
            <w:bookmarkEnd w:id="1"/>
            <w:r w:rsidRPr="00971584">
              <w:rPr>
                <w:b/>
                <w:noProof/>
                <w:szCs w:val="24"/>
              </w:rPr>
              <w:lastRenderedPageBreak/>
              <w:t>Streszczenie oceny skutków</w:t>
            </w:r>
          </w:p>
        </w:tc>
      </w:tr>
      <w:tr w:rsidR="007D4F0A" w:rsidRPr="00971584" w14:paraId="0B4AF50C" w14:textId="77777777" w:rsidTr="00162C3A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CFD44F3" w14:textId="77777777" w:rsidR="007D4F0A" w:rsidRPr="00971584" w:rsidRDefault="007D4F0A" w:rsidP="00D47DCA">
            <w:pPr>
              <w:rPr>
                <w:noProof/>
                <w:szCs w:val="24"/>
              </w:rPr>
            </w:pPr>
            <w:r w:rsidRPr="00971584">
              <w:rPr>
                <w:noProof/>
              </w:rPr>
              <w:t xml:space="preserve">Ocena skutków przeglądu dyrektywy 2002/65/WE dotyczącej sprzedaży konsumentom usług finansowych na odległość. </w:t>
            </w:r>
          </w:p>
        </w:tc>
      </w:tr>
      <w:tr w:rsidR="007D4F0A" w:rsidRPr="00971584" w14:paraId="17FA8CEA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CCCCCC"/>
          </w:tcPr>
          <w:p w14:paraId="55A78DDF" w14:textId="77777777" w:rsidR="007D4F0A" w:rsidRPr="00971584" w:rsidRDefault="007D4F0A" w:rsidP="00D47DCA">
            <w:pPr>
              <w:rPr>
                <w:b/>
                <w:noProof/>
                <w:szCs w:val="24"/>
              </w:rPr>
            </w:pPr>
            <w:r w:rsidRPr="00971584">
              <w:rPr>
                <w:b/>
                <w:noProof/>
                <w:szCs w:val="24"/>
              </w:rPr>
              <w:t>A. Zasadność działań</w:t>
            </w:r>
          </w:p>
        </w:tc>
      </w:tr>
      <w:tr w:rsidR="007D4F0A" w:rsidRPr="00971584" w14:paraId="555A730F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0E0E0"/>
          </w:tcPr>
          <w:p w14:paraId="01FCABE0" w14:textId="669E9457" w:rsidR="007D4F0A" w:rsidRPr="00971584" w:rsidRDefault="007D4F0A" w:rsidP="00D47DCA">
            <w:pPr>
              <w:rPr>
                <w:noProof/>
                <w:szCs w:val="24"/>
              </w:rPr>
            </w:pPr>
            <w:r w:rsidRPr="00971584">
              <w:rPr>
                <w:b/>
                <w:noProof/>
                <w:szCs w:val="24"/>
              </w:rPr>
              <w:t>Na czym polega problem</w:t>
            </w:r>
            <w:r w:rsidR="00971584" w:rsidRPr="00971584">
              <w:rPr>
                <w:b/>
                <w:noProof/>
                <w:szCs w:val="24"/>
              </w:rPr>
              <w:t xml:space="preserve"> i dla</w:t>
            </w:r>
            <w:r w:rsidRPr="00971584">
              <w:rPr>
                <w:b/>
                <w:noProof/>
                <w:szCs w:val="24"/>
              </w:rPr>
              <w:t xml:space="preserve">czego jest to problem na szczeblu UE? </w:t>
            </w:r>
          </w:p>
        </w:tc>
      </w:tr>
      <w:tr w:rsidR="007D4F0A" w:rsidRPr="00971584" w14:paraId="44979051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09FCF99F" w14:textId="41516372" w:rsidR="00E860E5" w:rsidRPr="00971584" w:rsidRDefault="00E860E5" w:rsidP="0048048C">
            <w:pPr>
              <w:spacing w:after="120"/>
              <w:rPr>
                <w:noProof/>
              </w:rPr>
            </w:pPr>
            <w:r w:rsidRPr="00971584">
              <w:rPr>
                <w:b/>
                <w:noProof/>
              </w:rPr>
              <w:t>Nadrzędnymi problemami</w:t>
            </w:r>
            <w:r w:rsidRPr="00971584">
              <w:rPr>
                <w:noProof/>
              </w:rPr>
              <w:t xml:space="preserve"> są: 1) </w:t>
            </w:r>
            <w:r w:rsidRPr="00971584">
              <w:rPr>
                <w:b/>
                <w:noProof/>
              </w:rPr>
              <w:t>brak spójności</w:t>
            </w:r>
            <w:r w:rsidR="00971584" w:rsidRPr="00971584">
              <w:rPr>
                <w:b/>
                <w:noProof/>
              </w:rPr>
              <w:t xml:space="preserve"> i mni</w:t>
            </w:r>
            <w:r w:rsidRPr="00971584">
              <w:rPr>
                <w:b/>
                <w:noProof/>
              </w:rPr>
              <w:t>ejsza adekwatność</w:t>
            </w:r>
            <w:r w:rsidRPr="00971584">
              <w:rPr>
                <w:noProof/>
              </w:rPr>
              <w:t xml:space="preserve"> dyrektywy ze względu na pokrywanie się jej przepisów</w:t>
            </w:r>
            <w:r w:rsidR="00971584" w:rsidRPr="00971584">
              <w:rPr>
                <w:noProof/>
              </w:rPr>
              <w:t xml:space="preserve"> z prz</w:t>
            </w:r>
            <w:r w:rsidRPr="00971584">
              <w:rPr>
                <w:noProof/>
              </w:rPr>
              <w:t>episami dotyczącymi poszczególnych produktów</w:t>
            </w:r>
            <w:r w:rsidR="00971584" w:rsidRPr="00971584">
              <w:rPr>
                <w:noProof/>
              </w:rPr>
              <w:t xml:space="preserve"> i prz</w:t>
            </w:r>
            <w:r w:rsidRPr="00971584">
              <w:rPr>
                <w:noProof/>
              </w:rPr>
              <w:t xml:space="preserve">episami horyzontalnymi; 2) </w:t>
            </w:r>
            <w:r w:rsidRPr="00971584">
              <w:rPr>
                <w:b/>
                <w:noProof/>
              </w:rPr>
              <w:t>konsumenci</w:t>
            </w:r>
            <w:r w:rsidRPr="00971584">
              <w:rPr>
                <w:noProof/>
              </w:rPr>
              <w:t xml:space="preserve"> korzystający</w:t>
            </w:r>
            <w:r w:rsidR="00971584" w:rsidRPr="00971584">
              <w:rPr>
                <w:noProof/>
              </w:rPr>
              <w:t xml:space="preserve"> z usł</w:t>
            </w:r>
            <w:r w:rsidRPr="00971584">
              <w:rPr>
                <w:noProof/>
              </w:rPr>
              <w:t xml:space="preserve">ug finansowych za pośrednictwem środków porozumiewania się na odległość </w:t>
            </w:r>
            <w:r w:rsidRPr="00971584">
              <w:rPr>
                <w:b/>
                <w:noProof/>
              </w:rPr>
              <w:t>nie są wystarczająco chronieni i są narażeni na szkody</w:t>
            </w:r>
            <w:r w:rsidRPr="00971584">
              <w:rPr>
                <w:noProof/>
              </w:rPr>
              <w:t xml:space="preserve"> (ograniczona wiedza konsumentów</w:t>
            </w:r>
            <w:r w:rsidR="00971584" w:rsidRPr="00971584">
              <w:rPr>
                <w:noProof/>
              </w:rPr>
              <w:t xml:space="preserve"> o klu</w:t>
            </w:r>
            <w:r w:rsidRPr="00971584">
              <w:rPr>
                <w:noProof/>
              </w:rPr>
              <w:t>czowych elementach</w:t>
            </w:r>
            <w:r w:rsidR="00971584" w:rsidRPr="00971584">
              <w:rPr>
                <w:noProof/>
              </w:rPr>
              <w:t xml:space="preserve"> i kos</w:t>
            </w:r>
            <w:r w:rsidRPr="00971584">
              <w:rPr>
                <w:noProof/>
              </w:rPr>
              <w:t>ztach niektórych usług finansowych, nieoptymalne korzystanie</w:t>
            </w:r>
            <w:r w:rsidR="00971584" w:rsidRPr="00971584">
              <w:rPr>
                <w:noProof/>
              </w:rPr>
              <w:t xml:space="preserve"> z pra</w:t>
            </w:r>
            <w:r w:rsidRPr="00971584">
              <w:rPr>
                <w:noProof/>
              </w:rPr>
              <w:t xml:space="preserve">wa do odstąpienia od umowy, nowe praktyki rynkowe wykorzystujące wzorce zachowań konsumentów) oraz 3) </w:t>
            </w:r>
            <w:r w:rsidRPr="00971584">
              <w:rPr>
                <w:b/>
                <w:noProof/>
              </w:rPr>
              <w:t>nie osiągnięto</w:t>
            </w:r>
            <w:r w:rsidR="00971584" w:rsidRPr="00971584">
              <w:rPr>
                <w:b/>
                <w:noProof/>
              </w:rPr>
              <w:t xml:space="preserve"> w peł</w:t>
            </w:r>
            <w:r w:rsidRPr="00971584">
              <w:rPr>
                <w:b/>
                <w:noProof/>
              </w:rPr>
              <w:t>ni</w:t>
            </w:r>
            <w:r w:rsidRPr="00971584">
              <w:rPr>
                <w:noProof/>
              </w:rPr>
              <w:t xml:space="preserve"> </w:t>
            </w:r>
            <w:r w:rsidRPr="00971584">
              <w:rPr>
                <w:b/>
                <w:noProof/>
              </w:rPr>
              <w:t>konkurencyjności jednolitego rynku</w:t>
            </w:r>
            <w:r w:rsidRPr="00971584">
              <w:rPr>
                <w:noProof/>
              </w:rPr>
              <w:t xml:space="preserve"> usług finansowych sprzedawanych za pośrednictwem środków porozumiewania się na odległość. </w:t>
            </w:r>
          </w:p>
          <w:p w14:paraId="4900F3D8" w14:textId="30843382" w:rsidR="0048048C" w:rsidRPr="00971584" w:rsidRDefault="009620A8" w:rsidP="00B3142D">
            <w:pPr>
              <w:spacing w:after="120"/>
              <w:rPr>
                <w:noProof/>
              </w:rPr>
            </w:pPr>
            <w:r w:rsidRPr="00971584">
              <w:rPr>
                <w:noProof/>
              </w:rPr>
              <w:t xml:space="preserve">Przyczyny tych problemów są następujące: </w:t>
            </w:r>
            <w:r w:rsidRPr="00971584">
              <w:rPr>
                <w:b/>
                <w:noProof/>
              </w:rPr>
              <w:t>ramy regulacyjne, które nie</w:t>
            </w:r>
            <w:r w:rsidRPr="00971584">
              <w:rPr>
                <w:noProof/>
              </w:rPr>
              <w:t xml:space="preserve"> zapewniają pewności prawa; </w:t>
            </w:r>
            <w:r w:rsidRPr="00971584">
              <w:rPr>
                <w:b/>
                <w:noProof/>
              </w:rPr>
              <w:t>błędy poznawcze</w:t>
            </w:r>
            <w:r w:rsidRPr="00971584">
              <w:rPr>
                <w:noProof/>
              </w:rPr>
              <w:t xml:space="preserve">, które są wykorzystywane przez dostawców usług finansowych oraz </w:t>
            </w:r>
            <w:r w:rsidRPr="00971584">
              <w:rPr>
                <w:b/>
                <w:noProof/>
              </w:rPr>
              <w:t>bariery</w:t>
            </w:r>
            <w:r w:rsidRPr="00971584">
              <w:rPr>
                <w:noProof/>
              </w:rPr>
              <w:t xml:space="preserve"> utrudniające potencjalny rozwój</w:t>
            </w:r>
            <w:r w:rsidR="00971584" w:rsidRPr="00971584">
              <w:rPr>
                <w:noProof/>
              </w:rPr>
              <w:t xml:space="preserve"> w zak</w:t>
            </w:r>
            <w:r w:rsidRPr="00971584">
              <w:rPr>
                <w:noProof/>
              </w:rPr>
              <w:t>resie oferowania produktów finansowych</w:t>
            </w:r>
            <w:r w:rsidR="00971584" w:rsidRPr="00971584">
              <w:rPr>
                <w:noProof/>
              </w:rPr>
              <w:t xml:space="preserve"> </w:t>
            </w:r>
            <w:r w:rsidR="00971584" w:rsidRPr="00971584">
              <w:rPr>
                <w:b/>
                <w:noProof/>
              </w:rPr>
              <w:t>w</w:t>
            </w:r>
            <w:r w:rsidR="00971584" w:rsidRPr="00971584">
              <w:rPr>
                <w:noProof/>
              </w:rPr>
              <w:t> </w:t>
            </w:r>
            <w:r w:rsidR="00971584" w:rsidRPr="00971584">
              <w:rPr>
                <w:b/>
                <w:noProof/>
              </w:rPr>
              <w:t>wym</w:t>
            </w:r>
            <w:r w:rsidRPr="00971584">
              <w:rPr>
                <w:b/>
                <w:noProof/>
              </w:rPr>
              <w:t>iarze transgranicznym</w:t>
            </w:r>
            <w:r w:rsidRPr="00971584">
              <w:rPr>
                <w:noProof/>
              </w:rPr>
              <w:t xml:space="preserve">. </w:t>
            </w:r>
            <w:r w:rsidRPr="00971584">
              <w:rPr>
                <w:b/>
                <w:noProof/>
              </w:rPr>
              <w:t>Konsekwencje</w:t>
            </w:r>
            <w:r w:rsidRPr="00971584">
              <w:rPr>
                <w:noProof/>
              </w:rPr>
              <w:t xml:space="preserve"> tych problemów dla </w:t>
            </w:r>
            <w:r w:rsidRPr="00971584">
              <w:rPr>
                <w:b/>
                <w:noProof/>
              </w:rPr>
              <w:t>konsumentów</w:t>
            </w:r>
            <w:r w:rsidRPr="00971584">
              <w:rPr>
                <w:noProof/>
              </w:rPr>
              <w:t xml:space="preserve"> są następujące: szkody ponoszone przez konsumentów, jeśli kupią niezadowalający produkt; brak wystarczającego zaufania jako podstawy do korzystania</w:t>
            </w:r>
            <w:r w:rsidR="00971584" w:rsidRPr="00971584">
              <w:rPr>
                <w:noProof/>
              </w:rPr>
              <w:t xml:space="preserve"> z usł</w:t>
            </w:r>
            <w:r w:rsidRPr="00971584">
              <w:rPr>
                <w:noProof/>
              </w:rPr>
              <w:t>ug finansowych, zarówno</w:t>
            </w:r>
            <w:r w:rsidR="00971584" w:rsidRPr="00971584">
              <w:rPr>
                <w:noProof/>
              </w:rPr>
              <w:t xml:space="preserve"> w kra</w:t>
            </w:r>
            <w:r w:rsidRPr="00971584">
              <w:rPr>
                <w:noProof/>
              </w:rPr>
              <w:t>ju pochodzenia konsumenta w UE, jak i za granicą oraz wynikający</w:t>
            </w:r>
            <w:r w:rsidR="00971584" w:rsidRPr="00971584">
              <w:rPr>
                <w:noProof/>
              </w:rPr>
              <w:t xml:space="preserve"> z teg</w:t>
            </w:r>
            <w:r w:rsidRPr="00971584">
              <w:rPr>
                <w:noProof/>
              </w:rPr>
              <w:t xml:space="preserve">o spadek dobrobytu. </w:t>
            </w:r>
            <w:r w:rsidRPr="00971584">
              <w:rPr>
                <w:b/>
                <w:noProof/>
              </w:rPr>
              <w:t>Konsekwencje</w:t>
            </w:r>
            <w:r w:rsidRPr="00971584">
              <w:rPr>
                <w:noProof/>
              </w:rPr>
              <w:t xml:space="preserve"> dla </w:t>
            </w:r>
            <w:r w:rsidRPr="00971584">
              <w:rPr>
                <w:b/>
                <w:noProof/>
              </w:rPr>
              <w:t>przedsiębiorstw</w:t>
            </w:r>
            <w:r w:rsidRPr="00971584">
              <w:rPr>
                <w:noProof/>
              </w:rPr>
              <w:t xml:space="preserve"> są następujące: nierówne warunki działania; dodatkowe koszty przestrzegania przepisów</w:t>
            </w:r>
            <w:r w:rsidR="00971584" w:rsidRPr="00971584">
              <w:rPr>
                <w:noProof/>
              </w:rPr>
              <w:t xml:space="preserve"> i spa</w:t>
            </w:r>
            <w:r w:rsidRPr="00971584">
              <w:rPr>
                <w:noProof/>
              </w:rPr>
              <w:t>dek dobrobytu</w:t>
            </w:r>
            <w:r w:rsidR="00971584" w:rsidRPr="00971584">
              <w:rPr>
                <w:noProof/>
              </w:rPr>
              <w:t xml:space="preserve"> z pow</w:t>
            </w:r>
            <w:r w:rsidRPr="00971584">
              <w:rPr>
                <w:noProof/>
              </w:rPr>
              <w:t xml:space="preserve">odu niewykorzystania potencjału jednolitego rynku. </w:t>
            </w:r>
            <w:r w:rsidRPr="00971584">
              <w:rPr>
                <w:b/>
                <w:noProof/>
              </w:rPr>
              <w:t>Jeśli nie zostaną podjęte żadne działania</w:t>
            </w:r>
            <w:r w:rsidRPr="00971584">
              <w:rPr>
                <w:noProof/>
              </w:rPr>
              <w:t>, taki stan rzeczy będzie się utrzymywał.</w:t>
            </w:r>
          </w:p>
        </w:tc>
      </w:tr>
      <w:tr w:rsidR="007D4F0A" w:rsidRPr="00971584" w14:paraId="5925BA15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05884E05" w14:textId="77777777" w:rsidR="007D4F0A" w:rsidRPr="00971584" w:rsidRDefault="007D4F0A" w:rsidP="00D47DCA">
            <w:pPr>
              <w:rPr>
                <w:noProof/>
              </w:rPr>
            </w:pPr>
            <w:r w:rsidRPr="00971584">
              <w:rPr>
                <w:b/>
                <w:noProof/>
              </w:rPr>
              <w:t>Co należy osiągnąć?</w:t>
            </w:r>
          </w:p>
        </w:tc>
      </w:tr>
      <w:tr w:rsidR="007D4F0A" w:rsidRPr="00971584" w14:paraId="6E3AFFF4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17608E2D" w14:textId="34F0F3B6" w:rsidR="007D4F0A" w:rsidRPr="00971584" w:rsidRDefault="00A45471" w:rsidP="00B3142D">
            <w:pPr>
              <w:rPr>
                <w:noProof/>
              </w:rPr>
            </w:pPr>
            <w:r w:rsidRPr="00971584">
              <w:rPr>
                <w:noProof/>
              </w:rPr>
              <w:t xml:space="preserve">Ogólne cele przeglądu dyrektywy są następujące: 1) </w:t>
            </w:r>
            <w:r w:rsidRPr="00971584">
              <w:rPr>
                <w:b/>
                <w:noProof/>
              </w:rPr>
              <w:t>uproszczenie ram prawnych</w:t>
            </w:r>
            <w:r w:rsidRPr="00971584">
              <w:rPr>
                <w:noProof/>
              </w:rPr>
              <w:t xml:space="preserve"> oraz zapewnienie większej przejrzystości dla wszystkich zainteresowanych stron</w:t>
            </w:r>
            <w:r w:rsidR="00971584" w:rsidRPr="00971584">
              <w:rPr>
                <w:noProof/>
              </w:rPr>
              <w:t xml:space="preserve"> i wys</w:t>
            </w:r>
            <w:r w:rsidRPr="00971584">
              <w:rPr>
                <w:noProof/>
              </w:rPr>
              <w:t xml:space="preserve">okiego poziomu ochrony konsumentów; 2) </w:t>
            </w:r>
            <w:r w:rsidRPr="00971584">
              <w:rPr>
                <w:b/>
                <w:noProof/>
              </w:rPr>
              <w:t>ograniczenie szkód oraz zapewnienie wysokiego</w:t>
            </w:r>
            <w:r w:rsidR="00971584" w:rsidRPr="00971584">
              <w:rPr>
                <w:b/>
                <w:noProof/>
              </w:rPr>
              <w:t xml:space="preserve"> i spó</w:t>
            </w:r>
            <w:r w:rsidRPr="00971584">
              <w:rPr>
                <w:b/>
                <w:noProof/>
              </w:rPr>
              <w:t>jnego poziomu ochrony</w:t>
            </w:r>
            <w:r w:rsidRPr="00971584">
              <w:rPr>
                <w:noProof/>
              </w:rPr>
              <w:t xml:space="preserve"> konsumentów nabywających usługi finansowe na odległość oraz 3) </w:t>
            </w:r>
            <w:r w:rsidRPr="00971584">
              <w:rPr>
                <w:b/>
                <w:noProof/>
              </w:rPr>
              <w:t>ułatwienie transgranicznego świadczenia</w:t>
            </w:r>
            <w:r w:rsidRPr="00971584">
              <w:rPr>
                <w:noProof/>
              </w:rPr>
              <w:t xml:space="preserve"> usług finansowych</w:t>
            </w:r>
            <w:r w:rsidR="00971584" w:rsidRPr="00971584">
              <w:rPr>
                <w:noProof/>
              </w:rPr>
              <w:t xml:space="preserve"> i kon</w:t>
            </w:r>
            <w:r w:rsidRPr="00971584">
              <w:rPr>
                <w:noProof/>
              </w:rPr>
              <w:t>kurencyjności na jednolitym rynku. Jest to zgodne</w:t>
            </w:r>
            <w:r w:rsidR="00971584" w:rsidRPr="00971584">
              <w:rPr>
                <w:noProof/>
              </w:rPr>
              <w:t xml:space="preserve"> z pie</w:t>
            </w:r>
            <w:r w:rsidRPr="00971584">
              <w:rPr>
                <w:noProof/>
              </w:rPr>
              <w:t>rwotnymi celami dyrektywy.</w:t>
            </w:r>
          </w:p>
        </w:tc>
      </w:tr>
      <w:tr w:rsidR="007D4F0A" w:rsidRPr="00971584" w14:paraId="31800A19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687A28E7" w14:textId="1FE1CE47" w:rsidR="007D4F0A" w:rsidRPr="00971584" w:rsidRDefault="007D4F0A" w:rsidP="00B3142D">
            <w:pPr>
              <w:rPr>
                <w:noProof/>
              </w:rPr>
            </w:pPr>
            <w:r w:rsidRPr="00971584">
              <w:rPr>
                <w:b/>
                <w:noProof/>
              </w:rPr>
              <w:t>Na czym polega wartość dodana podjęcia działań na poziomie UE (zasada pomocniczości)?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40D9AB1B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1810354E" w14:textId="3F41AE64" w:rsidR="007D4F0A" w:rsidRPr="00971584" w:rsidRDefault="008E640D" w:rsidP="008E640D">
            <w:pPr>
              <w:rPr>
                <w:noProof/>
              </w:rPr>
            </w:pPr>
            <w:r w:rsidRPr="00971584">
              <w:rPr>
                <w:noProof/>
              </w:rPr>
              <w:t xml:space="preserve">Dzięki zmianom powstaną </w:t>
            </w:r>
            <w:r w:rsidRPr="00971584">
              <w:rPr>
                <w:b/>
                <w:noProof/>
              </w:rPr>
              <w:t>bardziej przejrzyste ramy legislacyjne</w:t>
            </w:r>
            <w:r w:rsidRPr="00971584">
              <w:rPr>
                <w:noProof/>
              </w:rPr>
              <w:t xml:space="preserve">, które zapewnią </w:t>
            </w:r>
            <w:r w:rsidRPr="00971584">
              <w:rPr>
                <w:b/>
                <w:noProof/>
              </w:rPr>
              <w:t>pewność prawa</w:t>
            </w:r>
            <w:r w:rsidRPr="00971584">
              <w:rPr>
                <w:noProof/>
              </w:rPr>
              <w:t>, przy jednoczesnym zachowaniu funkcji „siatki bezpieczeństwa”. Zapewnienie horyzontalnych praw konsumentów obejmujących zarówno obecne usługi finansowe, jak</w:t>
            </w:r>
            <w:r w:rsidR="00971584" w:rsidRPr="00971584">
              <w:rPr>
                <w:noProof/>
              </w:rPr>
              <w:t xml:space="preserve"> i usł</w:t>
            </w:r>
            <w:r w:rsidRPr="00971584">
              <w:rPr>
                <w:noProof/>
              </w:rPr>
              <w:t>ugi, które</w:t>
            </w:r>
            <w:r w:rsidR="00971584" w:rsidRPr="00971584">
              <w:rPr>
                <w:noProof/>
              </w:rPr>
              <w:t xml:space="preserve"> w prz</w:t>
            </w:r>
            <w:r w:rsidRPr="00971584">
              <w:rPr>
                <w:noProof/>
              </w:rPr>
              <w:t>yszłości pojawią się na rynku, jest możliwe tylko na szczeblu UE.</w:t>
            </w:r>
          </w:p>
        </w:tc>
      </w:tr>
      <w:tr w:rsidR="007D4F0A" w:rsidRPr="00971584" w14:paraId="25AF4301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CCCCCC"/>
          </w:tcPr>
          <w:p w14:paraId="7986065E" w14:textId="77777777" w:rsidR="007D4F0A" w:rsidRPr="00971584" w:rsidRDefault="007D4F0A" w:rsidP="00D47DCA">
            <w:pPr>
              <w:rPr>
                <w:b/>
                <w:noProof/>
              </w:rPr>
            </w:pPr>
            <w:r w:rsidRPr="00971584">
              <w:rPr>
                <w:b/>
                <w:noProof/>
              </w:rPr>
              <w:t>B. Rozwiązania</w:t>
            </w:r>
          </w:p>
        </w:tc>
      </w:tr>
      <w:tr w:rsidR="007D4F0A" w:rsidRPr="00971584" w14:paraId="521D1760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4FAA44C5" w14:textId="5CA53627" w:rsidR="007D4F0A" w:rsidRPr="00971584" w:rsidRDefault="007D4F0A" w:rsidP="00B3142D">
            <w:pPr>
              <w:rPr>
                <w:noProof/>
              </w:rPr>
            </w:pPr>
            <w:r w:rsidRPr="00971584">
              <w:rPr>
                <w:b/>
                <w:noProof/>
              </w:rPr>
              <w:t>Jakie są różne warianty działań służących osiągnięciu celów?</w:t>
            </w:r>
            <w:r w:rsidRPr="00971584">
              <w:rPr>
                <w:noProof/>
              </w:rPr>
              <w:t xml:space="preserve"> </w:t>
            </w:r>
            <w:r w:rsidRPr="00971584">
              <w:rPr>
                <w:b/>
                <w:noProof/>
              </w:rPr>
              <w:t>Czy wskazano preferowany wariant? Jeżeli nie, dlaczego?</w:t>
            </w:r>
          </w:p>
        </w:tc>
      </w:tr>
      <w:tr w:rsidR="007D4F0A" w:rsidRPr="00971584" w14:paraId="1D287DBD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4116A799" w14:textId="0A9279FC" w:rsidR="00A45471" w:rsidRPr="00971584" w:rsidRDefault="00A45471" w:rsidP="00BE754B">
            <w:pPr>
              <w:spacing w:after="120"/>
              <w:rPr>
                <w:noProof/>
              </w:rPr>
            </w:pPr>
            <w:r w:rsidRPr="00971584">
              <w:rPr>
                <w:noProof/>
              </w:rPr>
              <w:t xml:space="preserve">Oceniono następujące warianty: </w:t>
            </w:r>
            <w:r w:rsidRPr="00971584">
              <w:rPr>
                <w:b/>
                <w:noProof/>
              </w:rPr>
              <w:t>wariant 0</w:t>
            </w:r>
            <w:r w:rsidRPr="00971584">
              <w:rPr>
                <w:noProof/>
              </w:rPr>
              <w:t>: scenariusz zakładający brak zmian</w:t>
            </w:r>
            <w:r w:rsidR="00971584" w:rsidRPr="00971584">
              <w:rPr>
                <w:noProof/>
              </w:rPr>
              <w:t xml:space="preserve"> w pol</w:t>
            </w:r>
            <w:r w:rsidRPr="00971584">
              <w:rPr>
                <w:noProof/>
              </w:rPr>
              <w:t xml:space="preserve">ityce; </w:t>
            </w:r>
            <w:r w:rsidRPr="00971584">
              <w:rPr>
                <w:b/>
                <w:noProof/>
              </w:rPr>
              <w:t>wariant 1</w:t>
            </w:r>
            <w:r w:rsidRPr="00971584">
              <w:rPr>
                <w:noProof/>
              </w:rPr>
              <w:t>: uchylenie dyrektywy</w:t>
            </w:r>
            <w:r w:rsidR="00971584" w:rsidRPr="00971584">
              <w:rPr>
                <w:noProof/>
              </w:rPr>
              <w:t xml:space="preserve"> i wpr</w:t>
            </w:r>
            <w:r w:rsidRPr="00971584">
              <w:rPr>
                <w:noProof/>
              </w:rPr>
              <w:t xml:space="preserve">owadzenie środków nieregulacyjnych; </w:t>
            </w:r>
            <w:r w:rsidRPr="00971584">
              <w:rPr>
                <w:b/>
                <w:noProof/>
              </w:rPr>
              <w:t xml:space="preserve">wariant 2: </w:t>
            </w:r>
            <w:r w:rsidRPr="00971584">
              <w:rPr>
                <w:noProof/>
              </w:rPr>
              <w:t xml:space="preserve">kompleksowy przegląd; </w:t>
            </w:r>
            <w:r w:rsidRPr="00971584">
              <w:rPr>
                <w:b/>
                <w:noProof/>
              </w:rPr>
              <w:t>wariant 3a</w:t>
            </w:r>
            <w:r w:rsidRPr="00971584">
              <w:rPr>
                <w:noProof/>
              </w:rPr>
              <w:t>:</w:t>
            </w:r>
            <w:r w:rsidR="00971584" w:rsidRPr="00971584">
              <w:rPr>
                <w:noProof/>
              </w:rPr>
              <w:t xml:space="preserve"> </w:t>
            </w:r>
            <w:r w:rsidRPr="00971584">
              <w:rPr>
                <w:noProof/>
              </w:rPr>
              <w:t xml:space="preserve">wprowadzenie odpowiednich przepisów do prawodawstwa horyzontalnego oraz </w:t>
            </w:r>
            <w:r w:rsidRPr="00971584">
              <w:rPr>
                <w:b/>
                <w:noProof/>
              </w:rPr>
              <w:t>wariant 3b</w:t>
            </w:r>
            <w:r w:rsidRPr="00971584">
              <w:rPr>
                <w:noProof/>
              </w:rPr>
              <w:t xml:space="preserve">: wprowadzenie odpowiednich przepisów do prawodawstwa dotyczącego poszczególnych produktów. Po przeprowadzeniu oceny skutków za wariant preferowany uznano </w:t>
            </w:r>
            <w:r w:rsidRPr="00971584">
              <w:rPr>
                <w:b/>
                <w:noProof/>
              </w:rPr>
              <w:t>wariant 3a: uchylenie, unowocześnienie odpowiednich praw</w:t>
            </w:r>
            <w:r w:rsidR="00971584" w:rsidRPr="00971584">
              <w:rPr>
                <w:b/>
                <w:noProof/>
              </w:rPr>
              <w:t xml:space="preserve"> i włą</w:t>
            </w:r>
            <w:r w:rsidRPr="00971584">
              <w:rPr>
                <w:b/>
                <w:noProof/>
              </w:rPr>
              <w:t>czenie do prawodawstwa horyzontalnego</w:t>
            </w:r>
            <w:r w:rsidRPr="00971584">
              <w:rPr>
                <w:noProof/>
              </w:rPr>
              <w:t>,</w:t>
            </w:r>
            <w:r w:rsidR="00971584" w:rsidRPr="00971584">
              <w:rPr>
                <w:b/>
                <w:noProof/>
              </w:rPr>
              <w:t xml:space="preserve"> </w:t>
            </w:r>
            <w:r w:rsidR="00971584" w:rsidRPr="00971584">
              <w:rPr>
                <w:noProof/>
              </w:rPr>
              <w:t>a</w:t>
            </w:r>
            <w:r w:rsidR="00971584" w:rsidRPr="00971584">
              <w:rPr>
                <w:b/>
                <w:noProof/>
              </w:rPr>
              <w:t> </w:t>
            </w:r>
            <w:r w:rsidR="00971584" w:rsidRPr="00971584">
              <w:rPr>
                <w:noProof/>
              </w:rPr>
              <w:t>mia</w:t>
            </w:r>
            <w:r w:rsidRPr="00971584">
              <w:rPr>
                <w:noProof/>
              </w:rPr>
              <w:t>nowicie dyrektywy 2011/83/UE</w:t>
            </w:r>
            <w:r w:rsidR="00971584" w:rsidRPr="00971584">
              <w:rPr>
                <w:noProof/>
              </w:rPr>
              <w:t xml:space="preserve"> w spr</w:t>
            </w:r>
            <w:r w:rsidRPr="00971584">
              <w:rPr>
                <w:noProof/>
              </w:rPr>
              <w:t>awie praw konsumentów (dyrektywa</w:t>
            </w:r>
            <w:r w:rsidR="00971584" w:rsidRPr="00971584">
              <w:rPr>
                <w:noProof/>
              </w:rPr>
              <w:t xml:space="preserve"> w spr</w:t>
            </w:r>
            <w:r w:rsidRPr="00971584">
              <w:rPr>
                <w:noProof/>
              </w:rPr>
              <w:t>awie praw konsumentów).</w:t>
            </w:r>
          </w:p>
        </w:tc>
      </w:tr>
      <w:tr w:rsidR="007D4F0A" w:rsidRPr="00971584" w14:paraId="1D2C952A" w14:textId="77777777" w:rsidTr="00162C3A">
        <w:tc>
          <w:tcPr>
            <w:tcW w:w="10916" w:type="dxa"/>
            <w:shd w:val="clear" w:color="auto" w:fill="CCCCCC"/>
          </w:tcPr>
          <w:p w14:paraId="356C7761" w14:textId="74D8690F" w:rsidR="007D4F0A" w:rsidRPr="00971584" w:rsidRDefault="007D4F0A" w:rsidP="00D47DCA">
            <w:pPr>
              <w:rPr>
                <w:noProof/>
              </w:rPr>
            </w:pPr>
            <w:r w:rsidRPr="00971584">
              <w:rPr>
                <w:b/>
                <w:noProof/>
              </w:rPr>
              <w:t xml:space="preserve">Jakie są opinie poszczególnych zainteresowanych stron? Jak kształtuje się poparcie dla poszczególnych wariantów? </w:t>
            </w:r>
          </w:p>
        </w:tc>
      </w:tr>
      <w:tr w:rsidR="007D4F0A" w:rsidRPr="00971584" w14:paraId="40C23597" w14:textId="77777777" w:rsidTr="00162C3A">
        <w:tc>
          <w:tcPr>
            <w:tcW w:w="10916" w:type="dxa"/>
            <w:shd w:val="clear" w:color="auto" w:fill="auto"/>
          </w:tcPr>
          <w:p w14:paraId="52632654" w14:textId="733B3862" w:rsidR="007D1E25" w:rsidRPr="00971584" w:rsidRDefault="007D1E25" w:rsidP="00B3142D">
            <w:pPr>
              <w:rPr>
                <w:rFonts w:eastAsiaTheme="minorHAnsi"/>
                <w:noProof/>
                <w:szCs w:val="24"/>
              </w:rPr>
            </w:pPr>
            <w:r w:rsidRPr="00971584">
              <w:rPr>
                <w:b/>
                <w:noProof/>
                <w:szCs w:val="24"/>
              </w:rPr>
              <w:t>Organizacje konsumenckie</w:t>
            </w:r>
            <w:r w:rsidRPr="00971584">
              <w:rPr>
                <w:noProof/>
              </w:rPr>
              <w:t xml:space="preserve"> skłaniają się ku kompleksowemu przeglądowi dyrektywy (wariant 2), ale mogą zaakceptować jej uchylenie</w:t>
            </w:r>
            <w:r w:rsidR="00971584" w:rsidRPr="00971584">
              <w:rPr>
                <w:noProof/>
              </w:rPr>
              <w:t xml:space="preserve"> i włą</w:t>
            </w:r>
            <w:r w:rsidRPr="00971584">
              <w:rPr>
                <w:noProof/>
              </w:rPr>
              <w:t xml:space="preserve">czenie odpowiednich przepisów dyrektywy do prawodawstwa horyzontalnego (wariant 3a). </w:t>
            </w:r>
            <w:r w:rsidRPr="00971584">
              <w:rPr>
                <w:b/>
                <w:noProof/>
                <w:szCs w:val="24"/>
              </w:rPr>
              <w:t>Dostawcy usług finansowych</w:t>
            </w:r>
            <w:r w:rsidR="00971584" w:rsidRPr="00971584">
              <w:rPr>
                <w:noProof/>
              </w:rPr>
              <w:t xml:space="preserve"> i </w:t>
            </w:r>
            <w:r w:rsidR="00971584" w:rsidRPr="00971584">
              <w:rPr>
                <w:b/>
                <w:noProof/>
                <w:szCs w:val="24"/>
              </w:rPr>
              <w:t>sto</w:t>
            </w:r>
            <w:r w:rsidRPr="00971584">
              <w:rPr>
                <w:b/>
                <w:noProof/>
                <w:szCs w:val="24"/>
              </w:rPr>
              <w:t>warzyszenia przedsiębiorców</w:t>
            </w:r>
            <w:r w:rsidRPr="00971584">
              <w:rPr>
                <w:noProof/>
              </w:rPr>
              <w:t xml:space="preserve"> preferują scenariusz podstawowy lub wariant 3b (włączenie praw konsumentów do przepisów dotyczących poszczególnych produktów). </w:t>
            </w:r>
            <w:r w:rsidRPr="00971584">
              <w:rPr>
                <w:b/>
                <w:noProof/>
                <w:szCs w:val="24"/>
              </w:rPr>
              <w:t>Organy publiczne</w:t>
            </w:r>
            <w:r w:rsidRPr="00971584">
              <w:rPr>
                <w:noProof/>
              </w:rPr>
              <w:t xml:space="preserve"> uważają, że najlepszym wariantem jest włączenie części dyrektywy do prawodawstwa horyzontalnego (wariant 3a).</w:t>
            </w:r>
          </w:p>
        </w:tc>
      </w:tr>
      <w:tr w:rsidR="007D4F0A" w:rsidRPr="00971584" w14:paraId="7D174C1D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CCCCCC"/>
          </w:tcPr>
          <w:p w14:paraId="758EA9DC" w14:textId="77777777" w:rsidR="007D4F0A" w:rsidRPr="00971584" w:rsidRDefault="007D4F0A" w:rsidP="00D47DCA">
            <w:pPr>
              <w:rPr>
                <w:b/>
                <w:noProof/>
              </w:rPr>
            </w:pPr>
            <w:r w:rsidRPr="00971584">
              <w:rPr>
                <w:b/>
                <w:noProof/>
              </w:rPr>
              <w:t>C. Skutki wdrożenia preferowanego wariantu</w:t>
            </w:r>
          </w:p>
        </w:tc>
      </w:tr>
      <w:tr w:rsidR="007D4F0A" w:rsidRPr="00971584" w14:paraId="1F5D65E5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01CFE3A8" w14:textId="630CBCA3" w:rsidR="007D4F0A" w:rsidRPr="00971584" w:rsidRDefault="007D4F0A" w:rsidP="00B3142D">
            <w:pPr>
              <w:rPr>
                <w:noProof/>
              </w:rPr>
            </w:pPr>
            <w:r w:rsidRPr="00971584">
              <w:rPr>
                <w:b/>
                <w:noProof/>
              </w:rPr>
              <w:t>Jakie korzyści</w:t>
            </w:r>
            <w:r w:rsidRPr="00971584">
              <w:rPr>
                <w:noProof/>
              </w:rPr>
              <w:t xml:space="preserve"> </w:t>
            </w:r>
            <w:r w:rsidRPr="00971584">
              <w:rPr>
                <w:b/>
                <w:noProof/>
              </w:rPr>
              <w:t>przyniesie wdrożenie preferowanego wariantu lub – jeśli go nie wskazano – głównych wariantów?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1432205F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5D1ACF12" w14:textId="4B0ACEDF" w:rsidR="00337449" w:rsidRPr="00971584" w:rsidRDefault="000779D0" w:rsidP="001837CF">
            <w:pPr>
              <w:spacing w:after="0"/>
              <w:rPr>
                <w:noProof/>
              </w:rPr>
            </w:pPr>
            <w:r w:rsidRPr="00971584">
              <w:rPr>
                <w:noProof/>
              </w:rPr>
              <w:t xml:space="preserve">Wariant preferowany jest </w:t>
            </w:r>
            <w:r w:rsidRPr="00971584">
              <w:rPr>
                <w:b/>
                <w:noProof/>
              </w:rPr>
              <w:t>skutecznym</w:t>
            </w:r>
            <w:r w:rsidRPr="00971584">
              <w:rPr>
                <w:noProof/>
              </w:rPr>
              <w:t xml:space="preserve"> sposobem osiągnięcia celów szczegółowych,</w:t>
            </w:r>
            <w:r w:rsidR="00971584" w:rsidRPr="00971584">
              <w:rPr>
                <w:noProof/>
              </w:rPr>
              <w:t xml:space="preserve"> a tak</w:t>
            </w:r>
            <w:r w:rsidRPr="00971584">
              <w:rPr>
                <w:noProof/>
              </w:rPr>
              <w:t xml:space="preserve">że jest </w:t>
            </w:r>
            <w:r w:rsidRPr="00971584">
              <w:rPr>
                <w:b/>
                <w:noProof/>
              </w:rPr>
              <w:t>efektywny</w:t>
            </w:r>
            <w:r w:rsidRPr="00971584">
              <w:rPr>
                <w:noProof/>
              </w:rPr>
              <w:t>,</w:t>
            </w:r>
            <w:r w:rsidR="00971584" w:rsidRPr="00971584">
              <w:rPr>
                <w:noProof/>
              </w:rPr>
              <w:t xml:space="preserve"> w szc</w:t>
            </w:r>
            <w:r w:rsidRPr="00971584">
              <w:rPr>
                <w:noProof/>
              </w:rPr>
              <w:t>zególności</w:t>
            </w:r>
            <w:r w:rsidR="00971584" w:rsidRPr="00971584">
              <w:rPr>
                <w:noProof/>
              </w:rPr>
              <w:t xml:space="preserve"> w odn</w:t>
            </w:r>
            <w:r w:rsidRPr="00971584">
              <w:rPr>
                <w:noProof/>
              </w:rPr>
              <w:t>iesieniu do konsumentów,</w:t>
            </w:r>
            <w:r w:rsidR="00971584" w:rsidRPr="00971584">
              <w:rPr>
                <w:noProof/>
              </w:rPr>
              <w:t xml:space="preserve"> i zap</w:t>
            </w:r>
            <w:r w:rsidRPr="00971584">
              <w:rPr>
                <w:noProof/>
              </w:rPr>
              <w:t xml:space="preserve">ewnia wysoki poziom </w:t>
            </w:r>
            <w:r w:rsidRPr="00971584">
              <w:rPr>
                <w:b/>
                <w:noProof/>
              </w:rPr>
              <w:t>spójności</w:t>
            </w:r>
            <w:r w:rsidRPr="00971584">
              <w:rPr>
                <w:noProof/>
              </w:rPr>
              <w:t xml:space="preserve">. Oczekuje się, że wariant ten będzie miał ogólnie pozytywny wpływ na </w:t>
            </w:r>
            <w:r w:rsidRPr="00971584">
              <w:rPr>
                <w:b/>
                <w:noProof/>
              </w:rPr>
              <w:t>zaufanie konsumentów</w:t>
            </w:r>
            <w:r w:rsidRPr="00971584">
              <w:rPr>
                <w:noProof/>
              </w:rPr>
              <w:t xml:space="preserve"> dzięki wprowadzeniu nowych przepisów dotyczących tego,</w:t>
            </w:r>
            <w:r w:rsidR="00971584" w:rsidRPr="00971584">
              <w:rPr>
                <w:noProof/>
              </w:rPr>
              <w:t xml:space="preserve"> w jak</w:t>
            </w:r>
            <w:r w:rsidRPr="00971584">
              <w:rPr>
                <w:noProof/>
              </w:rPr>
              <w:t>i sposób</w:t>
            </w:r>
            <w:r w:rsidR="00971584" w:rsidRPr="00971584">
              <w:rPr>
                <w:noProof/>
              </w:rPr>
              <w:t xml:space="preserve"> i kie</w:t>
            </w:r>
            <w:r w:rsidRPr="00971584">
              <w:rPr>
                <w:noProof/>
              </w:rPr>
              <w:t>dy należy przekazywać konsumentom informacje, oraz dzięki ograniczeniu praktyk wykorzystujących wzorce zachowań, takich jak stosowanie opcji domyślnych. Unowocześnione zostanie także prawo do odstąpienia od umowy poprzez uproszczenie korzystania</w:t>
            </w:r>
            <w:r w:rsidR="00971584" w:rsidRPr="00971584">
              <w:rPr>
                <w:noProof/>
              </w:rPr>
              <w:t xml:space="preserve"> z teg</w:t>
            </w:r>
            <w:r w:rsidRPr="00971584">
              <w:rPr>
                <w:noProof/>
              </w:rPr>
              <w:t xml:space="preserve">o prawa. Wariant ten miałby również pozytywny wpływ na </w:t>
            </w:r>
            <w:r w:rsidRPr="00971584">
              <w:rPr>
                <w:b/>
                <w:noProof/>
              </w:rPr>
              <w:t>ograniczenie szkód ponoszonych przez konsumentów</w:t>
            </w:r>
            <w:r w:rsidRPr="00971584">
              <w:rPr>
                <w:noProof/>
              </w:rPr>
              <w:t xml:space="preserve"> (co najmniej </w:t>
            </w:r>
            <w:r w:rsidRPr="00971584">
              <w:rPr>
                <w:b/>
                <w:noProof/>
              </w:rPr>
              <w:t>170–210 mln EUR</w:t>
            </w:r>
            <w:r w:rsidRPr="00971584">
              <w:rPr>
                <w:noProof/>
              </w:rPr>
              <w:t>).</w:t>
            </w:r>
          </w:p>
          <w:p w14:paraId="6886BDF4" w14:textId="77777777" w:rsidR="007D4F0A" w:rsidRPr="00971584" w:rsidRDefault="007D4F0A" w:rsidP="001837CF">
            <w:pPr>
              <w:spacing w:after="0"/>
              <w:rPr>
                <w:i/>
                <w:noProof/>
              </w:rPr>
            </w:pPr>
          </w:p>
        </w:tc>
      </w:tr>
      <w:tr w:rsidR="007D4F0A" w:rsidRPr="00971584" w14:paraId="309BCCA5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6210911C" w14:textId="5A582AD2" w:rsidR="007D4F0A" w:rsidRPr="00971584" w:rsidRDefault="007D4F0A" w:rsidP="00B3142D">
            <w:pPr>
              <w:rPr>
                <w:noProof/>
              </w:rPr>
            </w:pPr>
            <w:r w:rsidRPr="00971584">
              <w:rPr>
                <w:b/>
                <w:noProof/>
              </w:rPr>
              <w:t>Jakie są koszty wdrożenia preferowanego wariantu lub – jeśli go nie wskazano – głównych wariantów?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6BFD6695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640697E0" w14:textId="3D8F2C64" w:rsidR="00337449" w:rsidRPr="00971584" w:rsidRDefault="00337449" w:rsidP="00B3142D">
            <w:pPr>
              <w:rPr>
                <w:i/>
                <w:noProof/>
              </w:rPr>
            </w:pPr>
            <w:r w:rsidRPr="00971584">
              <w:rPr>
                <w:noProof/>
              </w:rPr>
              <w:t>Przyjęcie preferowanego wariantu wiązałoby się</w:t>
            </w:r>
            <w:r w:rsidR="00971584" w:rsidRPr="00971584">
              <w:rPr>
                <w:noProof/>
              </w:rPr>
              <w:t xml:space="preserve"> z dod</w:t>
            </w:r>
            <w:r w:rsidRPr="00971584">
              <w:rPr>
                <w:noProof/>
              </w:rPr>
              <w:t xml:space="preserve">atkowymi </w:t>
            </w:r>
            <w:r w:rsidRPr="00971584">
              <w:rPr>
                <w:b/>
                <w:noProof/>
              </w:rPr>
              <w:t>jednorazowymi</w:t>
            </w:r>
            <w:r w:rsidR="00971584" w:rsidRPr="00971584">
              <w:rPr>
                <w:b/>
                <w:noProof/>
              </w:rPr>
              <w:t xml:space="preserve"> i sta</w:t>
            </w:r>
            <w:r w:rsidRPr="00971584">
              <w:rPr>
                <w:b/>
                <w:noProof/>
              </w:rPr>
              <w:t>łymi kosztami</w:t>
            </w:r>
            <w:r w:rsidRPr="00971584">
              <w:rPr>
                <w:noProof/>
              </w:rPr>
              <w:t xml:space="preserve"> dla przedsiębiorstw. Wynika to</w:t>
            </w:r>
            <w:r w:rsidR="00971584" w:rsidRPr="00971584">
              <w:rPr>
                <w:noProof/>
              </w:rPr>
              <w:t xml:space="preserve"> z fak</w:t>
            </w:r>
            <w:r w:rsidRPr="00971584">
              <w:rPr>
                <w:noProof/>
              </w:rPr>
              <w:t>tu, że środki przewidziane</w:t>
            </w:r>
            <w:r w:rsidR="00971584" w:rsidRPr="00971584">
              <w:rPr>
                <w:noProof/>
              </w:rPr>
              <w:t xml:space="preserve"> w tym</w:t>
            </w:r>
            <w:r w:rsidRPr="00971584">
              <w:rPr>
                <w:noProof/>
              </w:rPr>
              <w:t xml:space="preserve"> wariancie strategicznym wymagałyby od dostawców usług zapoznania się</w:t>
            </w:r>
            <w:r w:rsidR="00971584" w:rsidRPr="00971584">
              <w:rPr>
                <w:noProof/>
              </w:rPr>
              <w:t xml:space="preserve"> z udo</w:t>
            </w:r>
            <w:r w:rsidRPr="00971584">
              <w:rPr>
                <w:noProof/>
              </w:rPr>
              <w:t>skonaloną dyrektywą</w:t>
            </w:r>
            <w:r w:rsidR="00971584" w:rsidRPr="00971584">
              <w:rPr>
                <w:noProof/>
              </w:rPr>
              <w:t xml:space="preserve"> w spr</w:t>
            </w:r>
            <w:r w:rsidRPr="00971584">
              <w:rPr>
                <w:noProof/>
              </w:rPr>
              <w:t>awie praw konsumentów, dostosowania ich systemów informatycznych, przeszkolenia pracowników oraz zaktualizowania ich stron internetowych</w:t>
            </w:r>
            <w:r w:rsidR="00971584" w:rsidRPr="00971584">
              <w:rPr>
                <w:noProof/>
              </w:rPr>
              <w:t xml:space="preserve"> i umó</w:t>
            </w:r>
            <w:r w:rsidRPr="00971584">
              <w:rPr>
                <w:noProof/>
              </w:rPr>
              <w:t>w. Po wstępnym wprowadzeniu zmian nie przewiduje się znaczącego wzrostu kosztów stałych. Wariant ten wiązałby się</w:t>
            </w:r>
            <w:r w:rsidR="00971584" w:rsidRPr="00971584">
              <w:rPr>
                <w:noProof/>
              </w:rPr>
              <w:t xml:space="preserve"> z kos</w:t>
            </w:r>
            <w:r w:rsidRPr="00971584">
              <w:rPr>
                <w:noProof/>
              </w:rPr>
              <w:t>ztami dla przedsiębiorstw</w:t>
            </w:r>
            <w:r w:rsidR="00971584" w:rsidRPr="00971584">
              <w:rPr>
                <w:noProof/>
              </w:rPr>
              <w:t xml:space="preserve"> w wys</w:t>
            </w:r>
            <w:r w:rsidRPr="00971584">
              <w:rPr>
                <w:noProof/>
              </w:rPr>
              <w:t xml:space="preserve">okości około </w:t>
            </w:r>
            <w:r w:rsidRPr="00971584">
              <w:rPr>
                <w:b/>
                <w:noProof/>
              </w:rPr>
              <w:t>19 mln EUR</w:t>
            </w:r>
            <w:r w:rsidRPr="00971584">
              <w:rPr>
                <w:noProof/>
              </w:rPr>
              <w:t>.</w:t>
            </w:r>
          </w:p>
        </w:tc>
      </w:tr>
      <w:tr w:rsidR="007D4F0A" w:rsidRPr="00971584" w14:paraId="2962F9FA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735545C8" w14:textId="1C7A86FF" w:rsidR="007D4F0A" w:rsidRPr="00971584" w:rsidRDefault="007D4F0A" w:rsidP="00D47DCA">
            <w:pPr>
              <w:rPr>
                <w:noProof/>
              </w:rPr>
            </w:pPr>
            <w:r w:rsidRPr="00971584">
              <w:rPr>
                <w:b/>
                <w:noProof/>
              </w:rPr>
              <w:t>Jakie są skutki dla MŚP</w:t>
            </w:r>
            <w:r w:rsidR="00971584" w:rsidRPr="00971584">
              <w:rPr>
                <w:b/>
                <w:noProof/>
              </w:rPr>
              <w:t xml:space="preserve"> i kon</w:t>
            </w:r>
            <w:r w:rsidRPr="00971584">
              <w:rPr>
                <w:b/>
                <w:noProof/>
              </w:rPr>
              <w:t xml:space="preserve">kurencyjności? </w:t>
            </w:r>
          </w:p>
        </w:tc>
      </w:tr>
      <w:tr w:rsidR="007D4F0A" w:rsidRPr="00971584" w14:paraId="47B5E5A8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551CAA16" w14:textId="43245BAD" w:rsidR="007D4F0A" w:rsidRPr="00971584" w:rsidRDefault="000A3808" w:rsidP="00B3142D">
            <w:pPr>
              <w:rPr>
                <w:i/>
                <w:noProof/>
              </w:rPr>
            </w:pPr>
            <w:r w:rsidRPr="00971584">
              <w:rPr>
                <w:noProof/>
              </w:rPr>
              <w:t>Jak wynika</w:t>
            </w:r>
            <w:r w:rsidR="00971584" w:rsidRPr="00971584">
              <w:rPr>
                <w:noProof/>
              </w:rPr>
              <w:t xml:space="preserve"> z ana</w:t>
            </w:r>
            <w:r w:rsidRPr="00971584">
              <w:rPr>
                <w:noProof/>
              </w:rPr>
              <w:t>lizy badania uzupełniającego oraz informacji zwrotnych otrzymanych od zainteresowanych stron, wpływ na małe</w:t>
            </w:r>
            <w:r w:rsidR="00971584" w:rsidRPr="00971584">
              <w:rPr>
                <w:noProof/>
              </w:rPr>
              <w:t xml:space="preserve"> i śre</w:t>
            </w:r>
            <w:r w:rsidRPr="00971584">
              <w:rPr>
                <w:noProof/>
              </w:rPr>
              <w:t>dnie przedsiębiorstwa (MŚP) nie powinien być nieproporcjonalnie duży</w:t>
            </w:r>
            <w:r w:rsidR="00971584" w:rsidRPr="00971584">
              <w:rPr>
                <w:noProof/>
              </w:rPr>
              <w:t xml:space="preserve"> w por</w:t>
            </w:r>
            <w:r w:rsidRPr="00971584">
              <w:rPr>
                <w:noProof/>
              </w:rPr>
              <w:t>ównaniu</w:t>
            </w:r>
            <w:r w:rsidR="00971584" w:rsidRPr="00971584">
              <w:rPr>
                <w:noProof/>
              </w:rPr>
              <w:t xml:space="preserve"> z wpł</w:t>
            </w:r>
            <w:r w:rsidRPr="00971584">
              <w:rPr>
                <w:noProof/>
              </w:rPr>
              <w:t>ywem na duże przedsiębiorstwa. Główne rodzaje wpływu zidentyfikowane</w:t>
            </w:r>
            <w:r w:rsidR="00971584" w:rsidRPr="00971584">
              <w:rPr>
                <w:noProof/>
              </w:rPr>
              <w:t xml:space="preserve"> w nin</w:t>
            </w:r>
            <w:r w:rsidRPr="00971584">
              <w:rPr>
                <w:noProof/>
              </w:rPr>
              <w:t>iejszej ocenie będą miały proporcjonalne zastosowanie do MŚP.</w:t>
            </w:r>
          </w:p>
        </w:tc>
      </w:tr>
      <w:tr w:rsidR="007D4F0A" w:rsidRPr="00971584" w14:paraId="12C0D549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28384BCE" w14:textId="72C6BCDD" w:rsidR="007D4F0A" w:rsidRPr="00971584" w:rsidRDefault="007D4F0A" w:rsidP="00D47DCA">
            <w:pPr>
              <w:rPr>
                <w:b/>
                <w:i/>
                <w:noProof/>
              </w:rPr>
            </w:pPr>
            <w:r w:rsidRPr="00971584">
              <w:rPr>
                <w:b/>
                <w:noProof/>
              </w:rPr>
              <w:t>Czy przewiduje się znaczące skutki</w:t>
            </w:r>
            <w:r w:rsidRPr="00971584">
              <w:rPr>
                <w:noProof/>
              </w:rPr>
              <w:t xml:space="preserve"> </w:t>
            </w:r>
            <w:r w:rsidRPr="00971584">
              <w:rPr>
                <w:b/>
                <w:noProof/>
              </w:rPr>
              <w:t>dla budżetów</w:t>
            </w:r>
            <w:r w:rsidR="00971584" w:rsidRPr="00971584">
              <w:rPr>
                <w:b/>
                <w:noProof/>
              </w:rPr>
              <w:t xml:space="preserve"> i adm</w:t>
            </w:r>
            <w:r w:rsidRPr="00971584">
              <w:rPr>
                <w:b/>
                <w:noProof/>
              </w:rPr>
              <w:t>inistracji krajowych?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7904E0E3" w14:textId="77777777" w:rsidTr="00162C3A">
        <w:tc>
          <w:tcPr>
            <w:tcW w:w="10916" w:type="dxa"/>
            <w:shd w:val="clear" w:color="auto" w:fill="auto"/>
          </w:tcPr>
          <w:p w14:paraId="0AC314E2" w14:textId="5335949E" w:rsidR="00FF6D91" w:rsidRPr="00971584" w:rsidRDefault="002351B3" w:rsidP="00B3142D">
            <w:pPr>
              <w:rPr>
                <w:noProof/>
              </w:rPr>
            </w:pPr>
            <w:r w:rsidRPr="00971584">
              <w:rPr>
                <w:noProof/>
              </w:rPr>
              <w:t>Wariant preferowany wiązałby się</w:t>
            </w:r>
            <w:r w:rsidR="00971584" w:rsidRPr="00971584">
              <w:rPr>
                <w:noProof/>
              </w:rPr>
              <w:t xml:space="preserve"> z pew</w:t>
            </w:r>
            <w:r w:rsidRPr="00971584">
              <w:rPr>
                <w:noProof/>
              </w:rPr>
              <w:t xml:space="preserve">nymi </w:t>
            </w:r>
            <w:r w:rsidRPr="00971584">
              <w:rPr>
                <w:b/>
                <w:noProof/>
              </w:rPr>
              <w:t>jednorazowymi</w:t>
            </w:r>
            <w:r w:rsidR="00971584" w:rsidRPr="00971584">
              <w:rPr>
                <w:b/>
                <w:noProof/>
              </w:rPr>
              <w:t xml:space="preserve"> i sta</w:t>
            </w:r>
            <w:r w:rsidRPr="00971584">
              <w:rPr>
                <w:b/>
                <w:noProof/>
              </w:rPr>
              <w:t>łymi kosztami dla organów krajowych</w:t>
            </w:r>
            <w:r w:rsidRPr="00971584">
              <w:rPr>
                <w:noProof/>
              </w:rPr>
              <w:t>. Organy poniosłyby pewne koszty transpozycji</w:t>
            </w:r>
            <w:r w:rsidR="00971584" w:rsidRPr="00971584">
              <w:rPr>
                <w:noProof/>
              </w:rPr>
              <w:t xml:space="preserve"> i wdr</w:t>
            </w:r>
            <w:r w:rsidRPr="00971584">
              <w:rPr>
                <w:noProof/>
              </w:rPr>
              <w:t>ożenia na etapie przyjmowania przepisów, ale nie byłyby one zbyt wysokie, ponieważ zakres nowych przepisów jest minimalny. Wprowadzenie nowych przepisów, takich jak zakaz stosowania opcji domyślnych</w:t>
            </w:r>
            <w:r w:rsidR="00971584" w:rsidRPr="00971584">
              <w:rPr>
                <w:noProof/>
              </w:rPr>
              <w:t xml:space="preserve"> i dos</w:t>
            </w:r>
            <w:r w:rsidRPr="00971584">
              <w:rPr>
                <w:noProof/>
              </w:rPr>
              <w:t>tosowanie zasad prezentacji do różnych kanałów dystrybucji, wiązałoby się</w:t>
            </w:r>
            <w:r w:rsidR="00971584" w:rsidRPr="00971584">
              <w:rPr>
                <w:noProof/>
              </w:rPr>
              <w:t xml:space="preserve"> z dod</w:t>
            </w:r>
            <w:r w:rsidRPr="00971584">
              <w:rPr>
                <w:noProof/>
              </w:rPr>
              <w:t>atkowymi kosztami monitorowania</w:t>
            </w:r>
            <w:r w:rsidR="00971584" w:rsidRPr="00971584">
              <w:rPr>
                <w:noProof/>
              </w:rPr>
              <w:t xml:space="preserve"> i egz</w:t>
            </w:r>
            <w:r w:rsidRPr="00971584">
              <w:rPr>
                <w:noProof/>
              </w:rPr>
              <w:t>ekwowania.</w:t>
            </w:r>
          </w:p>
        </w:tc>
      </w:tr>
      <w:tr w:rsidR="007D4F0A" w:rsidRPr="00971584" w14:paraId="3542F7A5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4B346CE9" w14:textId="77777777" w:rsidR="007D4F0A" w:rsidRPr="00971584" w:rsidRDefault="007D4F0A" w:rsidP="00D47DCA">
            <w:pPr>
              <w:rPr>
                <w:noProof/>
              </w:rPr>
            </w:pPr>
            <w:r w:rsidRPr="00971584">
              <w:rPr>
                <w:b/>
                <w:noProof/>
              </w:rPr>
              <w:t>Czy wystąpią inne znaczące skutki?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12DAAB23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652335FA" w14:textId="1FFEE207" w:rsidR="007D4F0A" w:rsidRPr="00971584" w:rsidRDefault="007B2693" w:rsidP="00AB59F6">
            <w:pPr>
              <w:rPr>
                <w:noProof/>
              </w:rPr>
            </w:pPr>
            <w:r w:rsidRPr="00971584">
              <w:rPr>
                <w:noProof/>
              </w:rPr>
              <w:t xml:space="preserve">Oczekuje się, że inicjatywa </w:t>
            </w:r>
            <w:r w:rsidRPr="00971584">
              <w:rPr>
                <w:b/>
                <w:noProof/>
              </w:rPr>
              <w:t>uprości ramy prawne</w:t>
            </w:r>
            <w:r w:rsidRPr="00971584">
              <w:rPr>
                <w:noProof/>
              </w:rPr>
              <w:t xml:space="preserve"> dzięki </w:t>
            </w:r>
            <w:r w:rsidRPr="00971584">
              <w:rPr>
                <w:b/>
                <w:noProof/>
              </w:rPr>
              <w:t>uchyleniu</w:t>
            </w:r>
            <w:r w:rsidRPr="00971584">
              <w:rPr>
                <w:noProof/>
              </w:rPr>
              <w:t xml:space="preserve"> dyrektywy, przy jednoczesnym zachowaniu funkcji </w:t>
            </w:r>
            <w:r w:rsidRPr="00971584">
              <w:rPr>
                <w:b/>
                <w:noProof/>
              </w:rPr>
              <w:t>„siatki bezpieczeństwa”</w:t>
            </w:r>
            <w:r w:rsidRPr="00971584">
              <w:rPr>
                <w:noProof/>
              </w:rPr>
              <w:t xml:space="preserve"> przez włączenie odpowiednich artykułów dyrektywy do istniejącego prawodawstwa dotyczącego konsumentów. Nowe przepisy dotyczące sprzedaży konsumentom usług finansowych na odległość uwzględnią również niektóre przepisy obecnej dyrektywy</w:t>
            </w:r>
            <w:r w:rsidR="00971584" w:rsidRPr="00971584">
              <w:rPr>
                <w:noProof/>
              </w:rPr>
              <w:t xml:space="preserve"> w spr</w:t>
            </w:r>
            <w:r w:rsidRPr="00971584">
              <w:rPr>
                <w:noProof/>
              </w:rPr>
              <w:t xml:space="preserve">awie praw konsumentów. </w:t>
            </w:r>
          </w:p>
        </w:tc>
      </w:tr>
      <w:tr w:rsidR="007D4F0A" w:rsidRPr="00971584" w14:paraId="70965263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69E42618" w14:textId="77777777" w:rsidR="007D4F0A" w:rsidRPr="00971584" w:rsidRDefault="007D4F0A" w:rsidP="00D47DCA">
            <w:pPr>
              <w:rPr>
                <w:i/>
                <w:noProof/>
              </w:rPr>
            </w:pPr>
            <w:r w:rsidRPr="00971584">
              <w:rPr>
                <w:b/>
                <w:noProof/>
              </w:rPr>
              <w:t>Proporcjonalność?</w:t>
            </w:r>
            <w:r w:rsidRPr="00971584">
              <w:rPr>
                <w:noProof/>
              </w:rPr>
              <w:t xml:space="preserve"> </w:t>
            </w:r>
          </w:p>
        </w:tc>
      </w:tr>
      <w:tr w:rsidR="007D4F0A" w:rsidRPr="00971584" w14:paraId="249E4222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51E3A0D7" w14:textId="6B99E0E4" w:rsidR="007D4F0A" w:rsidRPr="00971584" w:rsidRDefault="003E1B24" w:rsidP="00B3142D">
            <w:pPr>
              <w:rPr>
                <w:i/>
                <w:noProof/>
              </w:rPr>
            </w:pPr>
            <w:r w:rsidRPr="00971584">
              <w:rPr>
                <w:b/>
                <w:noProof/>
              </w:rPr>
              <w:t>Wariant preferowany nie wykracza poza to, co jest konieczne</w:t>
            </w:r>
            <w:r w:rsidRPr="00971584">
              <w:rPr>
                <w:noProof/>
              </w:rPr>
              <w:t xml:space="preserve"> do osiągnięcia celów. Inicjatywa obejmie tylko to, czego państwa członkowskie UE nie mogą osiągnąć samodzielnie,</w:t>
            </w:r>
            <w:r w:rsidR="00971584" w:rsidRPr="00971584">
              <w:rPr>
                <w:noProof/>
              </w:rPr>
              <w:t xml:space="preserve"> i jed</w:t>
            </w:r>
            <w:r w:rsidRPr="00971584">
              <w:rPr>
                <w:noProof/>
              </w:rPr>
              <w:t>ynie te obszary,</w:t>
            </w:r>
            <w:r w:rsidR="00971584" w:rsidRPr="00971584">
              <w:rPr>
                <w:noProof/>
              </w:rPr>
              <w:t xml:space="preserve"> w któ</w:t>
            </w:r>
            <w:r w:rsidRPr="00971584">
              <w:rPr>
                <w:noProof/>
              </w:rPr>
              <w:t>rych obciążenia</w:t>
            </w:r>
            <w:r w:rsidR="00971584" w:rsidRPr="00971584">
              <w:rPr>
                <w:noProof/>
              </w:rPr>
              <w:t xml:space="preserve"> i kos</w:t>
            </w:r>
            <w:r w:rsidRPr="00971584">
              <w:rPr>
                <w:noProof/>
              </w:rPr>
              <w:t>zty administracyjne są współmierne do celów szczególnych</w:t>
            </w:r>
            <w:r w:rsidR="00971584" w:rsidRPr="00971584">
              <w:rPr>
                <w:noProof/>
              </w:rPr>
              <w:t xml:space="preserve"> i ogó</w:t>
            </w:r>
            <w:r w:rsidRPr="00971584">
              <w:rPr>
                <w:noProof/>
              </w:rPr>
              <w:t>lnych, które mają zostać osiągnięte.</w:t>
            </w:r>
          </w:p>
        </w:tc>
      </w:tr>
      <w:tr w:rsidR="007D4F0A" w:rsidRPr="00971584" w14:paraId="69E0C643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C0C0C0"/>
          </w:tcPr>
          <w:p w14:paraId="665BC6A6" w14:textId="1A8D5F77" w:rsidR="007D4F0A" w:rsidRPr="00971584" w:rsidRDefault="007D4F0A" w:rsidP="00D47DCA">
            <w:pPr>
              <w:rPr>
                <w:b/>
                <w:noProof/>
              </w:rPr>
            </w:pPr>
            <w:r w:rsidRPr="00971584">
              <w:rPr>
                <w:b/>
                <w:noProof/>
              </w:rPr>
              <w:t>D. Działania następcze</w:t>
            </w:r>
          </w:p>
        </w:tc>
      </w:tr>
      <w:tr w:rsidR="007D4F0A" w:rsidRPr="00971584" w14:paraId="2A892AF9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E6E6E6"/>
          </w:tcPr>
          <w:p w14:paraId="6F22F11F" w14:textId="77777777" w:rsidR="007D4F0A" w:rsidRPr="00971584" w:rsidRDefault="007D4F0A" w:rsidP="00D47DCA">
            <w:pPr>
              <w:rPr>
                <w:noProof/>
              </w:rPr>
            </w:pPr>
            <w:r w:rsidRPr="00971584">
              <w:rPr>
                <w:b/>
                <w:noProof/>
              </w:rPr>
              <w:t xml:space="preserve">Kiedy nastąpi przegląd przyjętej polityki? </w:t>
            </w:r>
          </w:p>
        </w:tc>
      </w:tr>
      <w:tr w:rsidR="007D4F0A" w:rsidRPr="00971584" w14:paraId="6C198A1C" w14:textId="77777777" w:rsidTr="00162C3A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6B425DE8" w14:textId="132D7A1C" w:rsidR="007D4F0A" w:rsidRPr="00971584" w:rsidRDefault="00BB4D47" w:rsidP="00B3142D">
            <w:pPr>
              <w:rPr>
                <w:b/>
                <w:noProof/>
              </w:rPr>
            </w:pPr>
            <w:r w:rsidRPr="00971584">
              <w:rPr>
                <w:noProof/>
              </w:rPr>
              <w:t xml:space="preserve">Komisja będzie </w:t>
            </w:r>
            <w:r w:rsidRPr="00971584">
              <w:rPr>
                <w:b/>
                <w:noProof/>
              </w:rPr>
              <w:t>monitorować wdrażanie</w:t>
            </w:r>
            <w:r w:rsidRPr="00971584">
              <w:rPr>
                <w:noProof/>
              </w:rPr>
              <w:t xml:space="preserve"> wybranego wariantu, jeśli zostanie on przyjęty, po jego przyjęciu. Wykaz wskaźników monitorowania zawarty</w:t>
            </w:r>
            <w:r w:rsidR="00971584" w:rsidRPr="00971584">
              <w:rPr>
                <w:noProof/>
              </w:rPr>
              <w:t xml:space="preserve"> w oce</w:t>
            </w:r>
            <w:r w:rsidRPr="00971584">
              <w:rPr>
                <w:noProof/>
              </w:rPr>
              <w:t xml:space="preserve">nie skutków posłuży za podstawę do następnej oceny. </w:t>
            </w:r>
          </w:p>
        </w:tc>
      </w:tr>
    </w:tbl>
    <w:p w14:paraId="2AD445B1" w14:textId="77777777" w:rsidR="00703319" w:rsidRPr="00971584" w:rsidRDefault="0085694D">
      <w:pPr>
        <w:rPr>
          <w:noProof/>
        </w:rPr>
      </w:pPr>
    </w:p>
    <w:sectPr w:rsidR="00703319" w:rsidRPr="00971584" w:rsidSect="00813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6A3F" w14:textId="77777777" w:rsidR="00FE34C7" w:rsidRPr="00971584" w:rsidRDefault="00FE34C7" w:rsidP="00813C76">
      <w:pPr>
        <w:spacing w:after="0"/>
      </w:pPr>
      <w:r w:rsidRPr="00971584">
        <w:separator/>
      </w:r>
    </w:p>
  </w:endnote>
  <w:endnote w:type="continuationSeparator" w:id="0">
    <w:p w14:paraId="7FAF3924" w14:textId="77777777" w:rsidR="00FE34C7" w:rsidRPr="00971584" w:rsidRDefault="00FE34C7" w:rsidP="00813C76">
      <w:pPr>
        <w:spacing w:after="0"/>
      </w:pPr>
      <w:r w:rsidRPr="009715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196F" w14:textId="77777777" w:rsidR="0085694D" w:rsidRPr="0085694D" w:rsidRDefault="0085694D" w:rsidP="0085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AADE" w14:textId="57ABDF33" w:rsidR="0085694D" w:rsidRPr="0085694D" w:rsidRDefault="0085694D" w:rsidP="0085694D">
    <w:pPr>
      <w:pStyle w:val="FooterCoverPage"/>
      <w:rPr>
        <w:rFonts w:ascii="Arial" w:hAnsi="Arial" w:cs="Arial"/>
        <w:b/>
        <w:sz w:val="48"/>
      </w:rPr>
    </w:pPr>
    <w:r w:rsidRPr="0085694D">
      <w:rPr>
        <w:rFonts w:ascii="Arial" w:hAnsi="Arial" w:cs="Arial"/>
        <w:b/>
        <w:sz w:val="48"/>
      </w:rPr>
      <w:t>PL</w:t>
    </w:r>
    <w:r w:rsidRPr="0085694D">
      <w:rPr>
        <w:rFonts w:ascii="Arial" w:hAnsi="Arial" w:cs="Arial"/>
        <w:b/>
        <w:sz w:val="48"/>
      </w:rPr>
      <w:tab/>
    </w:r>
    <w:r w:rsidRPr="0085694D">
      <w:rPr>
        <w:rFonts w:ascii="Arial" w:hAnsi="Arial" w:cs="Arial"/>
        <w:b/>
        <w:sz w:val="48"/>
      </w:rPr>
      <w:tab/>
    </w:r>
    <w:r w:rsidRPr="0085694D">
      <w:tab/>
    </w:r>
    <w:r w:rsidRPr="0085694D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D615" w14:textId="77777777" w:rsidR="0085694D" w:rsidRPr="0085694D" w:rsidRDefault="0085694D" w:rsidP="0085694D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33D9" w14:textId="77777777" w:rsidR="00813C76" w:rsidRDefault="00813C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6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A568C" w14:textId="36B99355" w:rsidR="006415BF" w:rsidRDefault="00641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94D">
          <w:rPr>
            <w:noProof/>
          </w:rPr>
          <w:t>1</w:t>
        </w:r>
        <w:r>
          <w:fldChar w:fldCharType="end"/>
        </w:r>
      </w:p>
    </w:sdtContent>
  </w:sdt>
  <w:p w14:paraId="70579981" w14:textId="77777777" w:rsidR="00813C76" w:rsidRDefault="00813C7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3891" w14:textId="77777777" w:rsidR="00813C76" w:rsidRDefault="0081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4760" w14:textId="77777777" w:rsidR="00FE34C7" w:rsidRPr="00971584" w:rsidRDefault="00FE34C7" w:rsidP="00813C76">
      <w:pPr>
        <w:spacing w:after="0"/>
      </w:pPr>
      <w:r w:rsidRPr="00971584">
        <w:separator/>
      </w:r>
    </w:p>
  </w:footnote>
  <w:footnote w:type="continuationSeparator" w:id="0">
    <w:p w14:paraId="0DC2108B" w14:textId="77777777" w:rsidR="00FE34C7" w:rsidRPr="00971584" w:rsidRDefault="00FE34C7" w:rsidP="00813C76">
      <w:pPr>
        <w:spacing w:after="0"/>
      </w:pPr>
      <w:r w:rsidRPr="009715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E97F" w14:textId="77777777" w:rsidR="0085694D" w:rsidRPr="0085694D" w:rsidRDefault="0085694D" w:rsidP="00856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2F83" w14:textId="77777777" w:rsidR="0085694D" w:rsidRPr="0085694D" w:rsidRDefault="0085694D" w:rsidP="0085694D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08E7" w14:textId="77777777" w:rsidR="0085694D" w:rsidRPr="0085694D" w:rsidRDefault="0085694D" w:rsidP="0085694D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FBED" w14:textId="77777777" w:rsidR="00813C76" w:rsidRDefault="00813C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FB2A" w14:textId="77777777" w:rsidR="00813C76" w:rsidRDefault="00813C7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00A5" w14:textId="77777777" w:rsidR="00813C76" w:rsidRDefault="00813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Towarzyszący dokumentowi:"/>
    <w:docVar w:name="LW_CORRIGENDUM" w:val="&lt;UNUSED&gt;"/>
    <w:docVar w:name="LW_COVERPAGE_EXISTS" w:val="True"/>
    <w:docVar w:name="LW_COVERPAGE_GUID" w:val="A331DA36-1ED6-4D71-BFBD-90253F1D72E9"/>
    <w:docVar w:name="LW_COVERPAGE_TYPE" w:val="1"/>
    <w:docVar w:name="LW_CROSSREFERENCE" w:val="{COM(2022) 204 final} - {SEC(2022) 203 final} - {SWD(2022) 141 final}"/>
    <w:docVar w:name="LW_DocType" w:val="NORMAL"/>
    <w:docVar w:name="LW_EMISSION" w:val="11.5.2022"/>
    <w:docVar w:name="LW_EMISSION_ISODATE" w:val="2022-05-11"/>
    <w:docVar w:name="LW_EMISSION_LOCATION" w:val="BRX"/>
    <w:docVar w:name="LW_EMISSION_PREFIX" w:val="Bruksela, dnia "/>
    <w:docVar w:name="LW_EMISSION_SUFFIX" w:val=" r."/>
    <w:docVar w:name="LW_ID_DOCTYPE_NONLW" w:val="CP-02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zmieniającej dyrektywę 2011/83/UE w zakresie umów o usługi finansowe zawieranych na odległość oraz uchylającej dyrektywę 2002/65/WE "/>
    <w:docVar w:name="LW_PART_NBR" w:val="1"/>
    <w:docVar w:name="LW_PART_NBR_TOTAL" w:val="1"/>
    <w:docVar w:name="LW_REF.INST.NEW" w:val="SWD"/>
    <w:docVar w:name="LW_REF.INST.NEW_ADOPTED" w:val="final"/>
    <w:docVar w:name="LW_REF.INST.NEW_TEXT" w:val="(2022) 1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[…]"/>
    <w:docVar w:name="LW_TYPE.DOC.CP" w:val="DOKUMENT ROBOCZY SŁUŻB KOMISJI_x000b__x000b_STRESZCZENIE SPRAWOZDANIA Z OCENY SKUTKÓW_x000b_"/>
    <w:docVar w:name="LW_TYPEACTEPRINCIPAL.CP" w:val="WNIOSEK DOTYCZĄCY DYREKTYWY PARLAMENTU EUROPEJSKIEGO I RADY"/>
    <w:docVar w:name="LwApiVersions" w:val="LW4CoDe 1.23.2.0; LW 8.0, Build 20211117"/>
  </w:docVars>
  <w:rsids>
    <w:rsidRoot w:val="007D4F0A"/>
    <w:rsid w:val="00013C2C"/>
    <w:rsid w:val="00030DDF"/>
    <w:rsid w:val="0007050B"/>
    <w:rsid w:val="000779D0"/>
    <w:rsid w:val="000A3808"/>
    <w:rsid w:val="001548B2"/>
    <w:rsid w:val="00162C3A"/>
    <w:rsid w:val="00172D2A"/>
    <w:rsid w:val="001837CF"/>
    <w:rsid w:val="001A358D"/>
    <w:rsid w:val="001A51E2"/>
    <w:rsid w:val="001B4774"/>
    <w:rsid w:val="001D6D38"/>
    <w:rsid w:val="0021372A"/>
    <w:rsid w:val="00232A51"/>
    <w:rsid w:val="002351B3"/>
    <w:rsid w:val="003148D7"/>
    <w:rsid w:val="003332F7"/>
    <w:rsid w:val="00337449"/>
    <w:rsid w:val="00356F42"/>
    <w:rsid w:val="003A1B9F"/>
    <w:rsid w:val="003E1B24"/>
    <w:rsid w:val="003E2C41"/>
    <w:rsid w:val="003F31E5"/>
    <w:rsid w:val="00410E4C"/>
    <w:rsid w:val="004432C0"/>
    <w:rsid w:val="0048048C"/>
    <w:rsid w:val="00500271"/>
    <w:rsid w:val="00504417"/>
    <w:rsid w:val="0051115D"/>
    <w:rsid w:val="005336FA"/>
    <w:rsid w:val="005D1278"/>
    <w:rsid w:val="00607029"/>
    <w:rsid w:val="006415BF"/>
    <w:rsid w:val="00641D66"/>
    <w:rsid w:val="00692B90"/>
    <w:rsid w:val="006F201C"/>
    <w:rsid w:val="00700961"/>
    <w:rsid w:val="0072167F"/>
    <w:rsid w:val="00723F4B"/>
    <w:rsid w:val="007933AF"/>
    <w:rsid w:val="007B2693"/>
    <w:rsid w:val="007B6A19"/>
    <w:rsid w:val="007C703D"/>
    <w:rsid w:val="007D1E25"/>
    <w:rsid w:val="007D4F0A"/>
    <w:rsid w:val="00813C76"/>
    <w:rsid w:val="00836602"/>
    <w:rsid w:val="0085694D"/>
    <w:rsid w:val="008E386C"/>
    <w:rsid w:val="008E640D"/>
    <w:rsid w:val="008E6AB0"/>
    <w:rsid w:val="008F74A9"/>
    <w:rsid w:val="009620A8"/>
    <w:rsid w:val="00971584"/>
    <w:rsid w:val="00A26574"/>
    <w:rsid w:val="00A45471"/>
    <w:rsid w:val="00A716CA"/>
    <w:rsid w:val="00AA2C77"/>
    <w:rsid w:val="00AB59F6"/>
    <w:rsid w:val="00B3142D"/>
    <w:rsid w:val="00B611D5"/>
    <w:rsid w:val="00B67A6C"/>
    <w:rsid w:val="00BB326A"/>
    <w:rsid w:val="00BB4D47"/>
    <w:rsid w:val="00BD0D81"/>
    <w:rsid w:val="00BE754B"/>
    <w:rsid w:val="00C14B0A"/>
    <w:rsid w:val="00C5309F"/>
    <w:rsid w:val="00C5616F"/>
    <w:rsid w:val="00CB1F0D"/>
    <w:rsid w:val="00CC758C"/>
    <w:rsid w:val="00D4522E"/>
    <w:rsid w:val="00D619D0"/>
    <w:rsid w:val="00E1533D"/>
    <w:rsid w:val="00E164D2"/>
    <w:rsid w:val="00E275AA"/>
    <w:rsid w:val="00E54758"/>
    <w:rsid w:val="00E805B3"/>
    <w:rsid w:val="00E860E5"/>
    <w:rsid w:val="00E9044B"/>
    <w:rsid w:val="00EB74C7"/>
    <w:rsid w:val="00ED2FD4"/>
    <w:rsid w:val="00F01375"/>
    <w:rsid w:val="00F27F7E"/>
    <w:rsid w:val="00F56871"/>
    <w:rsid w:val="00F703D2"/>
    <w:rsid w:val="00FE1135"/>
    <w:rsid w:val="00FE34C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E6C4A"/>
  <w15:chartTrackingRefBased/>
  <w15:docId w15:val="{F0A3E4E8-9611-4A7F-92D7-66E908CC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91"/>
    <w:rPr>
      <w:rFonts w:ascii="Segoe UI" w:eastAsia="Times New Roman" w:hAnsi="Segoe UI" w:cs="Segoe UI"/>
      <w:sz w:val="18"/>
      <w:szCs w:val="18"/>
    </w:rPr>
  </w:style>
  <w:style w:type="character" w:customStyle="1" w:styleId="Marker">
    <w:name w:val="Marker"/>
    <w:basedOn w:val="DefaultParagraphFont"/>
    <w:rsid w:val="00813C76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813C76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C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C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C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C76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CoverPage">
    <w:name w:val="Footer Cover Page"/>
    <w:basedOn w:val="Normal"/>
    <w:link w:val="FooterCoverPageChar"/>
    <w:rsid w:val="00813C7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sid w:val="00813C76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rsid w:val="00813C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813C7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rsid w:val="00813C76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sid w:val="00813C7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rsid w:val="00813C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813C7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rsid w:val="00813C76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813C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80806B-F96E-4F08-9390-C55BAE2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970</Words>
  <Characters>6816</Characters>
  <Application>Microsoft Office Word</Application>
  <DocSecurity>0</DocSecurity>
  <Lines>98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 CoDe</cp:lastModifiedBy>
  <cp:revision>33</cp:revision>
  <dcterms:created xsi:type="dcterms:W3CDTF">2022-04-05T08:16:00Z</dcterms:created>
  <dcterms:modified xsi:type="dcterms:W3CDTF">2022-05-12T13:09:00Z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8.0, Build 20220128</vt:lpwstr>
  </property>
  <property fmtid="{D5CDD505-2E9C-101B-9397-08002B2CF9AE}" pid="8" name="Created using">
    <vt:lpwstr>LW 7.0.1, Build 20200226</vt:lpwstr>
  </property>
</Properties>
</file>