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5894D" w14:textId="47D3B16C" w:rsidR="00B1743F" w:rsidRPr="009A4A22" w:rsidRDefault="002D4FD2" w:rsidP="002D4FD2">
      <w:pPr>
        <w:pStyle w:val="Pagedecouverture"/>
        <w:rPr>
          <w:noProof/>
        </w:rPr>
      </w:pPr>
      <w:r>
        <w:rPr>
          <w:noProof/>
        </w:rPr>
        <w:pict w14:anchorId="52DF7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FB263D0-705C-4E0C-A4B2-22F5EEBB9301" style="width:455.25pt;height:441pt">
            <v:imagedata r:id="rId8" o:title=""/>
          </v:shape>
        </w:pict>
      </w:r>
    </w:p>
    <w:p w14:paraId="1DA10393" w14:textId="77777777" w:rsidR="00B1743F" w:rsidRPr="009A4A22" w:rsidRDefault="00B1743F" w:rsidP="00B1743F">
      <w:pPr>
        <w:rPr>
          <w:noProof/>
        </w:rPr>
        <w:sectPr w:rsidR="00B1743F" w:rsidRPr="009A4A22" w:rsidSect="002D4FD2">
          <w:footerReference w:type="default" r:id="rId9"/>
          <w:pgSz w:w="11907" w:h="16839"/>
          <w:pgMar w:top="1134" w:right="1417" w:bottom="1134" w:left="1417" w:header="709" w:footer="709" w:gutter="0"/>
          <w:pgNumType w:start="0"/>
          <w:cols w:space="720"/>
          <w:docGrid w:linePitch="360"/>
        </w:sectPr>
      </w:pPr>
    </w:p>
    <w:p w14:paraId="4512E582" w14:textId="77777777" w:rsidR="00B1743F" w:rsidRPr="009A4A22" w:rsidRDefault="00B1743F" w:rsidP="00BB6B30">
      <w:pPr>
        <w:pStyle w:val="Exposdesmotifstitre"/>
        <w:rPr>
          <w:noProof/>
        </w:rPr>
      </w:pPr>
      <w:bookmarkStart w:id="0" w:name="_GoBack"/>
      <w:bookmarkEnd w:id="0"/>
      <w:r w:rsidRPr="009A4A22">
        <w:rPr>
          <w:noProof/>
        </w:rPr>
        <w:lastRenderedPageBreak/>
        <w:t>UZASADNIENIE</w:t>
      </w:r>
    </w:p>
    <w:p w14:paraId="00FB9488" w14:textId="77777777" w:rsidR="00B1743F" w:rsidRPr="009A4A22" w:rsidRDefault="00B1743F" w:rsidP="00BB6B30">
      <w:pPr>
        <w:pStyle w:val="ManualHeading1"/>
        <w:rPr>
          <w:noProof/>
        </w:rPr>
      </w:pPr>
      <w:r w:rsidRPr="009A4A22">
        <w:rPr>
          <w:noProof/>
        </w:rPr>
        <w:t>1.</w:t>
      </w:r>
      <w:r w:rsidRPr="009A4A22">
        <w:rPr>
          <w:noProof/>
        </w:rPr>
        <w:tab/>
        <w:t>KONTEKST WNIOSKU</w:t>
      </w:r>
    </w:p>
    <w:p w14:paraId="4E7DD2E3" w14:textId="77777777" w:rsidR="00041A99" w:rsidRPr="009A4A22" w:rsidRDefault="00041A99" w:rsidP="008A5747">
      <w:pPr>
        <w:rPr>
          <w:noProof/>
          <w:u w:color="000000"/>
          <w:bdr w:val="nil"/>
          <w:lang w:eastAsia="en-GB"/>
        </w:rPr>
      </w:pPr>
    </w:p>
    <w:p w14:paraId="4C10321F" w14:textId="26D5500D" w:rsidR="00B1743F" w:rsidRPr="009A4A22" w:rsidRDefault="00B1743F" w:rsidP="00044058">
      <w:pPr>
        <w:pStyle w:val="ManualHeading2"/>
        <w:rPr>
          <w:rFonts w:eastAsia="Arial Unicode MS"/>
          <w:noProof/>
        </w:rPr>
      </w:pPr>
      <w:r w:rsidRPr="009A4A22">
        <w:rPr>
          <w:noProof/>
        </w:rPr>
        <w:t>Przyczyny</w:t>
      </w:r>
      <w:r w:rsidR="00BE6F6D" w:rsidRPr="009A4A22">
        <w:rPr>
          <w:noProof/>
        </w:rPr>
        <w:t xml:space="preserve"> i</w:t>
      </w:r>
      <w:r w:rsidR="00BE6F6D">
        <w:rPr>
          <w:noProof/>
        </w:rPr>
        <w:t> </w:t>
      </w:r>
      <w:r w:rsidR="00BE6F6D" w:rsidRPr="009A4A22">
        <w:rPr>
          <w:noProof/>
        </w:rPr>
        <w:t>cel</w:t>
      </w:r>
      <w:r w:rsidRPr="009A4A22">
        <w:rPr>
          <w:noProof/>
        </w:rPr>
        <w:t>e wniosku</w:t>
      </w:r>
    </w:p>
    <w:p w14:paraId="245FA488" w14:textId="331F061F" w:rsidR="001D5812" w:rsidRPr="009A4A22" w:rsidRDefault="001D5812" w:rsidP="00041A99">
      <w:pPr>
        <w:rPr>
          <w:noProof/>
          <w:bdr w:val="none" w:sz="0" w:space="0" w:color="auto" w:frame="1"/>
        </w:rPr>
      </w:pPr>
      <w:r w:rsidRPr="009A4A22">
        <w:rPr>
          <w:noProof/>
          <w:bdr w:val="none" w:sz="0" w:space="0" w:color="auto" w:frame="1"/>
        </w:rPr>
        <w:t>Dyrektywa 2013/11/UE</w:t>
      </w:r>
      <w:r w:rsidRPr="009A4A22">
        <w:rPr>
          <w:rStyle w:val="FootnoteReference"/>
          <w:noProof/>
          <w:bdr w:val="none" w:sz="0" w:space="0" w:color="auto" w:frame="1"/>
        </w:rPr>
        <w:footnoteReference w:id="1"/>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spr</w:t>
      </w:r>
      <w:r w:rsidRPr="009A4A22">
        <w:rPr>
          <w:noProof/>
          <w:bdr w:val="none" w:sz="0" w:space="0" w:color="auto" w:frame="1"/>
        </w:rPr>
        <w:t>awie alternatywnych metod rozstrzygania sporów konsumenckich (dyrektywa ADR) daje unijnym konsumentom możliwość rozstrzygania sporów wynikających</w:t>
      </w:r>
      <w:r w:rsidR="00BE6F6D" w:rsidRPr="009A4A22">
        <w:rPr>
          <w:noProof/>
          <w:bdr w:val="none" w:sz="0" w:space="0" w:color="auto" w:frame="1"/>
        </w:rPr>
        <w:t xml:space="preserve"> z</w:t>
      </w:r>
      <w:r w:rsidR="00BE6F6D">
        <w:rPr>
          <w:noProof/>
          <w:bdr w:val="none" w:sz="0" w:space="0" w:color="auto" w:frame="1"/>
        </w:rPr>
        <w:t> </w:t>
      </w:r>
      <w:r w:rsidR="00BE6F6D" w:rsidRPr="009A4A22">
        <w:rPr>
          <w:noProof/>
          <w:bdr w:val="none" w:sz="0" w:space="0" w:color="auto" w:frame="1"/>
        </w:rPr>
        <w:t>zob</w:t>
      </w:r>
      <w:r w:rsidRPr="009A4A22">
        <w:rPr>
          <w:noProof/>
          <w:bdr w:val="none" w:sz="0" w:space="0" w:color="auto" w:frame="1"/>
        </w:rPr>
        <w:t>owiązań umownych przedsiębiorców mających siedzibę w UE</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wys</w:t>
      </w:r>
      <w:r w:rsidRPr="009A4A22">
        <w:rPr>
          <w:noProof/>
          <w:bdr w:val="none" w:sz="0" w:space="0" w:color="auto" w:frame="1"/>
        </w:rPr>
        <w:t>okiej jakości postępowaniach pozasądowych. Głównym celem tej dyrektywy jest zapewnienie we wszystkich państwach członkowskich dostępu do podmiotów ADR spełniających wspólne kryteria jakości</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cel</w:t>
      </w:r>
      <w:r w:rsidRPr="009A4A22">
        <w:rPr>
          <w:noProof/>
          <w:bdr w:val="none" w:sz="0" w:space="0" w:color="auto" w:frame="1"/>
        </w:rPr>
        <w:t>u szybkiego, polubownego, przystępnego cenowo</w:t>
      </w:r>
      <w:r w:rsidR="00BE6F6D" w:rsidRPr="009A4A22">
        <w:rPr>
          <w:noProof/>
          <w:bdr w:val="none" w:sz="0" w:space="0" w:color="auto" w:frame="1"/>
        </w:rPr>
        <w:t xml:space="preserve"> i</w:t>
      </w:r>
      <w:r w:rsidR="00BE6F6D">
        <w:rPr>
          <w:noProof/>
          <w:bdr w:val="none" w:sz="0" w:space="0" w:color="auto" w:frame="1"/>
        </w:rPr>
        <w:t> </w:t>
      </w:r>
      <w:r w:rsidR="00BE6F6D" w:rsidRPr="009A4A22">
        <w:rPr>
          <w:noProof/>
          <w:bdr w:val="none" w:sz="0" w:space="0" w:color="auto" w:frame="1"/>
        </w:rPr>
        <w:t>spr</w:t>
      </w:r>
      <w:r w:rsidRPr="009A4A22">
        <w:rPr>
          <w:noProof/>
          <w:bdr w:val="none" w:sz="0" w:space="0" w:color="auto" w:frame="1"/>
        </w:rPr>
        <w:t>awiedliwego rozstrzygania sporów we wszystkich sektorach rynku konsumenckiego. Przepisy te mają kluczowe znaczenie dla zapewnienia wysokiego poziomu ochrony konsumentów na rynku wewnętrznym, gdyż umożliwiają im rozstrzyganie sporów</w:t>
      </w:r>
      <w:r w:rsidR="00BE6F6D" w:rsidRPr="009A4A22">
        <w:rPr>
          <w:noProof/>
          <w:bdr w:val="none" w:sz="0" w:space="0" w:color="auto" w:frame="1"/>
        </w:rPr>
        <w:t xml:space="preserve"> o</w:t>
      </w:r>
      <w:r w:rsidR="00BE6F6D">
        <w:rPr>
          <w:noProof/>
          <w:bdr w:val="none" w:sz="0" w:space="0" w:color="auto" w:frame="1"/>
        </w:rPr>
        <w:t> </w:t>
      </w:r>
      <w:r w:rsidR="00BE6F6D" w:rsidRPr="009A4A22">
        <w:rPr>
          <w:noProof/>
          <w:bdr w:val="none" w:sz="0" w:space="0" w:color="auto" w:frame="1"/>
        </w:rPr>
        <w:t>nis</w:t>
      </w:r>
      <w:r w:rsidRPr="009A4A22">
        <w:rPr>
          <w:noProof/>
          <w:bdr w:val="none" w:sz="0" w:space="0" w:color="auto" w:frame="1"/>
        </w:rPr>
        <w:t>kiej wartości,</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prz</w:t>
      </w:r>
      <w:r w:rsidRPr="009A4A22">
        <w:rPr>
          <w:noProof/>
          <w:bdr w:val="none" w:sz="0" w:space="0" w:color="auto" w:frame="1"/>
        </w:rPr>
        <w:t>ypadku których niechętnie występują oni do sądu ze względu na związane</w:t>
      </w:r>
      <w:r w:rsidR="00BE6F6D" w:rsidRPr="009A4A22">
        <w:rPr>
          <w:noProof/>
          <w:bdr w:val="none" w:sz="0" w:space="0" w:color="auto" w:frame="1"/>
        </w:rPr>
        <w:t xml:space="preserve"> z</w:t>
      </w:r>
      <w:r w:rsidR="00BE6F6D">
        <w:rPr>
          <w:noProof/>
          <w:bdr w:val="none" w:sz="0" w:space="0" w:color="auto" w:frame="1"/>
        </w:rPr>
        <w:t> </w:t>
      </w:r>
      <w:r w:rsidR="00BE6F6D" w:rsidRPr="009A4A22">
        <w:rPr>
          <w:noProof/>
          <w:bdr w:val="none" w:sz="0" w:space="0" w:color="auto" w:frame="1"/>
        </w:rPr>
        <w:t>tym</w:t>
      </w:r>
      <w:r w:rsidRPr="009A4A22">
        <w:rPr>
          <w:noProof/>
          <w:bdr w:val="none" w:sz="0" w:space="0" w:color="auto" w:frame="1"/>
        </w:rPr>
        <w:t xml:space="preserve"> koszty</w:t>
      </w:r>
      <w:r w:rsidR="00BE6F6D" w:rsidRPr="009A4A22">
        <w:rPr>
          <w:noProof/>
          <w:bdr w:val="none" w:sz="0" w:space="0" w:color="auto" w:frame="1"/>
        </w:rPr>
        <w:t xml:space="preserve"> i</w:t>
      </w:r>
      <w:r w:rsidR="00BE6F6D">
        <w:rPr>
          <w:noProof/>
          <w:bdr w:val="none" w:sz="0" w:space="0" w:color="auto" w:frame="1"/>
        </w:rPr>
        <w:t> </w:t>
      </w:r>
      <w:r w:rsidR="00BE6F6D" w:rsidRPr="009A4A22">
        <w:rPr>
          <w:noProof/>
          <w:bdr w:val="none" w:sz="0" w:space="0" w:color="auto" w:frame="1"/>
        </w:rPr>
        <w:t>cza</w:t>
      </w:r>
      <w:r w:rsidRPr="009A4A22">
        <w:rPr>
          <w:noProof/>
          <w:bdr w:val="none" w:sz="0" w:space="0" w:color="auto" w:frame="1"/>
        </w:rPr>
        <w:t>s</w:t>
      </w:r>
      <w:r w:rsidR="00BE6F6D" w:rsidRPr="009A4A22">
        <w:rPr>
          <w:noProof/>
          <w:bdr w:val="none" w:sz="0" w:space="0" w:color="auto" w:frame="1"/>
        </w:rPr>
        <w:t>. W</w:t>
      </w:r>
      <w:r w:rsidR="00BE6F6D">
        <w:rPr>
          <w:noProof/>
          <w:bdr w:val="none" w:sz="0" w:space="0" w:color="auto" w:frame="1"/>
        </w:rPr>
        <w:t> </w:t>
      </w:r>
      <w:r w:rsidR="00BE6F6D" w:rsidRPr="009A4A22">
        <w:rPr>
          <w:noProof/>
          <w:bdr w:val="none" w:sz="0" w:space="0" w:color="auto" w:frame="1"/>
        </w:rPr>
        <w:t>prz</w:t>
      </w:r>
      <w:r w:rsidRPr="009A4A22">
        <w:rPr>
          <w:noProof/>
          <w:bdr w:val="none" w:sz="0" w:space="0" w:color="auto" w:frame="1"/>
        </w:rPr>
        <w:t>ypadku przedsiębiorców dyrektywa pomaga im zachować dobrą reputację, uczestniczyć</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pos</w:t>
      </w:r>
      <w:r w:rsidRPr="009A4A22">
        <w:rPr>
          <w:noProof/>
          <w:bdr w:val="none" w:sz="0" w:space="0" w:color="auto" w:frame="1"/>
        </w:rPr>
        <w:t>tępowaniach ADR</w:t>
      </w:r>
      <w:r w:rsidR="00BE6F6D" w:rsidRPr="009A4A22">
        <w:rPr>
          <w:noProof/>
          <w:bdr w:val="none" w:sz="0" w:space="0" w:color="auto" w:frame="1"/>
        </w:rPr>
        <w:t xml:space="preserve"> i</w:t>
      </w:r>
      <w:r w:rsidR="00BE6F6D">
        <w:rPr>
          <w:noProof/>
          <w:bdr w:val="none" w:sz="0" w:space="0" w:color="auto" w:frame="1"/>
        </w:rPr>
        <w:t> </w:t>
      </w:r>
      <w:r w:rsidR="00BE6F6D" w:rsidRPr="009A4A22">
        <w:rPr>
          <w:noProof/>
          <w:bdr w:val="none" w:sz="0" w:space="0" w:color="auto" w:frame="1"/>
        </w:rPr>
        <w:t>sto</w:t>
      </w:r>
      <w:r w:rsidRPr="009A4A22">
        <w:rPr>
          <w:noProof/>
          <w:bdr w:val="none" w:sz="0" w:space="0" w:color="auto" w:frame="1"/>
        </w:rPr>
        <w:t xml:space="preserve">sować się do wyników ADR. </w:t>
      </w:r>
    </w:p>
    <w:p w14:paraId="0437C403" w14:textId="6664C3A0" w:rsidR="001D5812" w:rsidRPr="009A4A22" w:rsidRDefault="001D5812" w:rsidP="00041A99">
      <w:pPr>
        <w:rPr>
          <w:noProof/>
        </w:rPr>
      </w:pPr>
      <w:r w:rsidRPr="009A4A22">
        <w:rPr>
          <w:noProof/>
          <w:bdr w:val="none" w:sz="0" w:space="0" w:color="auto" w:frame="1"/>
        </w:rPr>
        <w:t>Dyrektywa została jednak przygotowana ponad 10 lat temu</w:t>
      </w:r>
      <w:r w:rsidR="00BE6F6D" w:rsidRPr="009A4A22">
        <w:rPr>
          <w:noProof/>
          <w:bdr w:val="none" w:sz="0" w:space="0" w:color="auto" w:frame="1"/>
        </w:rPr>
        <w:t xml:space="preserve"> i</w:t>
      </w:r>
      <w:r w:rsidR="00BE6F6D">
        <w:rPr>
          <w:noProof/>
          <w:bdr w:val="none" w:sz="0" w:space="0" w:color="auto" w:frame="1"/>
        </w:rPr>
        <w:t> </w:t>
      </w:r>
      <w:r w:rsidR="00BE6F6D" w:rsidRPr="009A4A22">
        <w:rPr>
          <w:noProof/>
          <w:bdr w:val="none" w:sz="0" w:space="0" w:color="auto" w:frame="1"/>
        </w:rPr>
        <w:t>nie</w:t>
      </w:r>
      <w:r w:rsidRPr="009A4A22">
        <w:rPr>
          <w:noProof/>
          <w:bdr w:val="none" w:sz="0" w:space="0" w:color="auto" w:frame="1"/>
        </w:rPr>
        <w:t xml:space="preserve"> uwzględnia</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wys</w:t>
      </w:r>
      <w:r w:rsidRPr="009A4A22">
        <w:rPr>
          <w:noProof/>
          <w:bdr w:val="none" w:sz="0" w:space="0" w:color="auto" w:frame="1"/>
        </w:rPr>
        <w:t>tarczającym stopniu sporów wynikających</w:t>
      </w:r>
      <w:r w:rsidR="00BE6F6D" w:rsidRPr="009A4A22">
        <w:rPr>
          <w:noProof/>
          <w:bdr w:val="none" w:sz="0" w:space="0" w:color="auto" w:frame="1"/>
        </w:rPr>
        <w:t xml:space="preserve"> z</w:t>
      </w:r>
      <w:r w:rsidR="00BE6F6D">
        <w:rPr>
          <w:noProof/>
          <w:bdr w:val="none" w:sz="0" w:space="0" w:color="auto" w:frame="1"/>
        </w:rPr>
        <w:t> </w:t>
      </w:r>
      <w:r w:rsidR="00BE6F6D" w:rsidRPr="009A4A22">
        <w:rPr>
          <w:noProof/>
          <w:bdr w:val="none" w:sz="0" w:space="0" w:color="auto" w:frame="1"/>
        </w:rPr>
        <w:t>now</w:t>
      </w:r>
      <w:r w:rsidRPr="009A4A22">
        <w:rPr>
          <w:noProof/>
          <w:bdr w:val="none" w:sz="0" w:space="0" w:color="auto" w:frame="1"/>
        </w:rPr>
        <w:t xml:space="preserve">ych tendencji na rynku konsumenckim. </w:t>
      </w:r>
      <w:r w:rsidRPr="009A4A22">
        <w:rPr>
          <w:noProof/>
        </w:rPr>
        <w:t>Konsumenci w UE kupują znacznie częściej przez internet, również od przedsiębiorców spoza UE. Niestety idzie to</w:t>
      </w:r>
      <w:r w:rsidR="00BE6F6D" w:rsidRPr="009A4A22">
        <w:rPr>
          <w:noProof/>
        </w:rPr>
        <w:t xml:space="preserve"> w</w:t>
      </w:r>
      <w:r w:rsidR="00BE6F6D">
        <w:rPr>
          <w:noProof/>
        </w:rPr>
        <w:t> </w:t>
      </w:r>
      <w:r w:rsidR="00BE6F6D" w:rsidRPr="009A4A22">
        <w:rPr>
          <w:noProof/>
        </w:rPr>
        <w:t>par</w:t>
      </w:r>
      <w:r w:rsidRPr="009A4A22">
        <w:rPr>
          <w:noProof/>
        </w:rPr>
        <w:t>ze ze zwiększonym narażeniem na nieuczciwe praktyki wykorzystujące interfejsy internetowe (zwodnicze interfejsy), które</w:t>
      </w:r>
      <w:r w:rsidR="00BE6F6D" w:rsidRPr="009A4A22">
        <w:rPr>
          <w:noProof/>
        </w:rPr>
        <w:t xml:space="preserve"> w</w:t>
      </w:r>
      <w:r w:rsidR="00BE6F6D">
        <w:rPr>
          <w:noProof/>
        </w:rPr>
        <w:t> </w:t>
      </w:r>
      <w:r w:rsidR="00BE6F6D" w:rsidRPr="009A4A22">
        <w:rPr>
          <w:noProof/>
        </w:rPr>
        <w:t>ist</w:t>
      </w:r>
      <w:r w:rsidRPr="009A4A22">
        <w:rPr>
          <w:noProof/>
        </w:rPr>
        <w:t>otny sposób zakłócają lub ograniczają, celowo bądź nie, zdolność odbiorców usługi do podejmowania niezależnych</w:t>
      </w:r>
      <w:r w:rsidR="00BE6F6D" w:rsidRPr="009A4A22">
        <w:rPr>
          <w:noProof/>
        </w:rPr>
        <w:t xml:space="preserve"> i</w:t>
      </w:r>
      <w:r w:rsidR="00BE6F6D">
        <w:rPr>
          <w:noProof/>
        </w:rPr>
        <w:t> </w:t>
      </w:r>
      <w:r w:rsidR="00BE6F6D" w:rsidRPr="009A4A22">
        <w:rPr>
          <w:noProof/>
        </w:rPr>
        <w:t>świ</w:t>
      </w:r>
      <w:r w:rsidRPr="009A4A22">
        <w:rPr>
          <w:noProof/>
        </w:rPr>
        <w:t>adomych wyborów</w:t>
      </w:r>
      <w:r w:rsidR="00BE6F6D" w:rsidRPr="009A4A22">
        <w:rPr>
          <w:noProof/>
        </w:rPr>
        <w:t xml:space="preserve"> i</w:t>
      </w:r>
      <w:r w:rsidR="00BE6F6D">
        <w:rPr>
          <w:noProof/>
        </w:rPr>
        <w:t> </w:t>
      </w:r>
      <w:r w:rsidR="00BE6F6D" w:rsidRPr="009A4A22">
        <w:rPr>
          <w:noProof/>
        </w:rPr>
        <w:t>dec</w:t>
      </w:r>
      <w:r w:rsidRPr="009A4A22">
        <w:rPr>
          <w:noProof/>
        </w:rPr>
        <w:t>yzji, jak również</w:t>
      </w:r>
      <w:r w:rsidR="00BE6F6D" w:rsidRPr="009A4A22">
        <w:rPr>
          <w:noProof/>
        </w:rPr>
        <w:t xml:space="preserve"> z</w:t>
      </w:r>
      <w:r w:rsidR="00BE6F6D">
        <w:rPr>
          <w:noProof/>
        </w:rPr>
        <w:t> </w:t>
      </w:r>
      <w:r w:rsidR="00BE6F6D" w:rsidRPr="009A4A22">
        <w:rPr>
          <w:noProof/>
        </w:rPr>
        <w:t>nar</w:t>
      </w:r>
      <w:r w:rsidRPr="009A4A22">
        <w:rPr>
          <w:noProof/>
        </w:rPr>
        <w:t>ażeniem na praktyki wykorzystujące ukrytą reklamę, sfałszowane recenzje, zniekształcone prezentacje cen lub brak istotnych informacji przed zawarciem umowy. Tendencje te oddziałują również</w:t>
      </w:r>
      <w:r w:rsidR="00BE6F6D" w:rsidRPr="009A4A22">
        <w:rPr>
          <w:noProof/>
        </w:rPr>
        <w:t xml:space="preserve"> w</w:t>
      </w:r>
      <w:r w:rsidR="00BE6F6D">
        <w:rPr>
          <w:noProof/>
        </w:rPr>
        <w:t> </w:t>
      </w:r>
      <w:r w:rsidR="00BE6F6D" w:rsidRPr="009A4A22">
        <w:rPr>
          <w:noProof/>
        </w:rPr>
        <w:t>pew</w:t>
      </w:r>
      <w:r w:rsidRPr="009A4A22">
        <w:rPr>
          <w:noProof/>
        </w:rPr>
        <w:t>nym stopniu na zakupy poza internetem, ponieważ na konsumentów coraz większy wpływ wywiera marketing cyfrowy wpływający na przywiązanie konsumentów do konkretnych marek</w:t>
      </w:r>
      <w:r w:rsidR="00BE6F6D" w:rsidRPr="009A4A22">
        <w:rPr>
          <w:noProof/>
        </w:rPr>
        <w:t xml:space="preserve"> i</w:t>
      </w:r>
      <w:r w:rsidR="00BE6F6D">
        <w:rPr>
          <w:noProof/>
        </w:rPr>
        <w:t> </w:t>
      </w:r>
      <w:r w:rsidR="00BE6F6D" w:rsidRPr="009A4A22">
        <w:rPr>
          <w:noProof/>
        </w:rPr>
        <w:t>prz</w:t>
      </w:r>
      <w:r w:rsidRPr="009A4A22">
        <w:rPr>
          <w:noProof/>
        </w:rPr>
        <w:t>edsiębiorców. Zmiany te podważają zaufanie konsumentów do rynków cyfrowych</w:t>
      </w:r>
      <w:r w:rsidR="00BE6F6D" w:rsidRPr="009A4A22">
        <w:rPr>
          <w:noProof/>
        </w:rPr>
        <w:t xml:space="preserve"> i</w:t>
      </w:r>
      <w:r w:rsidR="00BE6F6D">
        <w:rPr>
          <w:noProof/>
        </w:rPr>
        <w:t> </w:t>
      </w:r>
      <w:r w:rsidR="00BE6F6D" w:rsidRPr="009A4A22">
        <w:rPr>
          <w:noProof/>
        </w:rPr>
        <w:t>wyk</w:t>
      </w:r>
      <w:r w:rsidRPr="009A4A22">
        <w:rPr>
          <w:noProof/>
        </w:rPr>
        <w:t xml:space="preserve">orzystują ich podatność na zagrożenia. Oznacza to, że konsumentom potrzebne są skuteczne procedury rozstrzygania coraz bardziej złożonych sporów. </w:t>
      </w:r>
    </w:p>
    <w:p w14:paraId="6A6748F5" w14:textId="54D73F5E" w:rsidR="00AB06C3" w:rsidRPr="009A4A22" w:rsidRDefault="001D5812" w:rsidP="00041A99">
      <w:pPr>
        <w:rPr>
          <w:noProof/>
          <w:bdr w:val="none" w:sz="0" w:space="0" w:color="auto" w:frame="1"/>
        </w:rPr>
      </w:pPr>
      <w:r w:rsidRPr="009A4A22">
        <w:rPr>
          <w:noProof/>
        </w:rPr>
        <w:t>W przeprowadzonej przez Komisję</w:t>
      </w:r>
      <w:r w:rsidR="00BE6F6D" w:rsidRPr="009A4A22">
        <w:rPr>
          <w:noProof/>
        </w:rPr>
        <w:t xml:space="preserve"> w</w:t>
      </w:r>
      <w:r w:rsidR="00BE6F6D">
        <w:rPr>
          <w:noProof/>
        </w:rPr>
        <w:t> </w:t>
      </w:r>
      <w:r w:rsidR="00BE6F6D" w:rsidRPr="009A4A22">
        <w:rPr>
          <w:noProof/>
        </w:rPr>
        <w:t>2</w:t>
      </w:r>
      <w:r w:rsidRPr="009A4A22">
        <w:rPr>
          <w:noProof/>
        </w:rPr>
        <w:t>0</w:t>
      </w:r>
      <w:r w:rsidRPr="00BE6F6D">
        <w:rPr>
          <w:noProof/>
        </w:rPr>
        <w:t>23</w:t>
      </w:r>
      <w:r w:rsidR="00BE6F6D" w:rsidRPr="00BE6F6D">
        <w:rPr>
          <w:noProof/>
        </w:rPr>
        <w:t> </w:t>
      </w:r>
      <w:r w:rsidRPr="00BE6F6D">
        <w:rPr>
          <w:noProof/>
        </w:rPr>
        <w:t>r.</w:t>
      </w:r>
      <w:r w:rsidRPr="009A4A22">
        <w:rPr>
          <w:noProof/>
        </w:rPr>
        <w:t xml:space="preserve"> ocenie wdrożenia dyrektywy ADR</w:t>
      </w:r>
      <w:r w:rsidR="00BE6F6D" w:rsidRPr="009A4A22">
        <w:rPr>
          <w:noProof/>
        </w:rPr>
        <w:t xml:space="preserve"> w</w:t>
      </w:r>
      <w:r w:rsidR="00BE6F6D">
        <w:rPr>
          <w:noProof/>
        </w:rPr>
        <w:t> </w:t>
      </w:r>
      <w:r w:rsidR="00BE6F6D" w:rsidRPr="009A4A22">
        <w:rPr>
          <w:noProof/>
        </w:rPr>
        <w:t>cał</w:t>
      </w:r>
      <w:r w:rsidRPr="009A4A22">
        <w:rPr>
          <w:noProof/>
        </w:rPr>
        <w:t>ej UE stwierdzono, że alternatywne metody rozstrzygania sporów,</w:t>
      </w:r>
      <w:r w:rsidR="00BE6F6D" w:rsidRPr="009A4A22">
        <w:rPr>
          <w:noProof/>
        </w:rPr>
        <w:t xml:space="preserve"> w</w:t>
      </w:r>
      <w:r w:rsidR="00BE6F6D">
        <w:rPr>
          <w:noProof/>
        </w:rPr>
        <w:t> </w:t>
      </w:r>
      <w:r w:rsidR="00BE6F6D" w:rsidRPr="009A4A22">
        <w:rPr>
          <w:noProof/>
        </w:rPr>
        <w:t>szc</w:t>
      </w:r>
      <w:r w:rsidRPr="009A4A22">
        <w:rPr>
          <w:noProof/>
        </w:rPr>
        <w:t>zególności</w:t>
      </w:r>
      <w:r w:rsidR="00BE6F6D" w:rsidRPr="009A4A22">
        <w:rPr>
          <w:noProof/>
        </w:rPr>
        <w:t xml:space="preserve"> w</w:t>
      </w:r>
      <w:r w:rsidR="00BE6F6D">
        <w:rPr>
          <w:noProof/>
        </w:rPr>
        <w:t> </w:t>
      </w:r>
      <w:r w:rsidR="00BE6F6D" w:rsidRPr="009A4A22">
        <w:rPr>
          <w:noProof/>
        </w:rPr>
        <w:t>kon</w:t>
      </w:r>
      <w:r w:rsidRPr="009A4A22">
        <w:rPr>
          <w:noProof/>
        </w:rPr>
        <w:t>tekście transgranicznym, są nadal niedostatecznie wykorzystywane</w:t>
      </w:r>
      <w:r w:rsidR="00BE6F6D" w:rsidRPr="009A4A22">
        <w:rPr>
          <w:noProof/>
        </w:rPr>
        <w:t xml:space="preserve"> w</w:t>
      </w:r>
      <w:r w:rsidR="00BE6F6D">
        <w:rPr>
          <w:noProof/>
        </w:rPr>
        <w:t> </w:t>
      </w:r>
      <w:r w:rsidR="00BE6F6D" w:rsidRPr="009A4A22">
        <w:rPr>
          <w:noProof/>
        </w:rPr>
        <w:t>wie</w:t>
      </w:r>
      <w:r w:rsidRPr="009A4A22">
        <w:rPr>
          <w:noProof/>
        </w:rPr>
        <w:t>lu państwach członkowskich ze względu na szereg czynników takich jak koszty, skomplikowane procedury, język</w:t>
      </w:r>
      <w:r w:rsidR="00BE6F6D" w:rsidRPr="009A4A22">
        <w:rPr>
          <w:noProof/>
        </w:rPr>
        <w:t xml:space="preserve"> i</w:t>
      </w:r>
      <w:r w:rsidR="00BE6F6D">
        <w:rPr>
          <w:noProof/>
        </w:rPr>
        <w:t> </w:t>
      </w:r>
      <w:r w:rsidR="00BE6F6D" w:rsidRPr="009A4A22">
        <w:rPr>
          <w:noProof/>
        </w:rPr>
        <w:t>pra</w:t>
      </w:r>
      <w:r w:rsidRPr="009A4A22">
        <w:rPr>
          <w:noProof/>
        </w:rPr>
        <w:t>wo mające zastosowanie. Zakres dyrektywy ADR, który jest wąsko zdefiniowany, nie pozwala rozstrzygać wielu rodzajów sporów, zwłaszcza na rynkach cyfrowych. Przyjęte</w:t>
      </w:r>
      <w:r w:rsidR="00BE6F6D" w:rsidRPr="009A4A22">
        <w:rPr>
          <w:noProof/>
        </w:rPr>
        <w:t xml:space="preserve"> w</w:t>
      </w:r>
      <w:r w:rsidR="00BE6F6D">
        <w:rPr>
          <w:noProof/>
        </w:rPr>
        <w:t> </w:t>
      </w:r>
      <w:r w:rsidR="00BE6F6D" w:rsidRPr="009A4A22">
        <w:rPr>
          <w:noProof/>
        </w:rPr>
        <w:t>dyr</w:t>
      </w:r>
      <w:r w:rsidRPr="009A4A22">
        <w:rPr>
          <w:noProof/>
        </w:rPr>
        <w:t>ektywie ADR podejście polegające na minimalnej harmonizacji umożliwiło państwom członkowskim dostosowanie własnych ram ADR, które odpowiadają ich kulturze, inwestycjom, zasobom, infrastrukturze, świadomości itp</w:t>
      </w:r>
      <w:r w:rsidR="00BE6F6D" w:rsidRPr="009A4A22">
        <w:rPr>
          <w:noProof/>
        </w:rPr>
        <w:t>. W</w:t>
      </w:r>
      <w:r w:rsidR="00BE6F6D">
        <w:rPr>
          <w:noProof/>
        </w:rPr>
        <w:t> </w:t>
      </w:r>
      <w:r w:rsidR="00BE6F6D" w:rsidRPr="009A4A22">
        <w:rPr>
          <w:noProof/>
        </w:rPr>
        <w:t>tym</w:t>
      </w:r>
      <w:r w:rsidRPr="009A4A22">
        <w:rPr>
          <w:noProof/>
        </w:rPr>
        <w:t xml:space="preserve"> kontekście Komisja zapowiedziała</w:t>
      </w:r>
      <w:r w:rsidR="00BE6F6D" w:rsidRPr="009A4A22">
        <w:rPr>
          <w:noProof/>
        </w:rPr>
        <w:t xml:space="preserve"> w</w:t>
      </w:r>
      <w:r w:rsidR="00BE6F6D">
        <w:rPr>
          <w:noProof/>
        </w:rPr>
        <w:t> </w:t>
      </w:r>
      <w:r w:rsidR="00BE6F6D" w:rsidRPr="009A4A22">
        <w:rPr>
          <w:noProof/>
        </w:rPr>
        <w:t>swo</w:t>
      </w:r>
      <w:r w:rsidRPr="009A4A22">
        <w:rPr>
          <w:noProof/>
        </w:rPr>
        <w:t xml:space="preserve">im programie prac legislacyjnych </w:t>
      </w:r>
      <w:r w:rsidRPr="00BE6F6D">
        <w:rPr>
          <w:noProof/>
        </w:rPr>
        <w:t>na</w:t>
      </w:r>
      <w:r w:rsidR="00BE6F6D" w:rsidRPr="00BE6F6D">
        <w:rPr>
          <w:noProof/>
        </w:rPr>
        <w:t> </w:t>
      </w:r>
      <w:r w:rsidRPr="00BE6F6D">
        <w:rPr>
          <w:noProof/>
        </w:rPr>
        <w:t>2</w:t>
      </w:r>
      <w:r w:rsidRPr="009A4A22">
        <w:rPr>
          <w:noProof/>
        </w:rPr>
        <w:t>0</w:t>
      </w:r>
      <w:r w:rsidRPr="00BE6F6D">
        <w:rPr>
          <w:noProof/>
        </w:rPr>
        <w:t>23</w:t>
      </w:r>
      <w:r w:rsidR="00BE6F6D" w:rsidRPr="00BE6F6D">
        <w:rPr>
          <w:noProof/>
        </w:rPr>
        <w:t> </w:t>
      </w:r>
      <w:r w:rsidRPr="00BE6F6D">
        <w:rPr>
          <w:noProof/>
        </w:rPr>
        <w:t>r.</w:t>
      </w:r>
      <w:r w:rsidRPr="009A4A22">
        <w:rPr>
          <w:noProof/>
        </w:rPr>
        <w:t xml:space="preserve"> pakiet dotyczący egzekwowania przepisów konsumenckich</w:t>
      </w:r>
      <w:r w:rsidR="00AB06C3" w:rsidRPr="009A4A22">
        <w:rPr>
          <w:rStyle w:val="FootnoteReference"/>
          <w:noProof/>
          <w:bdr w:val="none" w:sz="0" w:space="0" w:color="auto" w:frame="1"/>
        </w:rPr>
        <w:footnoteReference w:id="2"/>
      </w:r>
      <w:r w:rsidRPr="009A4A22">
        <w:rPr>
          <w:noProof/>
        </w:rPr>
        <w:t>,</w:t>
      </w:r>
      <w:r w:rsidR="00BE6F6D" w:rsidRPr="009A4A22">
        <w:rPr>
          <w:noProof/>
        </w:rPr>
        <w:t xml:space="preserve"> w</w:t>
      </w:r>
      <w:r w:rsidR="00BE6F6D">
        <w:rPr>
          <w:noProof/>
        </w:rPr>
        <w:t> </w:t>
      </w:r>
      <w:r w:rsidR="00BE6F6D" w:rsidRPr="009A4A22">
        <w:rPr>
          <w:noProof/>
        </w:rPr>
        <w:t>któ</w:t>
      </w:r>
      <w:r w:rsidRPr="009A4A22">
        <w:rPr>
          <w:noProof/>
        </w:rPr>
        <w:t>rym przewidziano wnioski Komisji zawierające ukierunkowane zmiany do dyrektywy ADR oraz uchylenie rozporządzenia</w:t>
      </w:r>
      <w:r w:rsidR="00BE6F6D" w:rsidRPr="009A4A22">
        <w:rPr>
          <w:noProof/>
        </w:rPr>
        <w:t xml:space="preserve"> w</w:t>
      </w:r>
      <w:r w:rsidR="00BE6F6D">
        <w:rPr>
          <w:noProof/>
        </w:rPr>
        <w:t> </w:t>
      </w:r>
      <w:r w:rsidR="00BE6F6D" w:rsidRPr="009A4A22">
        <w:rPr>
          <w:noProof/>
        </w:rPr>
        <w:t>spr</w:t>
      </w:r>
      <w:r w:rsidRPr="009A4A22">
        <w:rPr>
          <w:noProof/>
        </w:rPr>
        <w:t>awie internetowego systemu rozstrzygania sporów (ODR)</w:t>
      </w:r>
      <w:r w:rsidR="00AB06C3" w:rsidRPr="009A4A22">
        <w:rPr>
          <w:rStyle w:val="FootnoteReference"/>
          <w:noProof/>
          <w:bdr w:val="none" w:sz="0" w:space="0" w:color="auto" w:frame="1"/>
        </w:rPr>
        <w:footnoteReference w:id="3"/>
      </w:r>
      <w:r w:rsidRPr="009A4A22">
        <w:rPr>
          <w:noProof/>
        </w:rPr>
        <w:t>.</w:t>
      </w:r>
    </w:p>
    <w:p w14:paraId="1766BCBE" w14:textId="4CCC7A7C" w:rsidR="001D5812" w:rsidRPr="009A4A22" w:rsidRDefault="00AB06C3" w:rsidP="00041A99">
      <w:pPr>
        <w:rPr>
          <w:noProof/>
        </w:rPr>
      </w:pPr>
      <w:r w:rsidRPr="009A4A22">
        <w:rPr>
          <w:noProof/>
        </w:rPr>
        <w:t xml:space="preserve">Niniejszy wniosek ma na celu </w:t>
      </w:r>
      <w:r w:rsidRPr="009A4A22">
        <w:rPr>
          <w:b/>
          <w:noProof/>
        </w:rPr>
        <w:t>utrzymanie obecnego podejścia opartego na minimalnej harmonizacji</w:t>
      </w:r>
      <w:r w:rsidR="00BE6F6D" w:rsidRPr="009A4A22">
        <w:rPr>
          <w:noProof/>
        </w:rPr>
        <w:t xml:space="preserve"> i</w:t>
      </w:r>
      <w:r w:rsidR="00BE6F6D">
        <w:rPr>
          <w:noProof/>
        </w:rPr>
        <w:t> </w:t>
      </w:r>
      <w:r w:rsidR="00BE6F6D" w:rsidRPr="009A4A22">
        <w:rPr>
          <w:noProof/>
        </w:rPr>
        <w:t>jeg</w:t>
      </w:r>
      <w:r w:rsidRPr="009A4A22">
        <w:rPr>
          <w:noProof/>
        </w:rPr>
        <w:t>o zmianę jedynie</w:t>
      </w:r>
      <w:r w:rsidR="00BE6F6D" w:rsidRPr="009A4A22">
        <w:rPr>
          <w:noProof/>
        </w:rPr>
        <w:t xml:space="preserve"> w</w:t>
      </w:r>
      <w:r w:rsidR="00BE6F6D">
        <w:rPr>
          <w:noProof/>
        </w:rPr>
        <w:t> </w:t>
      </w:r>
      <w:r w:rsidR="00BE6F6D" w:rsidRPr="009A4A22">
        <w:rPr>
          <w:noProof/>
        </w:rPr>
        <w:t>cel</w:t>
      </w:r>
      <w:r w:rsidRPr="009A4A22">
        <w:rPr>
          <w:noProof/>
        </w:rPr>
        <w:t xml:space="preserve">u lepszego dostosowania go do współczesnych rynków konsumenckich. </w:t>
      </w:r>
    </w:p>
    <w:p w14:paraId="5B63816A" w14:textId="77777777" w:rsidR="00AB06C3" w:rsidRPr="009A4A22" w:rsidRDefault="00AB06C3" w:rsidP="00AB06C3">
      <w:pPr>
        <w:rPr>
          <w:noProof/>
          <w:bdr w:val="none" w:sz="0" w:space="0" w:color="auto" w:frame="1"/>
        </w:rPr>
      </w:pPr>
    </w:p>
    <w:p w14:paraId="1368A8C9" w14:textId="77777777" w:rsidR="00AB06C3" w:rsidRPr="009A4A22" w:rsidRDefault="00AB06C3" w:rsidP="00041A99">
      <w:pPr>
        <w:rPr>
          <w:noProof/>
        </w:rPr>
      </w:pPr>
    </w:p>
    <w:p w14:paraId="311FE25D" w14:textId="77777777" w:rsidR="001D5812" w:rsidRPr="009A4A22" w:rsidRDefault="001D5812" w:rsidP="00041A99">
      <w:pPr>
        <w:rPr>
          <w:noProof/>
        </w:rPr>
      </w:pPr>
      <w:r w:rsidRPr="009A4A22">
        <w:rPr>
          <w:noProof/>
        </w:rPr>
        <w:t>Cele zmienionej dyrektywy ADR to:</w:t>
      </w:r>
    </w:p>
    <w:p w14:paraId="2F3BDE3B" w14:textId="219A77E7" w:rsidR="001D5812" w:rsidRPr="009A4A22" w:rsidRDefault="001D5812" w:rsidP="00FE74FE">
      <w:pPr>
        <w:pStyle w:val="Bullet0"/>
        <w:numPr>
          <w:ilvl w:val="0"/>
          <w:numId w:val="5"/>
        </w:numPr>
        <w:rPr>
          <w:noProof/>
        </w:rPr>
      </w:pPr>
      <w:r w:rsidRPr="009A4A22">
        <w:rPr>
          <w:noProof/>
        </w:rPr>
        <w:t>dostosowanie ram ADR do rynków cyfrowych polegające na wyraźnym uwzględnieniu szerokiego zakresu praw unijnych konsumentów, które mogą nie być wyraźnie opisane</w:t>
      </w:r>
      <w:r w:rsidR="00BE6F6D" w:rsidRPr="009A4A22">
        <w:rPr>
          <w:noProof/>
        </w:rPr>
        <w:t xml:space="preserve"> w</w:t>
      </w:r>
      <w:r w:rsidR="00BE6F6D">
        <w:rPr>
          <w:noProof/>
        </w:rPr>
        <w:t> </w:t>
      </w:r>
      <w:r w:rsidR="00BE6F6D" w:rsidRPr="009A4A22">
        <w:rPr>
          <w:noProof/>
        </w:rPr>
        <w:t>umo</w:t>
      </w:r>
      <w:r w:rsidRPr="009A4A22">
        <w:rPr>
          <w:noProof/>
        </w:rPr>
        <w:t xml:space="preserve">wach lub które odnoszą się do etapów poprzedzających zawarcie umowy; </w:t>
      </w:r>
    </w:p>
    <w:p w14:paraId="26C94C1C" w14:textId="7109E42D" w:rsidR="001D5812" w:rsidRPr="009A4A22" w:rsidRDefault="001D5812" w:rsidP="00041A99">
      <w:pPr>
        <w:pStyle w:val="Bullet0"/>
        <w:rPr>
          <w:noProof/>
        </w:rPr>
      </w:pPr>
      <w:r w:rsidRPr="009A4A22">
        <w:rPr>
          <w:noProof/>
        </w:rPr>
        <w:t>zwiększenie wykorzystania ADR</w:t>
      </w:r>
      <w:r w:rsidR="00BE6F6D" w:rsidRPr="009A4A22">
        <w:rPr>
          <w:noProof/>
        </w:rPr>
        <w:t xml:space="preserve"> w</w:t>
      </w:r>
      <w:r w:rsidR="00BE6F6D">
        <w:rPr>
          <w:noProof/>
        </w:rPr>
        <w:t> </w:t>
      </w:r>
      <w:r w:rsidR="00BE6F6D" w:rsidRPr="009A4A22">
        <w:rPr>
          <w:noProof/>
        </w:rPr>
        <w:t>spo</w:t>
      </w:r>
      <w:r w:rsidRPr="009A4A22">
        <w:rPr>
          <w:noProof/>
        </w:rPr>
        <w:t>rach transgranicznych przez bardziej zindywidualizowaną pomoc dla konsumentów</w:t>
      </w:r>
      <w:r w:rsidR="00BE6F6D" w:rsidRPr="009A4A22">
        <w:rPr>
          <w:noProof/>
        </w:rPr>
        <w:t xml:space="preserve"> i</w:t>
      </w:r>
      <w:r w:rsidR="00BE6F6D">
        <w:rPr>
          <w:noProof/>
        </w:rPr>
        <w:t> </w:t>
      </w:r>
      <w:r w:rsidR="00BE6F6D" w:rsidRPr="009A4A22">
        <w:rPr>
          <w:noProof/>
        </w:rPr>
        <w:t>prz</w:t>
      </w:r>
      <w:r w:rsidRPr="009A4A22">
        <w:rPr>
          <w:noProof/>
        </w:rPr>
        <w:t>edsiębiorców;</w:t>
      </w:r>
    </w:p>
    <w:p w14:paraId="13799D60" w14:textId="1F545595" w:rsidR="001D5812" w:rsidRPr="009A4A22" w:rsidRDefault="001D5812" w:rsidP="00041A99">
      <w:pPr>
        <w:pStyle w:val="Bullet0"/>
        <w:rPr>
          <w:noProof/>
        </w:rPr>
      </w:pPr>
      <w:r w:rsidRPr="009A4A22">
        <w:rPr>
          <w:noProof/>
        </w:rPr>
        <w:t>uproszczenie postępowań ADR</w:t>
      </w:r>
      <w:r w:rsidR="00BE6F6D" w:rsidRPr="009A4A22">
        <w:rPr>
          <w:noProof/>
        </w:rPr>
        <w:t xml:space="preserve"> z</w:t>
      </w:r>
      <w:r w:rsidR="00BE6F6D">
        <w:rPr>
          <w:noProof/>
        </w:rPr>
        <w:t> </w:t>
      </w:r>
      <w:r w:rsidR="00BE6F6D" w:rsidRPr="009A4A22">
        <w:rPr>
          <w:noProof/>
        </w:rPr>
        <w:t>kor</w:t>
      </w:r>
      <w:r w:rsidRPr="009A4A22">
        <w:rPr>
          <w:noProof/>
        </w:rPr>
        <w:t>zyścią dla wszystkich stron;</w:t>
      </w:r>
      <w:r w:rsidR="00BE6F6D" w:rsidRPr="009A4A22">
        <w:rPr>
          <w:noProof/>
        </w:rPr>
        <w:t xml:space="preserve"> w</w:t>
      </w:r>
      <w:r w:rsidR="00BE6F6D">
        <w:rPr>
          <w:noProof/>
        </w:rPr>
        <w:t> </w:t>
      </w:r>
      <w:r w:rsidR="00BE6F6D" w:rsidRPr="009A4A22">
        <w:rPr>
          <w:noProof/>
        </w:rPr>
        <w:t>tym</w:t>
      </w:r>
      <w:r w:rsidRPr="009A4A22">
        <w:rPr>
          <w:noProof/>
        </w:rPr>
        <w:t xml:space="preserve"> ograniczenie obowiązków sprawozdawczych podmiotów ADR oraz obowiązków informacyjnych spoczywających na przedsiębiorcach, przy równoczesnym zachęcaniu przedsiębiorców do większego zaangażowania</w:t>
      </w:r>
      <w:r w:rsidR="00BE6F6D" w:rsidRPr="009A4A22">
        <w:rPr>
          <w:noProof/>
        </w:rPr>
        <w:t xml:space="preserve"> w</w:t>
      </w:r>
      <w:r w:rsidR="00BE6F6D">
        <w:rPr>
          <w:noProof/>
        </w:rPr>
        <w:t> </w:t>
      </w:r>
      <w:r w:rsidR="00BE6F6D" w:rsidRPr="009A4A22">
        <w:rPr>
          <w:noProof/>
        </w:rPr>
        <w:t>pro</w:t>
      </w:r>
      <w:r w:rsidRPr="009A4A22">
        <w:rPr>
          <w:noProof/>
        </w:rPr>
        <w:t xml:space="preserve">cedury ADR przez wprowadzenie obowiązku udzielenia odpowiedzi. </w:t>
      </w:r>
    </w:p>
    <w:p w14:paraId="3B971F20" w14:textId="7DD62BFF" w:rsidR="001D5812" w:rsidRPr="009A4A22" w:rsidRDefault="001D5812" w:rsidP="001D5812">
      <w:pPr>
        <w:rPr>
          <w:noProof/>
          <w:szCs w:val="24"/>
        </w:rPr>
      </w:pPr>
      <w:r w:rsidRPr="009A4A22">
        <w:rPr>
          <w:noProof/>
        </w:rPr>
        <w:t>Aby osiągnąć te cele,</w:t>
      </w:r>
      <w:r w:rsidR="00BE6F6D" w:rsidRPr="009A4A22">
        <w:rPr>
          <w:noProof/>
        </w:rPr>
        <w:t xml:space="preserve"> w</w:t>
      </w:r>
      <w:r w:rsidR="00BE6F6D">
        <w:rPr>
          <w:noProof/>
        </w:rPr>
        <w:t> </w:t>
      </w:r>
      <w:r w:rsidR="00BE6F6D" w:rsidRPr="009A4A22">
        <w:rPr>
          <w:noProof/>
        </w:rPr>
        <w:t>nin</w:t>
      </w:r>
      <w:r w:rsidRPr="009A4A22">
        <w:rPr>
          <w:noProof/>
        </w:rPr>
        <w:t>iejszym wniosku zawarto następujące elementy:</w:t>
      </w:r>
    </w:p>
    <w:p w14:paraId="2F91F1C2" w14:textId="26FE0F0F" w:rsidR="001D5812" w:rsidRPr="009A4A22" w:rsidRDefault="001D5812" w:rsidP="00041A99">
      <w:pPr>
        <w:pStyle w:val="Bullet0"/>
        <w:rPr>
          <w:noProof/>
        </w:rPr>
      </w:pPr>
      <w:r w:rsidRPr="009A4A22">
        <w:rPr>
          <w:b/>
          <w:noProof/>
        </w:rPr>
        <w:t>Zakres stosowania:</w:t>
      </w:r>
      <w:r w:rsidRPr="009A4A22">
        <w:rPr>
          <w:noProof/>
        </w:rPr>
        <w:t xml:space="preserve"> doprecyzowanie</w:t>
      </w:r>
      <w:r w:rsidR="00BE6F6D" w:rsidRPr="009A4A22">
        <w:rPr>
          <w:noProof/>
        </w:rPr>
        <w:t xml:space="preserve"> i</w:t>
      </w:r>
      <w:r w:rsidR="00BE6F6D">
        <w:rPr>
          <w:noProof/>
        </w:rPr>
        <w:t> </w:t>
      </w:r>
      <w:r w:rsidR="00BE6F6D" w:rsidRPr="009A4A22">
        <w:rPr>
          <w:noProof/>
        </w:rPr>
        <w:t>roz</w:t>
      </w:r>
      <w:r w:rsidRPr="009A4A22">
        <w:rPr>
          <w:noProof/>
        </w:rPr>
        <w:t>szerzenie zakresu przedmiotowego</w:t>
      </w:r>
      <w:r w:rsidR="00BE6F6D" w:rsidRPr="009A4A22">
        <w:rPr>
          <w:noProof/>
        </w:rPr>
        <w:t xml:space="preserve"> i</w:t>
      </w:r>
      <w:r w:rsidR="00BE6F6D">
        <w:rPr>
          <w:noProof/>
        </w:rPr>
        <w:t> </w:t>
      </w:r>
      <w:r w:rsidR="00BE6F6D" w:rsidRPr="009A4A22">
        <w:rPr>
          <w:noProof/>
        </w:rPr>
        <w:t>geo</w:t>
      </w:r>
      <w:r w:rsidRPr="009A4A22">
        <w:rPr>
          <w:noProof/>
        </w:rPr>
        <w:t xml:space="preserve">graficznego dyrektywy ADR, tak aby obejmowała ona: </w:t>
      </w:r>
    </w:p>
    <w:p w14:paraId="0CF45EDF" w14:textId="30708022" w:rsidR="001D5812" w:rsidRPr="009A4A22" w:rsidRDefault="001D5812" w:rsidP="00FE74FE">
      <w:pPr>
        <w:pStyle w:val="Bullet0"/>
        <w:numPr>
          <w:ilvl w:val="0"/>
          <w:numId w:val="6"/>
        </w:numPr>
        <w:rPr>
          <w:noProof/>
        </w:rPr>
      </w:pPr>
      <w:r w:rsidRPr="009A4A22">
        <w:rPr>
          <w:noProof/>
        </w:rPr>
        <w:t>wszelkiego rodzaju spory</w:t>
      </w:r>
      <w:r w:rsidR="00BE6F6D" w:rsidRPr="009A4A22">
        <w:rPr>
          <w:noProof/>
        </w:rPr>
        <w:t xml:space="preserve"> z</w:t>
      </w:r>
      <w:r w:rsidR="00BE6F6D">
        <w:rPr>
          <w:noProof/>
        </w:rPr>
        <w:t> </w:t>
      </w:r>
      <w:r w:rsidR="00BE6F6D" w:rsidRPr="009A4A22">
        <w:rPr>
          <w:noProof/>
        </w:rPr>
        <w:t>zak</w:t>
      </w:r>
      <w:r w:rsidRPr="009A4A22">
        <w:rPr>
          <w:noProof/>
        </w:rPr>
        <w:t>resu prawa konsumenckiego UE (tj. bez ograniczania zakresu do sporów dotyczących umowy). Problem</w:t>
      </w:r>
      <w:r w:rsidR="00BE6F6D" w:rsidRPr="009A4A22">
        <w:rPr>
          <w:noProof/>
        </w:rPr>
        <w:t xml:space="preserve"> z</w:t>
      </w:r>
      <w:r w:rsidR="00BE6F6D">
        <w:rPr>
          <w:noProof/>
        </w:rPr>
        <w:t> </w:t>
      </w:r>
      <w:r w:rsidR="00BE6F6D" w:rsidRPr="009A4A22">
        <w:rPr>
          <w:noProof/>
        </w:rPr>
        <w:t>obe</w:t>
      </w:r>
      <w:r w:rsidRPr="009A4A22">
        <w:rPr>
          <w:noProof/>
        </w:rPr>
        <w:t>cną dyrektywą polega na tym, że jej zakres jest wąsko określony</w:t>
      </w:r>
      <w:r w:rsidR="00BE6F6D" w:rsidRPr="009A4A22">
        <w:rPr>
          <w:noProof/>
        </w:rPr>
        <w:t xml:space="preserve"> i</w:t>
      </w:r>
      <w:r w:rsidR="00BE6F6D">
        <w:rPr>
          <w:noProof/>
        </w:rPr>
        <w:t> </w:t>
      </w:r>
      <w:r w:rsidR="00BE6F6D" w:rsidRPr="009A4A22">
        <w:rPr>
          <w:noProof/>
        </w:rPr>
        <w:t>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tym</w:t>
      </w:r>
      <w:r w:rsidRPr="009A4A22">
        <w:rPr>
          <w:noProof/>
        </w:rPr>
        <w:t xml:space="preserve"> może wykluczać spory związane</w:t>
      </w:r>
      <w:r w:rsidR="00BE6F6D" w:rsidRPr="009A4A22">
        <w:rPr>
          <w:noProof/>
        </w:rPr>
        <w:t xml:space="preserve"> z</w:t>
      </w:r>
      <w:r w:rsidR="00BE6F6D">
        <w:rPr>
          <w:noProof/>
        </w:rPr>
        <w:t> </w:t>
      </w:r>
      <w:r w:rsidR="00BE6F6D" w:rsidRPr="009A4A22">
        <w:rPr>
          <w:noProof/>
        </w:rPr>
        <w:t>eta</w:t>
      </w:r>
      <w:r w:rsidRPr="009A4A22">
        <w:rPr>
          <w:noProof/>
        </w:rPr>
        <w:t>pami poprzedzającymi zawarcie umowy lub prawami ustawowymi, takimi jak zmiana dostawcy usług lub ochrona przed blokowaniem geograficznym;</w:t>
      </w:r>
    </w:p>
    <w:p w14:paraId="15E837C1" w14:textId="062EC8DC" w:rsidR="001D5812" w:rsidRPr="009A4A22" w:rsidRDefault="00767FD9" w:rsidP="00FE74FE">
      <w:pPr>
        <w:pStyle w:val="Bullet0"/>
        <w:numPr>
          <w:ilvl w:val="0"/>
          <w:numId w:val="6"/>
        </w:numPr>
        <w:rPr>
          <w:noProof/>
        </w:rPr>
      </w:pPr>
      <w:r w:rsidRPr="009A4A22">
        <w:rPr>
          <w:noProof/>
        </w:rPr>
        <w:t>spory między konsumentami z UE</w:t>
      </w:r>
      <w:r w:rsidR="00BE6F6D" w:rsidRPr="009A4A22">
        <w:rPr>
          <w:noProof/>
        </w:rPr>
        <w:t xml:space="preserve"> a</w:t>
      </w:r>
      <w:r w:rsidR="00BE6F6D">
        <w:rPr>
          <w:noProof/>
        </w:rPr>
        <w:t> </w:t>
      </w:r>
      <w:r w:rsidR="00BE6F6D" w:rsidRPr="009A4A22">
        <w:rPr>
          <w:noProof/>
        </w:rPr>
        <w:t>prz</w:t>
      </w:r>
      <w:r w:rsidRPr="009A4A22">
        <w:rPr>
          <w:noProof/>
        </w:rPr>
        <w:t>edsiębiorcami spoza UE (którzy będą mogli uczestniczyć</w:t>
      </w:r>
      <w:r w:rsidR="00BE6F6D" w:rsidRPr="009A4A22">
        <w:rPr>
          <w:noProof/>
        </w:rPr>
        <w:t xml:space="preserve"> w</w:t>
      </w:r>
      <w:r w:rsidR="00BE6F6D">
        <w:rPr>
          <w:noProof/>
        </w:rPr>
        <w:t> </w:t>
      </w:r>
      <w:r w:rsidR="00BE6F6D" w:rsidRPr="009A4A22">
        <w:rPr>
          <w:noProof/>
        </w:rPr>
        <w:t>pos</w:t>
      </w:r>
      <w:r w:rsidRPr="009A4A22">
        <w:rPr>
          <w:noProof/>
        </w:rPr>
        <w:t>tępowaniach ADR na zasadzie dobrowolności,</w:t>
      </w:r>
      <w:r w:rsidR="00BE6F6D" w:rsidRPr="009A4A22">
        <w:rPr>
          <w:noProof/>
        </w:rPr>
        <w:t xml:space="preserve"> w</w:t>
      </w:r>
      <w:r w:rsidR="00BE6F6D">
        <w:rPr>
          <w:noProof/>
        </w:rPr>
        <w:t> </w:t>
      </w:r>
      <w:r w:rsidR="00BE6F6D" w:rsidRPr="009A4A22">
        <w:rPr>
          <w:noProof/>
        </w:rPr>
        <w:t>ten</w:t>
      </w:r>
      <w:r w:rsidRPr="009A4A22">
        <w:rPr>
          <w:noProof/>
        </w:rPr>
        <w:t xml:space="preserve"> sam sposób co przedsiębiorcy z UE).</w:t>
      </w:r>
    </w:p>
    <w:p w14:paraId="08AF9712" w14:textId="0307BB4D" w:rsidR="001D5812" w:rsidRPr="009A4A22" w:rsidRDefault="001D5812" w:rsidP="00FE74FE">
      <w:pPr>
        <w:pStyle w:val="Bullet0"/>
        <w:numPr>
          <w:ilvl w:val="0"/>
          <w:numId w:val="7"/>
        </w:numPr>
        <w:ind w:left="851" w:hanging="851"/>
        <w:rPr>
          <w:noProof/>
        </w:rPr>
      </w:pPr>
      <w:r w:rsidRPr="009A4A22">
        <w:rPr>
          <w:b/>
          <w:noProof/>
        </w:rPr>
        <w:t>Obowiązek udzielenia odpowiedzi</w:t>
      </w:r>
      <w:r w:rsidRPr="009A4A22">
        <w:rPr>
          <w:noProof/>
        </w:rPr>
        <w:t>: wymóg udzielenia przez przedsiębiorców odpowiedzi na zapytanie podmiotu ADR dotyczące tego, czy dany przedsiębiorca zamierza uczestniczyć</w:t>
      </w:r>
      <w:r w:rsidR="00BE6F6D" w:rsidRPr="009A4A22">
        <w:rPr>
          <w:noProof/>
        </w:rPr>
        <w:t xml:space="preserve"> w</w:t>
      </w:r>
      <w:r w:rsidR="00BE6F6D">
        <w:rPr>
          <w:noProof/>
        </w:rPr>
        <w:t> </w:t>
      </w:r>
      <w:r w:rsidR="00BE6F6D" w:rsidRPr="009A4A22">
        <w:rPr>
          <w:noProof/>
        </w:rPr>
        <w:t>pos</w:t>
      </w:r>
      <w:r w:rsidRPr="009A4A22">
        <w:rPr>
          <w:noProof/>
        </w:rPr>
        <w:t>tępowaniu ADR, czy też nie (bez narzucania obowiązku udziału</w:t>
      </w:r>
      <w:r w:rsidR="00BE6F6D" w:rsidRPr="009A4A22">
        <w:rPr>
          <w:noProof/>
        </w:rPr>
        <w:t xml:space="preserve"> w</w:t>
      </w:r>
      <w:r w:rsidR="00BE6F6D">
        <w:rPr>
          <w:noProof/>
        </w:rPr>
        <w:t> </w:t>
      </w:r>
      <w:r w:rsidR="00BE6F6D" w:rsidRPr="009A4A22">
        <w:rPr>
          <w:noProof/>
        </w:rPr>
        <w:t>pos</w:t>
      </w:r>
      <w:r w:rsidRPr="009A4A22">
        <w:rPr>
          <w:noProof/>
        </w:rPr>
        <w:t>tępowaniach ADR).</w:t>
      </w:r>
    </w:p>
    <w:p w14:paraId="53434A9B" w14:textId="58E3FDD6" w:rsidR="001D5812" w:rsidRPr="009A4A22" w:rsidRDefault="001D5812" w:rsidP="00FE74FE">
      <w:pPr>
        <w:pStyle w:val="Bullet0"/>
        <w:numPr>
          <w:ilvl w:val="0"/>
          <w:numId w:val="7"/>
        </w:numPr>
        <w:ind w:left="851" w:hanging="851"/>
        <w:rPr>
          <w:noProof/>
        </w:rPr>
      </w:pPr>
      <w:r w:rsidRPr="009A4A22">
        <w:rPr>
          <w:b/>
          <w:noProof/>
        </w:rPr>
        <w:t>Obowiązki informowania</w:t>
      </w:r>
      <w:r w:rsidRPr="009A4A22">
        <w:rPr>
          <w:noProof/>
        </w:rPr>
        <w:t>: zniesienie obowiązku informowania konsumentów przez przedsiębiorców</w:t>
      </w:r>
      <w:r w:rsidR="00BE6F6D" w:rsidRPr="009A4A22">
        <w:rPr>
          <w:noProof/>
        </w:rPr>
        <w:t xml:space="preserve"> o</w:t>
      </w:r>
      <w:r w:rsidR="00BE6F6D">
        <w:rPr>
          <w:noProof/>
        </w:rPr>
        <w:t> </w:t>
      </w:r>
      <w:r w:rsidR="00BE6F6D" w:rsidRPr="009A4A22">
        <w:rPr>
          <w:noProof/>
        </w:rPr>
        <w:t>pod</w:t>
      </w:r>
      <w:r w:rsidRPr="009A4A22">
        <w:rPr>
          <w:noProof/>
        </w:rPr>
        <w:t>miotach ADR,</w:t>
      </w:r>
      <w:r w:rsidR="00BE6F6D" w:rsidRPr="009A4A22">
        <w:rPr>
          <w:noProof/>
        </w:rPr>
        <w:t xml:space="preserve"> w</w:t>
      </w:r>
      <w:r w:rsidR="00BE6F6D">
        <w:rPr>
          <w:noProof/>
        </w:rPr>
        <w:t> </w:t>
      </w:r>
      <w:r w:rsidR="00BE6F6D" w:rsidRPr="009A4A22">
        <w:rPr>
          <w:noProof/>
        </w:rPr>
        <w:t>prz</w:t>
      </w:r>
      <w:r w:rsidRPr="009A4A22">
        <w:rPr>
          <w:noProof/>
        </w:rPr>
        <w:t>ypadku gdy nie zamierzają oni brać udziału</w:t>
      </w:r>
      <w:r w:rsidR="00BE6F6D" w:rsidRPr="009A4A22">
        <w:rPr>
          <w:noProof/>
        </w:rPr>
        <w:t xml:space="preserve"> w</w:t>
      </w:r>
      <w:r w:rsidR="00BE6F6D">
        <w:rPr>
          <w:noProof/>
        </w:rPr>
        <w:t> </w:t>
      </w:r>
      <w:r w:rsidR="00BE6F6D" w:rsidRPr="009A4A22">
        <w:rPr>
          <w:noProof/>
        </w:rPr>
        <w:t>pos</w:t>
      </w:r>
      <w:r w:rsidRPr="009A4A22">
        <w:rPr>
          <w:noProof/>
        </w:rPr>
        <w:t xml:space="preserve">tępowaniu. </w:t>
      </w:r>
    </w:p>
    <w:p w14:paraId="5791F792" w14:textId="1E972CE2" w:rsidR="001D5812" w:rsidRPr="009A4A22" w:rsidRDefault="001D5812" w:rsidP="00FE74FE">
      <w:pPr>
        <w:pStyle w:val="Bullet0"/>
        <w:numPr>
          <w:ilvl w:val="0"/>
          <w:numId w:val="7"/>
        </w:numPr>
        <w:ind w:left="851" w:hanging="851"/>
        <w:rPr>
          <w:noProof/>
        </w:rPr>
      </w:pPr>
      <w:r w:rsidRPr="009A4A22">
        <w:rPr>
          <w:b/>
          <w:noProof/>
        </w:rPr>
        <w:t>Transgraniczne pozasądowe rozstrzyganie sporów</w:t>
      </w:r>
      <w:r w:rsidRPr="009A4A22">
        <w:rPr>
          <w:noProof/>
        </w:rPr>
        <w:t>: powierzenie właściwym organom,</w:t>
      </w:r>
      <w:r w:rsidR="00BE6F6D" w:rsidRPr="009A4A22">
        <w:rPr>
          <w:noProof/>
        </w:rPr>
        <w:t xml:space="preserve"> a</w:t>
      </w:r>
      <w:r w:rsidR="00BE6F6D">
        <w:rPr>
          <w:noProof/>
        </w:rPr>
        <w:t> </w:t>
      </w:r>
      <w:r w:rsidR="00BE6F6D" w:rsidRPr="009A4A22">
        <w:rPr>
          <w:noProof/>
        </w:rPr>
        <w:t>zwł</w:t>
      </w:r>
      <w:r w:rsidRPr="009A4A22">
        <w:rPr>
          <w:noProof/>
        </w:rPr>
        <w:t>aszcza Europejskim Centrom Konsumenckim, nowej dodatkowej roli</w:t>
      </w:r>
      <w:r w:rsidR="00BE6F6D" w:rsidRPr="009A4A22">
        <w:rPr>
          <w:noProof/>
        </w:rPr>
        <w:t xml:space="preserve"> w</w:t>
      </w:r>
      <w:r w:rsidR="00BE6F6D">
        <w:rPr>
          <w:noProof/>
        </w:rPr>
        <w:t> </w:t>
      </w:r>
      <w:r w:rsidR="00BE6F6D" w:rsidRPr="009A4A22">
        <w:rPr>
          <w:noProof/>
        </w:rPr>
        <w:t>udz</w:t>
      </w:r>
      <w:r w:rsidRPr="009A4A22">
        <w:rPr>
          <w:noProof/>
        </w:rPr>
        <w:t>ielaniu pomocy</w:t>
      </w:r>
      <w:r w:rsidR="00BE6F6D" w:rsidRPr="009A4A22">
        <w:rPr>
          <w:noProof/>
        </w:rPr>
        <w:t xml:space="preserve"> i</w:t>
      </w:r>
      <w:r w:rsidR="00BE6F6D">
        <w:rPr>
          <w:noProof/>
        </w:rPr>
        <w:t> </w:t>
      </w:r>
      <w:r w:rsidR="00BE6F6D" w:rsidRPr="009A4A22">
        <w:rPr>
          <w:noProof/>
        </w:rPr>
        <w:t>wsk</w:t>
      </w:r>
      <w:r w:rsidRPr="009A4A22">
        <w:rPr>
          <w:noProof/>
        </w:rPr>
        <w:t>azywaniu właściwej ścieżki konsumentom</w:t>
      </w:r>
      <w:r w:rsidR="00BE6F6D" w:rsidRPr="009A4A22">
        <w:rPr>
          <w:noProof/>
        </w:rPr>
        <w:t xml:space="preserve"> w</w:t>
      </w:r>
      <w:r w:rsidR="00BE6F6D">
        <w:rPr>
          <w:noProof/>
        </w:rPr>
        <w:t> </w:t>
      </w:r>
      <w:r w:rsidR="00BE6F6D" w:rsidRPr="009A4A22">
        <w:rPr>
          <w:noProof/>
        </w:rPr>
        <w:t>spo</w:t>
      </w:r>
      <w:r w:rsidRPr="009A4A22">
        <w:rPr>
          <w:noProof/>
        </w:rPr>
        <w:t>rach transgranicznych,</w:t>
      </w:r>
      <w:r w:rsidR="00BE6F6D" w:rsidRPr="009A4A22">
        <w:rPr>
          <w:noProof/>
        </w:rPr>
        <w:t xml:space="preserve"> a</w:t>
      </w:r>
      <w:r w:rsidR="00BE6F6D">
        <w:rPr>
          <w:noProof/>
        </w:rPr>
        <w:t> </w:t>
      </w:r>
      <w:r w:rsidR="00BE6F6D" w:rsidRPr="009A4A22">
        <w:rPr>
          <w:noProof/>
        </w:rPr>
        <w:t>tak</w:t>
      </w:r>
      <w:r w:rsidRPr="009A4A22">
        <w:rPr>
          <w:noProof/>
        </w:rPr>
        <w:t>że zobowiązanie Komisji do wprowadzenia przyjaznych dla użytkownika narzędzi cyfrowych, które pomagałyby konsumentom</w:t>
      </w:r>
      <w:r w:rsidR="00BE6F6D" w:rsidRPr="009A4A22">
        <w:rPr>
          <w:noProof/>
        </w:rPr>
        <w:t xml:space="preserve"> w</w:t>
      </w:r>
      <w:r w:rsidR="00BE6F6D">
        <w:rPr>
          <w:noProof/>
        </w:rPr>
        <w:t> </w:t>
      </w:r>
      <w:r w:rsidR="00BE6F6D" w:rsidRPr="009A4A22">
        <w:rPr>
          <w:noProof/>
        </w:rPr>
        <w:t>zna</w:t>
      </w:r>
      <w:r w:rsidRPr="009A4A22">
        <w:rPr>
          <w:noProof/>
        </w:rPr>
        <w:t>lezieniu właściwego organu umożliwiającego im rozstrzyganie sporów.</w:t>
      </w:r>
    </w:p>
    <w:p w14:paraId="15D37F06" w14:textId="69EDD47C" w:rsidR="00823A57" w:rsidRPr="009A4A22" w:rsidRDefault="00823A57" w:rsidP="00823A57">
      <w:pPr>
        <w:pBdr>
          <w:top w:val="nil"/>
          <w:left w:val="nil"/>
          <w:bottom w:val="nil"/>
          <w:right w:val="nil"/>
          <w:between w:val="nil"/>
          <w:bar w:val="nil"/>
        </w:pBdr>
        <w:rPr>
          <w:rFonts w:eastAsia="Calibri"/>
          <w:noProof/>
          <w:szCs w:val="24"/>
        </w:rPr>
      </w:pPr>
      <w:r w:rsidRPr="009A4A22">
        <w:rPr>
          <w:noProof/>
        </w:rPr>
        <w:t xml:space="preserve">W swoim komunikacie „Długoterminowa konkurencyjność UE: perspektywa na przyszłość </w:t>
      </w:r>
      <w:r w:rsidRPr="00BE6F6D">
        <w:rPr>
          <w:noProof/>
        </w:rPr>
        <w:t>po</w:t>
      </w:r>
      <w:r w:rsidR="00BE6F6D" w:rsidRPr="00BE6F6D">
        <w:rPr>
          <w:noProof/>
        </w:rPr>
        <w:t> </w:t>
      </w:r>
      <w:r w:rsidRPr="00BE6F6D">
        <w:rPr>
          <w:noProof/>
        </w:rPr>
        <w:t>2</w:t>
      </w:r>
      <w:r w:rsidRPr="009A4A22">
        <w:rPr>
          <w:noProof/>
        </w:rPr>
        <w:t>0</w:t>
      </w:r>
      <w:r w:rsidRPr="00BE6F6D">
        <w:rPr>
          <w:noProof/>
        </w:rPr>
        <w:t>30</w:t>
      </w:r>
      <w:r w:rsidR="00BE6F6D" w:rsidRPr="00BE6F6D">
        <w:rPr>
          <w:noProof/>
        </w:rPr>
        <w:t> </w:t>
      </w:r>
      <w:r w:rsidRPr="00BE6F6D">
        <w:rPr>
          <w:noProof/>
        </w:rPr>
        <w:t>r.</w:t>
      </w:r>
      <w:r w:rsidRPr="009A4A22">
        <w:rPr>
          <w:noProof/>
        </w:rPr>
        <w:t>”</w:t>
      </w:r>
      <w:r w:rsidR="00DF350B" w:rsidRPr="009A4A22">
        <w:rPr>
          <w:rStyle w:val="FootnoteReference"/>
          <w:rFonts w:eastAsia="Calibri"/>
          <w:noProof/>
        </w:rPr>
        <w:footnoteReference w:id="4"/>
      </w:r>
      <w:r w:rsidRPr="009A4A22">
        <w:rPr>
          <w:noProof/>
        </w:rPr>
        <w:t xml:space="preserve"> Komisja podkreśliła znaczenie systemu regulacyjnego, który zapewnia realizację celów Unii po minimalnych kosztach. Zobowiązała się więc do podjęcia nowy działań, jeśli chodzi</w:t>
      </w:r>
      <w:r w:rsidR="00BE6F6D" w:rsidRPr="009A4A22">
        <w:rPr>
          <w:noProof/>
        </w:rPr>
        <w:t xml:space="preserve"> o</w:t>
      </w:r>
      <w:r w:rsidR="00BE6F6D">
        <w:rPr>
          <w:noProof/>
        </w:rPr>
        <w:t> </w:t>
      </w:r>
      <w:r w:rsidR="00BE6F6D" w:rsidRPr="009A4A22">
        <w:rPr>
          <w:noProof/>
        </w:rPr>
        <w:t>rac</w:t>
      </w:r>
      <w:r w:rsidRPr="009A4A22">
        <w:rPr>
          <w:noProof/>
        </w:rPr>
        <w:t>jonalizację</w:t>
      </w:r>
      <w:r w:rsidR="00BE6F6D" w:rsidRPr="009A4A22">
        <w:rPr>
          <w:noProof/>
        </w:rPr>
        <w:t xml:space="preserve"> i</w:t>
      </w:r>
      <w:r w:rsidR="00BE6F6D">
        <w:rPr>
          <w:noProof/>
        </w:rPr>
        <w:t> </w:t>
      </w:r>
      <w:r w:rsidR="00BE6F6D" w:rsidRPr="009A4A22">
        <w:rPr>
          <w:noProof/>
        </w:rPr>
        <w:t>upr</w:t>
      </w:r>
      <w:r w:rsidRPr="009A4A22">
        <w:rPr>
          <w:noProof/>
        </w:rPr>
        <w:t>oszczenie wymogów</w:t>
      </w:r>
      <w:r w:rsidR="00BE6F6D" w:rsidRPr="009A4A22">
        <w:rPr>
          <w:noProof/>
        </w:rPr>
        <w:t xml:space="preserve"> w</w:t>
      </w:r>
      <w:r w:rsidR="00BE6F6D">
        <w:rPr>
          <w:noProof/>
        </w:rPr>
        <w:t> </w:t>
      </w:r>
      <w:r w:rsidR="00BE6F6D" w:rsidRPr="009A4A22">
        <w:rPr>
          <w:noProof/>
        </w:rPr>
        <w:t>zak</w:t>
      </w:r>
      <w:r w:rsidRPr="009A4A22">
        <w:rPr>
          <w:noProof/>
        </w:rPr>
        <w:t>resie sprawozdawczości, i za ostateczny cel przyjęła zmniejszenie takich obciążeń</w:t>
      </w:r>
      <w:r w:rsidR="00BE6F6D" w:rsidRPr="009A4A22">
        <w:rPr>
          <w:noProof/>
        </w:rPr>
        <w:t xml:space="preserve"> o</w:t>
      </w:r>
      <w:r w:rsidR="00BE6F6D">
        <w:rPr>
          <w:noProof/>
        </w:rPr>
        <w:t> </w:t>
      </w:r>
      <w:r w:rsidR="00BE6F6D" w:rsidRPr="009A4A22">
        <w:rPr>
          <w:noProof/>
        </w:rPr>
        <w:t>2</w:t>
      </w:r>
      <w:r w:rsidRPr="009A4A22">
        <w:rPr>
          <w:noProof/>
        </w:rPr>
        <w:t>5 %, bez uszczerbku dla powiązanych</w:t>
      </w:r>
      <w:r w:rsidR="00BE6F6D" w:rsidRPr="009A4A22">
        <w:rPr>
          <w:noProof/>
        </w:rPr>
        <w:t xml:space="preserve"> z</w:t>
      </w:r>
      <w:r w:rsidR="00BE6F6D">
        <w:rPr>
          <w:noProof/>
        </w:rPr>
        <w:t> </w:t>
      </w:r>
      <w:r w:rsidR="00BE6F6D" w:rsidRPr="009A4A22">
        <w:rPr>
          <w:noProof/>
        </w:rPr>
        <w:t>nim</w:t>
      </w:r>
      <w:r w:rsidRPr="009A4A22">
        <w:rPr>
          <w:noProof/>
        </w:rPr>
        <w:t xml:space="preserve">i celów politycznych. </w:t>
      </w:r>
      <w:r w:rsidRPr="009A4A22">
        <w:rPr>
          <w:noProof/>
          <w:color w:val="000000"/>
          <w:bdr w:val="none" w:sz="0" w:space="0" w:color="auto" w:frame="1"/>
        </w:rPr>
        <w:t>Zmiany proponowane</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odn</w:t>
      </w:r>
      <w:r w:rsidRPr="009A4A22">
        <w:rPr>
          <w:noProof/>
          <w:color w:val="000000"/>
          <w:bdr w:val="none" w:sz="0" w:space="0" w:color="auto" w:frame="1"/>
        </w:rPr>
        <w:t xml:space="preserve">iesieniu do ADR/ODR są zatem częścią pakietu racjonalizacyjnego. </w:t>
      </w:r>
    </w:p>
    <w:p w14:paraId="6DBCBAA1" w14:textId="79F9C204" w:rsidR="001D5812" w:rsidRPr="009A4A22" w:rsidRDefault="001D5812" w:rsidP="00041A99">
      <w:pPr>
        <w:rPr>
          <w:rFonts w:eastAsia="Times New Roman"/>
          <w:noProof/>
          <w:szCs w:val="24"/>
        </w:rPr>
      </w:pPr>
      <w:r w:rsidRPr="009A4A22">
        <w:rPr>
          <w:noProof/>
        </w:rPr>
        <w:t>Wymogi</w:t>
      </w:r>
      <w:r w:rsidR="00BE6F6D" w:rsidRPr="009A4A22">
        <w:rPr>
          <w:noProof/>
        </w:rPr>
        <w:t xml:space="preserve"> w</w:t>
      </w:r>
      <w:r w:rsidR="00BE6F6D">
        <w:rPr>
          <w:noProof/>
        </w:rPr>
        <w:t> </w:t>
      </w:r>
      <w:r w:rsidR="00BE6F6D" w:rsidRPr="009A4A22">
        <w:rPr>
          <w:noProof/>
        </w:rPr>
        <w:t>zak</w:t>
      </w:r>
      <w:r w:rsidRPr="009A4A22">
        <w:rPr>
          <w:noProof/>
        </w:rPr>
        <w:t>resie sprawozdawczości są kluczowe dla zapewnienia prawidłowego egzekwowania</w:t>
      </w:r>
      <w:r w:rsidR="00BE6F6D" w:rsidRPr="009A4A22">
        <w:rPr>
          <w:noProof/>
        </w:rPr>
        <w:t xml:space="preserve"> i</w:t>
      </w:r>
      <w:r w:rsidR="00BE6F6D">
        <w:rPr>
          <w:noProof/>
        </w:rPr>
        <w:t> </w:t>
      </w:r>
      <w:r w:rsidR="00BE6F6D" w:rsidRPr="009A4A22">
        <w:rPr>
          <w:noProof/>
        </w:rPr>
        <w:t>nal</w:t>
      </w:r>
      <w:r w:rsidRPr="009A4A22">
        <w:rPr>
          <w:noProof/>
        </w:rPr>
        <w:t>eżytego monitorowania prawodawstwa. Ich koszty są</w:t>
      </w:r>
      <w:r w:rsidR="00BE6F6D" w:rsidRPr="009A4A22">
        <w:rPr>
          <w:noProof/>
        </w:rPr>
        <w:t xml:space="preserve"> w</w:t>
      </w:r>
      <w:r w:rsidR="00BE6F6D">
        <w:rPr>
          <w:noProof/>
        </w:rPr>
        <w:t> </w:t>
      </w:r>
      <w:r w:rsidR="00BE6F6D" w:rsidRPr="009A4A22">
        <w:rPr>
          <w:noProof/>
        </w:rPr>
        <w:t>duż</w:t>
      </w:r>
      <w:r w:rsidRPr="009A4A22">
        <w:rPr>
          <w:noProof/>
        </w:rPr>
        <w:t>ej mierze kompensowane korzyściami, które przynoszą, szczególnie</w:t>
      </w:r>
      <w:r w:rsidR="00BE6F6D" w:rsidRPr="009A4A22">
        <w:rPr>
          <w:noProof/>
        </w:rPr>
        <w:t xml:space="preserve"> w</w:t>
      </w:r>
      <w:r w:rsidR="00BE6F6D">
        <w:rPr>
          <w:noProof/>
        </w:rPr>
        <w:t> </w:t>
      </w:r>
      <w:r w:rsidR="00BE6F6D" w:rsidRPr="009A4A22">
        <w:rPr>
          <w:noProof/>
        </w:rPr>
        <w:t>zak</w:t>
      </w:r>
      <w:r w:rsidRPr="009A4A22">
        <w:rPr>
          <w:noProof/>
        </w:rPr>
        <w:t>resie monitorowania</w:t>
      </w:r>
      <w:r w:rsidR="00BE6F6D" w:rsidRPr="009A4A22">
        <w:rPr>
          <w:noProof/>
        </w:rPr>
        <w:t xml:space="preserve"> i</w:t>
      </w:r>
      <w:r w:rsidR="00BE6F6D">
        <w:rPr>
          <w:noProof/>
        </w:rPr>
        <w:t> </w:t>
      </w:r>
      <w:r w:rsidR="00BE6F6D" w:rsidRPr="009A4A22">
        <w:rPr>
          <w:noProof/>
        </w:rPr>
        <w:t>zap</w:t>
      </w:r>
      <w:r w:rsidRPr="009A4A22">
        <w:rPr>
          <w:noProof/>
        </w:rPr>
        <w:t>ewniania zgodności</w:t>
      </w:r>
      <w:r w:rsidR="00BE6F6D" w:rsidRPr="009A4A22">
        <w:rPr>
          <w:noProof/>
        </w:rPr>
        <w:t xml:space="preserve"> z</w:t>
      </w:r>
      <w:r w:rsidR="00BE6F6D">
        <w:rPr>
          <w:noProof/>
        </w:rPr>
        <w:t> </w:t>
      </w:r>
      <w:r w:rsidR="00BE6F6D" w:rsidRPr="009A4A22">
        <w:rPr>
          <w:noProof/>
        </w:rPr>
        <w:t>klu</w:t>
      </w:r>
      <w:r w:rsidRPr="009A4A22">
        <w:rPr>
          <w:noProof/>
        </w:rPr>
        <w:t>czowymi elementami realizowanej polityki. Wymogi</w:t>
      </w:r>
      <w:r w:rsidR="00BE6F6D" w:rsidRPr="009A4A22">
        <w:rPr>
          <w:noProof/>
        </w:rPr>
        <w:t xml:space="preserve"> w</w:t>
      </w:r>
      <w:r w:rsidR="00BE6F6D">
        <w:rPr>
          <w:noProof/>
        </w:rPr>
        <w:t> </w:t>
      </w:r>
      <w:r w:rsidR="00BE6F6D" w:rsidRPr="009A4A22">
        <w:rPr>
          <w:noProof/>
        </w:rPr>
        <w:t>zak</w:t>
      </w:r>
      <w:r w:rsidRPr="009A4A22">
        <w:rPr>
          <w:noProof/>
        </w:rPr>
        <w:t>resie sprawozdawczości mogą jednak również powodować nieproporcjonalne obciążenia dla zainteresowanych stron, szczególnie dla MŚP</w:t>
      </w:r>
      <w:r w:rsidR="00BE6F6D" w:rsidRPr="009A4A22">
        <w:rPr>
          <w:noProof/>
        </w:rPr>
        <w:t xml:space="preserve"> i</w:t>
      </w:r>
      <w:r w:rsidR="00BE6F6D">
        <w:rPr>
          <w:noProof/>
        </w:rPr>
        <w:t> </w:t>
      </w:r>
      <w:r w:rsidR="00BE6F6D" w:rsidRPr="009A4A22">
        <w:rPr>
          <w:noProof/>
        </w:rPr>
        <w:t>mik</w:t>
      </w:r>
      <w:r w:rsidRPr="009A4A22">
        <w:rPr>
          <w:noProof/>
        </w:rPr>
        <w:t>roprzedsiębiorstw. Nagromadzenie tych wymogów wraz</w:t>
      </w:r>
      <w:r w:rsidR="00BE6F6D" w:rsidRPr="009A4A22">
        <w:rPr>
          <w:noProof/>
        </w:rPr>
        <w:t xml:space="preserve"> z</w:t>
      </w:r>
      <w:r w:rsidR="00BE6F6D">
        <w:rPr>
          <w:noProof/>
        </w:rPr>
        <w:t> </w:t>
      </w:r>
      <w:r w:rsidR="00BE6F6D" w:rsidRPr="009A4A22">
        <w:rPr>
          <w:noProof/>
        </w:rPr>
        <w:t>upł</w:t>
      </w:r>
      <w:r w:rsidRPr="009A4A22">
        <w:rPr>
          <w:noProof/>
        </w:rPr>
        <w:t>ywem czasu może skutkować zbędnymi, powielonymi lub nieaktualnymi obowiązkami, nieefektywnymi harmonogramami</w:t>
      </w:r>
      <w:r w:rsidR="00BE6F6D" w:rsidRPr="009A4A22">
        <w:rPr>
          <w:noProof/>
        </w:rPr>
        <w:t xml:space="preserve"> i</w:t>
      </w:r>
      <w:r w:rsidR="00BE6F6D">
        <w:rPr>
          <w:noProof/>
        </w:rPr>
        <w:t> </w:t>
      </w:r>
      <w:r w:rsidR="00BE6F6D" w:rsidRPr="009A4A22">
        <w:rPr>
          <w:noProof/>
        </w:rPr>
        <w:t>czę</w:t>
      </w:r>
      <w:r w:rsidRPr="009A4A22">
        <w:rPr>
          <w:noProof/>
        </w:rPr>
        <w:t>stotliwością lub nieodpowiednimi metodami gromadzenia danych. Dzięki dalszemu usprawnieniu ram ADR</w:t>
      </w:r>
      <w:r w:rsidR="00BE6F6D" w:rsidRPr="009A4A22">
        <w:rPr>
          <w:noProof/>
        </w:rPr>
        <w:t xml:space="preserve"> w</w:t>
      </w:r>
      <w:r w:rsidR="00BE6F6D">
        <w:rPr>
          <w:noProof/>
        </w:rPr>
        <w:t> </w:t>
      </w:r>
      <w:r w:rsidR="00BE6F6D" w:rsidRPr="009A4A22">
        <w:rPr>
          <w:noProof/>
        </w:rPr>
        <w:t>cał</w:t>
      </w:r>
      <w:r w:rsidRPr="009A4A22">
        <w:rPr>
          <w:noProof/>
        </w:rPr>
        <w:t>ej UE inicjatywa powinna przynieść oszczędności kosztów</w:t>
      </w:r>
      <w:r w:rsidR="00BE6F6D" w:rsidRPr="009A4A22">
        <w:rPr>
          <w:noProof/>
        </w:rPr>
        <w:t xml:space="preserve"> i</w:t>
      </w:r>
      <w:r w:rsidR="00BE6F6D">
        <w:rPr>
          <w:noProof/>
        </w:rPr>
        <w:t> </w:t>
      </w:r>
      <w:r w:rsidR="00BE6F6D" w:rsidRPr="009A4A22">
        <w:rPr>
          <w:noProof/>
        </w:rPr>
        <w:t>zmn</w:t>
      </w:r>
      <w:r w:rsidRPr="009A4A22">
        <w:rPr>
          <w:noProof/>
        </w:rPr>
        <w:t>iejszyć obciążenia administracyjne zarówno dla organów właściwych</w:t>
      </w:r>
      <w:r w:rsidR="00BE6F6D" w:rsidRPr="009A4A22">
        <w:rPr>
          <w:noProof/>
        </w:rPr>
        <w:t xml:space="preserve"> w</w:t>
      </w:r>
      <w:r w:rsidR="00BE6F6D">
        <w:rPr>
          <w:noProof/>
        </w:rPr>
        <w:t> </w:t>
      </w:r>
      <w:r w:rsidR="00BE6F6D" w:rsidRPr="009A4A22">
        <w:rPr>
          <w:noProof/>
        </w:rPr>
        <w:t>dzi</w:t>
      </w:r>
      <w:r w:rsidRPr="009A4A22">
        <w:rPr>
          <w:noProof/>
        </w:rPr>
        <w:t>edzinie ADR, jak</w:t>
      </w:r>
      <w:r w:rsidR="00BE6F6D" w:rsidRPr="009A4A22">
        <w:rPr>
          <w:noProof/>
        </w:rPr>
        <w:t xml:space="preserve"> i</w:t>
      </w:r>
      <w:r w:rsidR="00BE6F6D">
        <w:rPr>
          <w:noProof/>
        </w:rPr>
        <w:t> </w:t>
      </w:r>
      <w:r w:rsidR="00BE6F6D" w:rsidRPr="009A4A22">
        <w:rPr>
          <w:noProof/>
        </w:rPr>
        <w:t>dla</w:t>
      </w:r>
      <w:r w:rsidRPr="009A4A22">
        <w:rPr>
          <w:noProof/>
        </w:rPr>
        <w:t xml:space="preserve"> przedsiębiorców, zgodnie</w:t>
      </w:r>
      <w:r w:rsidR="00BE6F6D" w:rsidRPr="009A4A22">
        <w:rPr>
          <w:noProof/>
        </w:rPr>
        <w:t xml:space="preserve"> z</w:t>
      </w:r>
      <w:r w:rsidR="00BE6F6D">
        <w:rPr>
          <w:noProof/>
        </w:rPr>
        <w:t> </w:t>
      </w:r>
      <w:r w:rsidR="00BE6F6D" w:rsidRPr="009A4A22">
        <w:rPr>
          <w:noProof/>
        </w:rPr>
        <w:t>zas</w:t>
      </w:r>
      <w:r w:rsidRPr="009A4A22">
        <w:rPr>
          <w:noProof/>
        </w:rPr>
        <w:t>adami REFIT i „jedno więcej – jedno mniej”,</w:t>
      </w:r>
      <w:r w:rsidR="00BE6F6D" w:rsidRPr="009A4A22">
        <w:rPr>
          <w:noProof/>
        </w:rPr>
        <w:t xml:space="preserve"> a</w:t>
      </w:r>
      <w:r w:rsidR="00BE6F6D">
        <w:rPr>
          <w:noProof/>
        </w:rPr>
        <w:t> </w:t>
      </w:r>
      <w:r w:rsidR="00BE6F6D" w:rsidRPr="009A4A22">
        <w:rPr>
          <w:noProof/>
        </w:rPr>
        <w:t>tak</w:t>
      </w:r>
      <w:r w:rsidRPr="009A4A22">
        <w:rPr>
          <w:noProof/>
        </w:rPr>
        <w:t>że powinna przyczynić się do wyrównania warunków działania dla przedsiębiorców z UE</w:t>
      </w:r>
      <w:r w:rsidR="00BE6F6D" w:rsidRPr="009A4A22">
        <w:rPr>
          <w:noProof/>
        </w:rPr>
        <w:t xml:space="preserve"> i</w:t>
      </w:r>
      <w:r w:rsidR="00BE6F6D">
        <w:rPr>
          <w:noProof/>
        </w:rPr>
        <w:t> </w:t>
      </w:r>
      <w:r w:rsidR="00BE6F6D" w:rsidRPr="009A4A22">
        <w:rPr>
          <w:noProof/>
        </w:rPr>
        <w:t>spo</w:t>
      </w:r>
      <w:r w:rsidRPr="009A4A22">
        <w:rPr>
          <w:noProof/>
        </w:rPr>
        <w:t>za UE.</w:t>
      </w:r>
    </w:p>
    <w:p w14:paraId="7C50AE31" w14:textId="4D9B494D" w:rsidR="00792893" w:rsidRPr="009A4A22" w:rsidRDefault="001D5812" w:rsidP="00792893">
      <w:pPr>
        <w:spacing w:after="0"/>
        <w:rPr>
          <w:noProof/>
        </w:rPr>
      </w:pPr>
      <w:r w:rsidRPr="009A4A22">
        <w:rPr>
          <w:noProof/>
        </w:rPr>
        <w:t>Upraszczanie obowiązków sprawozdawczych</w:t>
      </w:r>
      <w:r w:rsidR="00BE6F6D" w:rsidRPr="009A4A22">
        <w:rPr>
          <w:noProof/>
        </w:rPr>
        <w:t xml:space="preserve"> i</w:t>
      </w:r>
      <w:r w:rsidR="00BE6F6D">
        <w:rPr>
          <w:noProof/>
        </w:rPr>
        <w:t> </w:t>
      </w:r>
      <w:r w:rsidR="00BE6F6D" w:rsidRPr="009A4A22">
        <w:rPr>
          <w:noProof/>
        </w:rPr>
        <w:t>zmn</w:t>
      </w:r>
      <w:r w:rsidRPr="009A4A22">
        <w:rPr>
          <w:noProof/>
        </w:rPr>
        <w:t>iejszanie obciążeń administracyjnych jest zatem priorytetem.</w:t>
      </w:r>
    </w:p>
    <w:p w14:paraId="3E3789CF" w14:textId="79E7F1EB" w:rsidR="00792893" w:rsidRPr="009A4A22" w:rsidRDefault="001D5812" w:rsidP="00792893">
      <w:pPr>
        <w:spacing w:before="0" w:after="0"/>
        <w:rPr>
          <w:noProof/>
        </w:rPr>
      </w:pPr>
      <w:r w:rsidRPr="009A4A22">
        <w:rPr>
          <w:noProof/>
        </w:rPr>
        <w:t>W tym kontekście niniejszy wniosek ma na celu uproszczenie inicjatyw</w:t>
      </w:r>
      <w:r w:rsidR="00BE6F6D" w:rsidRPr="009A4A22">
        <w:rPr>
          <w:noProof/>
        </w:rPr>
        <w:t xml:space="preserve"> w</w:t>
      </w:r>
      <w:r w:rsidR="00BE6F6D">
        <w:rPr>
          <w:noProof/>
        </w:rPr>
        <w:t> </w:t>
      </w:r>
      <w:r w:rsidR="00BE6F6D" w:rsidRPr="009A4A22">
        <w:rPr>
          <w:noProof/>
        </w:rPr>
        <w:t>zak</w:t>
      </w:r>
      <w:r w:rsidRPr="009A4A22">
        <w:rPr>
          <w:noProof/>
        </w:rPr>
        <w:t>resie dochodzenia roszczeń przez konsumentów</w:t>
      </w:r>
      <w:r w:rsidR="00BE6F6D" w:rsidRPr="009A4A22">
        <w:rPr>
          <w:noProof/>
        </w:rPr>
        <w:t xml:space="preserve"> w</w:t>
      </w:r>
      <w:r w:rsidR="00BE6F6D">
        <w:rPr>
          <w:noProof/>
        </w:rPr>
        <w:t> </w:t>
      </w:r>
      <w:r w:rsidR="00BE6F6D" w:rsidRPr="009A4A22">
        <w:rPr>
          <w:noProof/>
        </w:rPr>
        <w:t>nas</w:t>
      </w:r>
      <w:r w:rsidRPr="009A4A22">
        <w:rPr>
          <w:noProof/>
        </w:rPr>
        <w:t>tępujący sposób:</w:t>
      </w:r>
    </w:p>
    <w:p w14:paraId="73AE9559" w14:textId="60CAF6C4" w:rsidR="001D5812" w:rsidRPr="009A4A22" w:rsidRDefault="00BE6F6D" w:rsidP="00BE6F6D">
      <w:pPr>
        <w:pStyle w:val="Point0"/>
        <w:rPr>
          <w:noProof/>
        </w:rPr>
      </w:pPr>
      <w:r>
        <w:rPr>
          <w:noProof/>
        </w:rPr>
        <w:t>a)</w:t>
      </w:r>
      <w:r>
        <w:rPr>
          <w:noProof/>
        </w:rPr>
        <w:tab/>
      </w:r>
      <w:r w:rsidR="00792893" w:rsidRPr="009A4A22">
        <w:rPr>
          <w:noProof/>
        </w:rPr>
        <w:t>zniesione zostaną spoczywające na przedsiębiorcach obowiązki informacyjne</w:t>
      </w:r>
      <w:r w:rsidRPr="009A4A22">
        <w:rPr>
          <w:noProof/>
        </w:rPr>
        <w:t xml:space="preserve"> w</w:t>
      </w:r>
      <w:r>
        <w:rPr>
          <w:noProof/>
        </w:rPr>
        <w:t> </w:t>
      </w:r>
      <w:r w:rsidRPr="009A4A22">
        <w:rPr>
          <w:noProof/>
        </w:rPr>
        <w:t>zak</w:t>
      </w:r>
      <w:r w:rsidR="00792893" w:rsidRPr="009A4A22">
        <w:rPr>
          <w:noProof/>
        </w:rPr>
        <w:t xml:space="preserve">resie ADR; </w:t>
      </w:r>
    </w:p>
    <w:p w14:paraId="0BA47EA8" w14:textId="22123088" w:rsidR="001D5812" w:rsidRPr="009A4A22" w:rsidRDefault="00BE6F6D" w:rsidP="00BE6F6D">
      <w:pPr>
        <w:pStyle w:val="Point0"/>
        <w:rPr>
          <w:noProof/>
        </w:rPr>
      </w:pPr>
      <w:r>
        <w:rPr>
          <w:noProof/>
        </w:rPr>
        <w:t>b)</w:t>
      </w:r>
      <w:r>
        <w:rPr>
          <w:noProof/>
        </w:rPr>
        <w:tab/>
      </w:r>
      <w:r w:rsidR="001D5812" w:rsidRPr="009A4A22">
        <w:rPr>
          <w:noProof/>
        </w:rPr>
        <w:t>podmioty ADR będą musiały przedkładać organom właściwym</w:t>
      </w:r>
      <w:r w:rsidRPr="009A4A22">
        <w:rPr>
          <w:noProof/>
        </w:rPr>
        <w:t xml:space="preserve"> w</w:t>
      </w:r>
      <w:r>
        <w:rPr>
          <w:noProof/>
        </w:rPr>
        <w:t> </w:t>
      </w:r>
      <w:r w:rsidRPr="009A4A22">
        <w:rPr>
          <w:noProof/>
        </w:rPr>
        <w:t>zak</w:t>
      </w:r>
      <w:r w:rsidR="001D5812" w:rsidRPr="009A4A22">
        <w:rPr>
          <w:noProof/>
        </w:rPr>
        <w:t>resie ADR dwuletnie,</w:t>
      </w:r>
      <w:r w:rsidRPr="009A4A22">
        <w:rPr>
          <w:noProof/>
        </w:rPr>
        <w:t xml:space="preserve"> a</w:t>
      </w:r>
      <w:r>
        <w:rPr>
          <w:noProof/>
        </w:rPr>
        <w:t> </w:t>
      </w:r>
      <w:r w:rsidRPr="009A4A22">
        <w:rPr>
          <w:noProof/>
        </w:rPr>
        <w:t>nie</w:t>
      </w:r>
      <w:r w:rsidR="001D5812" w:rsidRPr="009A4A22">
        <w:rPr>
          <w:noProof/>
        </w:rPr>
        <w:t xml:space="preserve"> jak dotąd roczne, sprawozdania ze swojej działalności;</w:t>
      </w:r>
      <w:r w:rsidRPr="009A4A22">
        <w:rPr>
          <w:noProof/>
        </w:rPr>
        <w:t xml:space="preserve"> w</w:t>
      </w:r>
      <w:r>
        <w:rPr>
          <w:noProof/>
        </w:rPr>
        <w:t> </w:t>
      </w:r>
      <w:r w:rsidRPr="009A4A22">
        <w:rPr>
          <w:noProof/>
        </w:rPr>
        <w:t>sto</w:t>
      </w:r>
      <w:r w:rsidR="001D5812" w:rsidRPr="009A4A22">
        <w:rPr>
          <w:noProof/>
        </w:rPr>
        <w:t>sownych przypadkach nie będą musiały już składać sprawozdań ze współpracy</w:t>
      </w:r>
      <w:r w:rsidRPr="009A4A22">
        <w:rPr>
          <w:noProof/>
        </w:rPr>
        <w:t xml:space="preserve"> w</w:t>
      </w:r>
      <w:r>
        <w:rPr>
          <w:noProof/>
        </w:rPr>
        <w:t> </w:t>
      </w:r>
      <w:r w:rsidRPr="009A4A22">
        <w:rPr>
          <w:noProof/>
        </w:rPr>
        <w:t>ram</w:t>
      </w:r>
      <w:r w:rsidR="001D5812" w:rsidRPr="009A4A22">
        <w:rPr>
          <w:noProof/>
        </w:rPr>
        <w:t>ach sieci podmiotów ADR, które ułatwiają rozstrzyganie sporów transgranicznych;</w:t>
      </w:r>
    </w:p>
    <w:p w14:paraId="409BA84E" w14:textId="37914140" w:rsidR="00040D72" w:rsidRPr="009A4A22" w:rsidRDefault="00BE6F6D" w:rsidP="00BE6F6D">
      <w:pPr>
        <w:pStyle w:val="Point0"/>
        <w:rPr>
          <w:noProof/>
        </w:rPr>
      </w:pPr>
      <w:r>
        <w:rPr>
          <w:noProof/>
        </w:rPr>
        <w:t>c)</w:t>
      </w:r>
      <w:r>
        <w:rPr>
          <w:noProof/>
        </w:rPr>
        <w:tab/>
      </w:r>
      <w:r w:rsidR="001D5812" w:rsidRPr="009A4A22">
        <w:rPr>
          <w:noProof/>
        </w:rPr>
        <w:t>podmioty ADR nie będą już musiały co dwa lata przedstawiać właściwym organom oceny skuteczności współpracy</w:t>
      </w:r>
      <w:r w:rsidRPr="009A4A22">
        <w:rPr>
          <w:noProof/>
        </w:rPr>
        <w:t xml:space="preserve"> w</w:t>
      </w:r>
      <w:r>
        <w:rPr>
          <w:noProof/>
        </w:rPr>
        <w:t> </w:t>
      </w:r>
      <w:r w:rsidRPr="009A4A22">
        <w:rPr>
          <w:noProof/>
        </w:rPr>
        <w:t>ram</w:t>
      </w:r>
      <w:r w:rsidR="001D5812" w:rsidRPr="009A4A22">
        <w:rPr>
          <w:noProof/>
        </w:rPr>
        <w:t>ach sieci podmiotów ADR, informacji</w:t>
      </w:r>
      <w:r w:rsidRPr="009A4A22">
        <w:rPr>
          <w:noProof/>
        </w:rPr>
        <w:t xml:space="preserve"> o</w:t>
      </w:r>
      <w:r>
        <w:rPr>
          <w:noProof/>
        </w:rPr>
        <w:t> </w:t>
      </w:r>
      <w:r w:rsidRPr="009A4A22">
        <w:rPr>
          <w:noProof/>
        </w:rPr>
        <w:t>szk</w:t>
      </w:r>
      <w:r w:rsidR="001D5812" w:rsidRPr="009A4A22">
        <w:rPr>
          <w:noProof/>
        </w:rPr>
        <w:t>oleniach dla pracowników oraz oceny</w:t>
      </w:r>
      <w:r w:rsidRPr="009A4A22">
        <w:rPr>
          <w:noProof/>
        </w:rPr>
        <w:t xml:space="preserve"> i</w:t>
      </w:r>
      <w:r>
        <w:rPr>
          <w:noProof/>
        </w:rPr>
        <w:t> </w:t>
      </w:r>
      <w:r w:rsidRPr="009A4A22">
        <w:rPr>
          <w:noProof/>
        </w:rPr>
        <w:t>ewe</w:t>
      </w:r>
      <w:r w:rsidR="001D5812" w:rsidRPr="009A4A22">
        <w:rPr>
          <w:noProof/>
        </w:rPr>
        <w:t>ntualnych sposobów poprawy skuteczności postępowań ADR oferowanych przez dany podmiot.</w:t>
      </w:r>
    </w:p>
    <w:p w14:paraId="2E9497CC" w14:textId="77777777" w:rsidR="001D5812" w:rsidRPr="009A4A22" w:rsidRDefault="001D5812" w:rsidP="008A5747">
      <w:pPr>
        <w:rPr>
          <w:noProof/>
        </w:rPr>
      </w:pPr>
    </w:p>
    <w:p w14:paraId="15903053" w14:textId="3FC69BC0" w:rsidR="00B1743F" w:rsidRPr="009A4A22" w:rsidRDefault="00B1743F" w:rsidP="00044058">
      <w:pPr>
        <w:pStyle w:val="ManualHeading2"/>
        <w:rPr>
          <w:rFonts w:eastAsia="Arial Unicode MS"/>
          <w:noProof/>
          <w:color w:val="000000"/>
          <w:u w:color="000000"/>
          <w:bdr w:val="nil"/>
        </w:rPr>
      </w:pPr>
      <w:r w:rsidRPr="009A4A22">
        <w:rPr>
          <w:noProof/>
        </w:rPr>
        <w:t>Spójność</w:t>
      </w:r>
      <w:r w:rsidR="00BE6F6D" w:rsidRPr="009A4A22">
        <w:rPr>
          <w:noProof/>
        </w:rPr>
        <w:t xml:space="preserve"> z</w:t>
      </w:r>
      <w:r w:rsidR="00BE6F6D">
        <w:rPr>
          <w:noProof/>
        </w:rPr>
        <w:t> </w:t>
      </w:r>
      <w:r w:rsidR="00BE6F6D" w:rsidRPr="009A4A22">
        <w:rPr>
          <w:noProof/>
        </w:rPr>
        <w:t>prz</w:t>
      </w:r>
      <w:r w:rsidRPr="009A4A22">
        <w:rPr>
          <w:noProof/>
        </w:rPr>
        <w:t>episami obowiązującymi</w:t>
      </w:r>
      <w:r w:rsidR="00BE6F6D" w:rsidRPr="009A4A22">
        <w:rPr>
          <w:noProof/>
        </w:rPr>
        <w:t xml:space="preserve"> w</w:t>
      </w:r>
      <w:r w:rsidR="00BE6F6D">
        <w:rPr>
          <w:noProof/>
        </w:rPr>
        <w:t> </w:t>
      </w:r>
      <w:r w:rsidR="00BE6F6D" w:rsidRPr="009A4A22">
        <w:rPr>
          <w:noProof/>
        </w:rPr>
        <w:t>tej</w:t>
      </w:r>
      <w:r w:rsidRPr="009A4A22">
        <w:rPr>
          <w:noProof/>
        </w:rPr>
        <w:t xml:space="preserve"> dziedzinie polityki</w:t>
      </w:r>
    </w:p>
    <w:p w14:paraId="579A9101" w14:textId="5BFCA035" w:rsidR="00127BA7" w:rsidRPr="009A4A22" w:rsidRDefault="001D5812" w:rsidP="00040D72">
      <w:pPr>
        <w:rPr>
          <w:rFonts w:eastAsia="Calibri"/>
          <w:noProof/>
          <w:szCs w:val="24"/>
        </w:rPr>
      </w:pPr>
      <w:r w:rsidRPr="009A4A22">
        <w:rPr>
          <w:noProof/>
        </w:rPr>
        <w:t>Dyrektywa ADR jest dyrektywą proceduralną określającą kryteria jakości, które mają być stosowane przez podmioty ADR</w:t>
      </w:r>
      <w:r w:rsidR="00BE6F6D" w:rsidRPr="009A4A22">
        <w:rPr>
          <w:noProof/>
        </w:rPr>
        <w:t xml:space="preserve"> w</w:t>
      </w:r>
      <w:r w:rsidR="00BE6F6D">
        <w:rPr>
          <w:noProof/>
        </w:rPr>
        <w:t> </w:t>
      </w:r>
      <w:r w:rsidR="00BE6F6D" w:rsidRPr="009A4A22">
        <w:rPr>
          <w:noProof/>
        </w:rPr>
        <w:t>pod</w:t>
      </w:r>
      <w:r w:rsidRPr="009A4A22">
        <w:rPr>
          <w:noProof/>
        </w:rPr>
        <w:t>obny sposób</w:t>
      </w:r>
      <w:r w:rsidR="00BE6F6D" w:rsidRPr="009A4A22">
        <w:rPr>
          <w:noProof/>
        </w:rPr>
        <w:t xml:space="preserve"> w</w:t>
      </w:r>
      <w:r w:rsidR="00BE6F6D">
        <w:rPr>
          <w:noProof/>
        </w:rPr>
        <w:t> </w:t>
      </w:r>
      <w:r w:rsidR="00BE6F6D" w:rsidRPr="009A4A22">
        <w:rPr>
          <w:noProof/>
        </w:rPr>
        <w:t>cał</w:t>
      </w:r>
      <w:r w:rsidRPr="009A4A22">
        <w:rPr>
          <w:noProof/>
        </w:rPr>
        <w:t>ej Unii, oraz procedury akredytacji takich podmiotów przez państwa członkowskie, monitorowania spełniania przez te podmioty kryteriów oraz zapewnienia skutecznego poziomu przejrzystości</w:t>
      </w:r>
      <w:r w:rsidR="00BE6F6D" w:rsidRPr="009A4A22">
        <w:rPr>
          <w:noProof/>
        </w:rPr>
        <w:t xml:space="preserve"> w</w:t>
      </w:r>
      <w:r w:rsidR="00BE6F6D">
        <w:rPr>
          <w:noProof/>
        </w:rPr>
        <w:t> </w:t>
      </w:r>
      <w:r w:rsidR="00BE6F6D" w:rsidRPr="009A4A22">
        <w:rPr>
          <w:noProof/>
        </w:rPr>
        <w:t>odn</w:t>
      </w:r>
      <w:r w:rsidRPr="009A4A22">
        <w:rPr>
          <w:noProof/>
        </w:rPr>
        <w:t>iesieniu do istnienia</w:t>
      </w:r>
      <w:r w:rsidR="00BE6F6D" w:rsidRPr="009A4A22">
        <w:rPr>
          <w:noProof/>
        </w:rPr>
        <w:t xml:space="preserve"> i</w:t>
      </w:r>
      <w:r w:rsidR="00BE6F6D">
        <w:rPr>
          <w:noProof/>
        </w:rPr>
        <w:t> </w:t>
      </w:r>
      <w:r w:rsidR="00BE6F6D" w:rsidRPr="009A4A22">
        <w:rPr>
          <w:noProof/>
        </w:rPr>
        <w:t>fun</w:t>
      </w:r>
      <w:r w:rsidRPr="009A4A22">
        <w:rPr>
          <w:noProof/>
        </w:rPr>
        <w:t xml:space="preserve">kcjonowania takich podmiotów. </w:t>
      </w:r>
    </w:p>
    <w:p w14:paraId="5FB9BDAF" w14:textId="6909A73C" w:rsidR="00040D72" w:rsidRPr="009A4A22" w:rsidRDefault="00040D72" w:rsidP="00040D72">
      <w:pPr>
        <w:rPr>
          <w:rFonts w:eastAsia="Calibri"/>
          <w:noProof/>
          <w:szCs w:val="24"/>
        </w:rPr>
      </w:pPr>
      <w:r w:rsidRPr="009A4A22">
        <w:rPr>
          <w:noProof/>
        </w:rPr>
        <w:t>Proponowane zmiany mają na celu zapewnienie, aby podmioty ADR mogły rozstrzygać wszystkie spory konsumenckie,</w:t>
      </w:r>
      <w:r w:rsidR="00BE6F6D" w:rsidRPr="009A4A22">
        <w:rPr>
          <w:noProof/>
        </w:rPr>
        <w:t xml:space="preserve"> w</w:t>
      </w:r>
      <w:r w:rsidR="00BE6F6D">
        <w:rPr>
          <w:noProof/>
        </w:rPr>
        <w:t> </w:t>
      </w:r>
      <w:r w:rsidR="00BE6F6D" w:rsidRPr="009A4A22">
        <w:rPr>
          <w:noProof/>
        </w:rPr>
        <w:t>szc</w:t>
      </w:r>
      <w:r w:rsidRPr="009A4A22">
        <w:rPr>
          <w:noProof/>
        </w:rPr>
        <w:t>zególności spory powstające na rynkach cyfrowych,</w:t>
      </w:r>
      <w:r w:rsidR="00BE6F6D" w:rsidRPr="009A4A22">
        <w:rPr>
          <w:noProof/>
        </w:rPr>
        <w:t xml:space="preserve"> w</w:t>
      </w:r>
      <w:r w:rsidR="00BE6F6D">
        <w:rPr>
          <w:noProof/>
        </w:rPr>
        <w:t> </w:t>
      </w:r>
      <w:r w:rsidR="00BE6F6D" w:rsidRPr="009A4A22">
        <w:rPr>
          <w:noProof/>
        </w:rPr>
        <w:t>tym</w:t>
      </w:r>
      <w:r w:rsidRPr="009A4A22">
        <w:rPr>
          <w:noProof/>
        </w:rPr>
        <w:t xml:space="preserve"> dotyczące zobowiązań pozaumownych, oraz spory związane</w:t>
      </w:r>
      <w:r w:rsidR="00BE6F6D" w:rsidRPr="009A4A22">
        <w:rPr>
          <w:noProof/>
        </w:rPr>
        <w:t xml:space="preserve"> z</w:t>
      </w:r>
      <w:r w:rsidR="00BE6F6D">
        <w:rPr>
          <w:noProof/>
        </w:rPr>
        <w:t> </w:t>
      </w:r>
      <w:r w:rsidR="00BE6F6D" w:rsidRPr="009A4A22">
        <w:rPr>
          <w:noProof/>
        </w:rPr>
        <w:t>poz</w:t>
      </w:r>
      <w:r w:rsidRPr="009A4A22">
        <w:rPr>
          <w:noProof/>
        </w:rPr>
        <w:t>aumownymi prawami ustawowymi. Zmiany polegają na doprecyzowaniu</w:t>
      </w:r>
      <w:r w:rsidR="00BE6F6D" w:rsidRPr="009A4A22">
        <w:rPr>
          <w:noProof/>
        </w:rPr>
        <w:t xml:space="preserve"> i</w:t>
      </w:r>
      <w:r w:rsidR="00BE6F6D">
        <w:rPr>
          <w:noProof/>
        </w:rPr>
        <w:t> </w:t>
      </w:r>
      <w:r w:rsidR="00BE6F6D" w:rsidRPr="009A4A22">
        <w:rPr>
          <w:noProof/>
        </w:rPr>
        <w:t>roz</w:t>
      </w:r>
      <w:r w:rsidRPr="009A4A22">
        <w:rPr>
          <w:noProof/>
        </w:rPr>
        <w:t>szerzeniu zakresu stosowania dyrektywy ADR, przez co zwiększą jej spójność</w:t>
      </w:r>
      <w:r w:rsidR="00BE6F6D" w:rsidRPr="009A4A22">
        <w:rPr>
          <w:noProof/>
        </w:rPr>
        <w:t xml:space="preserve"> z</w:t>
      </w:r>
      <w:r w:rsidR="00BE6F6D">
        <w:rPr>
          <w:noProof/>
        </w:rPr>
        <w:t> </w:t>
      </w:r>
      <w:r w:rsidR="00BE6F6D" w:rsidRPr="009A4A22">
        <w:rPr>
          <w:noProof/>
        </w:rPr>
        <w:t>obo</w:t>
      </w:r>
      <w:r w:rsidRPr="009A4A22">
        <w:rPr>
          <w:noProof/>
        </w:rPr>
        <w:t>wiązującym prawem konsumenckim</w:t>
      </w:r>
      <w:r w:rsidR="00BE6F6D" w:rsidRPr="009A4A22">
        <w:rPr>
          <w:noProof/>
        </w:rPr>
        <w:t xml:space="preserve"> i</w:t>
      </w:r>
      <w:r w:rsidR="00BE6F6D">
        <w:rPr>
          <w:noProof/>
        </w:rPr>
        <w:t> </w:t>
      </w:r>
      <w:r w:rsidR="00BE6F6D" w:rsidRPr="009A4A22">
        <w:rPr>
          <w:noProof/>
        </w:rPr>
        <w:t>umo</w:t>
      </w:r>
      <w:r w:rsidRPr="009A4A22">
        <w:rPr>
          <w:noProof/>
        </w:rPr>
        <w:t>żliwią podmiotom ADR rozpatrywanie szerszego zakresu sporów określonych</w:t>
      </w:r>
      <w:r w:rsidR="00BE6F6D" w:rsidRPr="009A4A22">
        <w:rPr>
          <w:noProof/>
        </w:rPr>
        <w:t xml:space="preserve"> w</w:t>
      </w:r>
      <w:r w:rsidR="00BE6F6D">
        <w:rPr>
          <w:noProof/>
        </w:rPr>
        <w:t> </w:t>
      </w:r>
      <w:r w:rsidR="00BE6F6D" w:rsidRPr="009A4A22">
        <w:rPr>
          <w:noProof/>
        </w:rPr>
        <w:t>zał</w:t>
      </w:r>
      <w:r w:rsidRPr="009A4A22">
        <w:rPr>
          <w:noProof/>
        </w:rPr>
        <w:t>ączniku. Zmiany te będą zatem miały pozytywny wpływ na osiągnięcie celów</w:t>
      </w:r>
      <w:r w:rsidR="00BE6F6D" w:rsidRPr="009A4A22">
        <w:rPr>
          <w:noProof/>
        </w:rPr>
        <w:t xml:space="preserve"> w</w:t>
      </w:r>
      <w:r w:rsidR="00BE6F6D">
        <w:rPr>
          <w:noProof/>
        </w:rPr>
        <w:t> </w:t>
      </w:r>
      <w:r w:rsidR="00BE6F6D" w:rsidRPr="009A4A22">
        <w:rPr>
          <w:noProof/>
        </w:rPr>
        <w:t>tym</w:t>
      </w:r>
      <w:r w:rsidRPr="009A4A22">
        <w:rPr>
          <w:noProof/>
        </w:rPr>
        <w:t xml:space="preserve"> obszarze polityki.</w:t>
      </w:r>
    </w:p>
    <w:p w14:paraId="73AED91C" w14:textId="4DEBA923" w:rsidR="00823A57" w:rsidRPr="009A4A22" w:rsidRDefault="00823A57" w:rsidP="00823A57">
      <w:pPr>
        <w:rPr>
          <w:rFonts w:eastAsia="Calibri"/>
          <w:noProof/>
          <w:szCs w:val="24"/>
        </w:rPr>
      </w:pPr>
      <w:r w:rsidRPr="009A4A22">
        <w:rPr>
          <w:noProof/>
        </w:rPr>
        <w:t>Wniosek jest również częścią pierwszego pakietu środków służących racjonalizacji wymogów</w:t>
      </w:r>
      <w:r w:rsidR="00BE6F6D" w:rsidRPr="009A4A22">
        <w:rPr>
          <w:noProof/>
        </w:rPr>
        <w:t xml:space="preserve"> w</w:t>
      </w:r>
      <w:r w:rsidR="00BE6F6D">
        <w:rPr>
          <w:noProof/>
        </w:rPr>
        <w:t> </w:t>
      </w:r>
      <w:r w:rsidR="00BE6F6D" w:rsidRPr="009A4A22">
        <w:rPr>
          <w:noProof/>
        </w:rPr>
        <w:t>zak</w:t>
      </w:r>
      <w:r w:rsidRPr="009A4A22">
        <w:rPr>
          <w:noProof/>
        </w:rPr>
        <w:t>resie sprawozdawczości</w:t>
      </w:r>
      <w:r w:rsidRPr="00BE6F6D">
        <w:rPr>
          <w:noProof/>
        </w:rPr>
        <w:t>.</w:t>
      </w:r>
      <w:r w:rsidR="00BE6F6D" w:rsidRPr="00BE6F6D">
        <w:rPr>
          <w:noProof/>
        </w:rPr>
        <w:t xml:space="preserve"> </w:t>
      </w:r>
      <w:r w:rsidRPr="00BE6F6D">
        <w:rPr>
          <w:noProof/>
        </w:rPr>
        <w:t>J</w:t>
      </w:r>
      <w:r w:rsidRPr="009A4A22">
        <w:rPr>
          <w:noProof/>
        </w:rPr>
        <w:t>est to etap ciągłego procesu,</w:t>
      </w:r>
      <w:r w:rsidR="00BE6F6D" w:rsidRPr="009A4A22">
        <w:rPr>
          <w:noProof/>
        </w:rPr>
        <w:t xml:space="preserve"> w</w:t>
      </w:r>
      <w:r w:rsidR="00BE6F6D">
        <w:rPr>
          <w:noProof/>
        </w:rPr>
        <w:t> </w:t>
      </w:r>
      <w:r w:rsidR="00BE6F6D" w:rsidRPr="009A4A22">
        <w:rPr>
          <w:noProof/>
        </w:rPr>
        <w:t>któ</w:t>
      </w:r>
      <w:r w:rsidRPr="009A4A22">
        <w:rPr>
          <w:noProof/>
        </w:rPr>
        <w:t>rym kompleksowo analizuje się istniejące wymogi sprawozdawcze</w:t>
      </w:r>
      <w:r w:rsidR="00BE6F6D" w:rsidRPr="009A4A22">
        <w:rPr>
          <w:noProof/>
        </w:rPr>
        <w:t xml:space="preserve"> w</w:t>
      </w:r>
      <w:r w:rsidR="00BE6F6D">
        <w:rPr>
          <w:noProof/>
        </w:rPr>
        <w:t> </w:t>
      </w:r>
      <w:r w:rsidR="00BE6F6D" w:rsidRPr="009A4A22">
        <w:rPr>
          <w:noProof/>
        </w:rPr>
        <w:t>cel</w:t>
      </w:r>
      <w:r w:rsidRPr="009A4A22">
        <w:rPr>
          <w:noProof/>
        </w:rPr>
        <w:t>u oceny ich dalszej przydatności</w:t>
      </w:r>
      <w:r w:rsidR="00BE6F6D" w:rsidRPr="009A4A22">
        <w:rPr>
          <w:noProof/>
        </w:rPr>
        <w:t xml:space="preserve"> i</w:t>
      </w:r>
      <w:r w:rsidR="00BE6F6D">
        <w:rPr>
          <w:noProof/>
        </w:rPr>
        <w:t> </w:t>
      </w:r>
      <w:r w:rsidR="00BE6F6D" w:rsidRPr="009A4A22">
        <w:rPr>
          <w:noProof/>
        </w:rPr>
        <w:t>zwi</w:t>
      </w:r>
      <w:r w:rsidRPr="009A4A22">
        <w:rPr>
          <w:noProof/>
        </w:rPr>
        <w:t>ększenia ich skuteczności. Racjonalizacja wprowadzona</w:t>
      </w:r>
      <w:r w:rsidR="00BE6F6D" w:rsidRPr="009A4A22">
        <w:rPr>
          <w:noProof/>
        </w:rPr>
        <w:t xml:space="preserve"> w</w:t>
      </w:r>
      <w:r w:rsidR="00BE6F6D">
        <w:rPr>
          <w:noProof/>
        </w:rPr>
        <w:t> </w:t>
      </w:r>
      <w:r w:rsidR="00BE6F6D" w:rsidRPr="009A4A22">
        <w:rPr>
          <w:noProof/>
        </w:rPr>
        <w:t>ram</w:t>
      </w:r>
      <w:r w:rsidRPr="009A4A22">
        <w:rPr>
          <w:noProof/>
        </w:rPr>
        <w:t>ach tych środków nie będzie miała wpływu na osiągnięcie celów</w:t>
      </w:r>
      <w:r w:rsidR="00BE6F6D" w:rsidRPr="009A4A22">
        <w:rPr>
          <w:noProof/>
        </w:rPr>
        <w:t xml:space="preserve"> w</w:t>
      </w:r>
      <w:r w:rsidR="00BE6F6D">
        <w:rPr>
          <w:noProof/>
        </w:rPr>
        <w:t> </w:t>
      </w:r>
      <w:r w:rsidR="00BE6F6D" w:rsidRPr="009A4A22">
        <w:rPr>
          <w:noProof/>
        </w:rPr>
        <w:t>tym</w:t>
      </w:r>
      <w:r w:rsidRPr="009A4A22">
        <w:rPr>
          <w:noProof/>
        </w:rPr>
        <w:t xml:space="preserve"> obszarze polityki. Niemniej jednak oszczędności kosztów</w:t>
      </w:r>
      <w:r w:rsidR="00BE6F6D" w:rsidRPr="009A4A22">
        <w:rPr>
          <w:noProof/>
        </w:rPr>
        <w:t xml:space="preserve"> i</w:t>
      </w:r>
      <w:r w:rsidR="00BE6F6D">
        <w:rPr>
          <w:noProof/>
        </w:rPr>
        <w:t> </w:t>
      </w:r>
      <w:r w:rsidR="00BE6F6D" w:rsidRPr="009A4A22">
        <w:rPr>
          <w:noProof/>
        </w:rPr>
        <w:t>cza</w:t>
      </w:r>
      <w:r w:rsidRPr="009A4A22">
        <w:rPr>
          <w:noProof/>
        </w:rPr>
        <w:t>su przeznaczanych na wypełnianie obowiązków sprawozdawczych, które</w:t>
      </w:r>
      <w:r w:rsidR="00BE6F6D" w:rsidRPr="009A4A22">
        <w:rPr>
          <w:noProof/>
        </w:rPr>
        <w:t xml:space="preserve"> w</w:t>
      </w:r>
      <w:r w:rsidR="00BE6F6D">
        <w:rPr>
          <w:noProof/>
        </w:rPr>
        <w:t> </w:t>
      </w:r>
      <w:r w:rsidR="00BE6F6D" w:rsidRPr="009A4A22">
        <w:rPr>
          <w:noProof/>
        </w:rPr>
        <w:t>żad</w:t>
      </w:r>
      <w:r w:rsidRPr="009A4A22">
        <w:rPr>
          <w:noProof/>
        </w:rPr>
        <w:t>en sposób nie usprawniają procesu ADR, są korzystne dla przedsiębiorstw</w:t>
      </w:r>
      <w:r w:rsidR="00BE6F6D" w:rsidRPr="009A4A22">
        <w:rPr>
          <w:noProof/>
        </w:rPr>
        <w:t xml:space="preserve"> i</w:t>
      </w:r>
      <w:r w:rsidR="00BE6F6D">
        <w:rPr>
          <w:noProof/>
        </w:rPr>
        <w:t> </w:t>
      </w:r>
      <w:r w:rsidR="00BE6F6D" w:rsidRPr="009A4A22">
        <w:rPr>
          <w:noProof/>
        </w:rPr>
        <w:t>pod</w:t>
      </w:r>
      <w:r w:rsidRPr="009A4A22">
        <w:rPr>
          <w:noProof/>
        </w:rPr>
        <w:t>miotów ADR.</w:t>
      </w:r>
    </w:p>
    <w:p w14:paraId="15CBEEA7" w14:textId="77777777" w:rsidR="00041A99" w:rsidRPr="009A4A22" w:rsidRDefault="00041A99" w:rsidP="00041A99">
      <w:pPr>
        <w:rPr>
          <w:noProof/>
        </w:rPr>
      </w:pPr>
    </w:p>
    <w:p w14:paraId="4B8F2A4D" w14:textId="34778868" w:rsidR="00B1743F" w:rsidRPr="009A4A22" w:rsidRDefault="00B1743F" w:rsidP="00A4693B">
      <w:pPr>
        <w:pStyle w:val="ManualHeading2"/>
        <w:rPr>
          <w:rFonts w:eastAsia="Arial Unicode MS"/>
          <w:noProof/>
        </w:rPr>
      </w:pPr>
      <w:r w:rsidRPr="009A4A22">
        <w:rPr>
          <w:noProof/>
        </w:rPr>
        <w:t>Spójność</w:t>
      </w:r>
      <w:r w:rsidR="00BE6F6D" w:rsidRPr="009A4A22">
        <w:rPr>
          <w:noProof/>
        </w:rPr>
        <w:t xml:space="preserve"> z</w:t>
      </w:r>
      <w:r w:rsidR="00BE6F6D">
        <w:rPr>
          <w:noProof/>
        </w:rPr>
        <w:t> </w:t>
      </w:r>
      <w:r w:rsidR="00BE6F6D" w:rsidRPr="009A4A22">
        <w:rPr>
          <w:noProof/>
        </w:rPr>
        <w:t>inn</w:t>
      </w:r>
      <w:r w:rsidRPr="009A4A22">
        <w:rPr>
          <w:noProof/>
        </w:rPr>
        <w:t>ymi politykami Unii</w:t>
      </w:r>
    </w:p>
    <w:p w14:paraId="4E569733" w14:textId="1BDEC45B" w:rsidR="001D5812" w:rsidRPr="009A4A22" w:rsidRDefault="001D5812" w:rsidP="001D5812">
      <w:pPr>
        <w:pStyle w:val="ListParagraph"/>
        <w:spacing w:before="120" w:after="120" w:line="240" w:lineRule="auto"/>
        <w:ind w:left="0"/>
        <w:jc w:val="both"/>
        <w:rPr>
          <w:rFonts w:ascii="Times New Roman" w:hAnsi="Times New Roman"/>
          <w:noProof/>
          <w:sz w:val="24"/>
          <w:szCs w:val="24"/>
          <w:bdr w:val="none" w:sz="0" w:space="0" w:color="auto" w:frame="1"/>
        </w:rPr>
      </w:pPr>
      <w:r w:rsidRPr="009A4A22">
        <w:rPr>
          <w:rFonts w:ascii="Times New Roman" w:hAnsi="Times New Roman"/>
          <w:noProof/>
          <w:color w:val="000000"/>
          <w:sz w:val="24"/>
          <w:bdr w:val="none" w:sz="0" w:space="0" w:color="auto" w:frame="1"/>
        </w:rPr>
        <w:t>Art. 21 aktu</w:t>
      </w:r>
      <w:r w:rsidR="00BE6F6D" w:rsidRPr="009A4A22">
        <w:rPr>
          <w:rFonts w:ascii="Times New Roman" w:hAnsi="Times New Roman"/>
          <w:noProof/>
          <w:color w:val="000000"/>
          <w:sz w:val="24"/>
          <w:bdr w:val="none" w:sz="0" w:space="0" w:color="auto" w:frame="1"/>
        </w:rPr>
        <w:t xml:space="preserve"> o</w:t>
      </w:r>
      <w:r w:rsidR="00BE6F6D">
        <w:rPr>
          <w:rFonts w:ascii="Times New Roman" w:hAnsi="Times New Roman"/>
          <w:noProof/>
          <w:color w:val="000000"/>
          <w:sz w:val="24"/>
          <w:bdr w:val="none" w:sz="0" w:space="0" w:color="auto" w:frame="1"/>
        </w:rPr>
        <w:t> </w:t>
      </w:r>
      <w:r w:rsidR="00BE6F6D" w:rsidRPr="009A4A22">
        <w:rPr>
          <w:rFonts w:ascii="Times New Roman" w:hAnsi="Times New Roman"/>
          <w:noProof/>
          <w:color w:val="000000"/>
          <w:sz w:val="24"/>
          <w:bdr w:val="none" w:sz="0" w:space="0" w:color="auto" w:frame="1"/>
        </w:rPr>
        <w:t>usł</w:t>
      </w:r>
      <w:r w:rsidRPr="009A4A22">
        <w:rPr>
          <w:rFonts w:ascii="Times New Roman" w:hAnsi="Times New Roman"/>
          <w:noProof/>
          <w:color w:val="000000"/>
          <w:sz w:val="24"/>
          <w:bdr w:val="none" w:sz="0" w:space="0" w:color="auto" w:frame="1"/>
        </w:rPr>
        <w:t>ugach cyfrowych dotyczący pozasądowego rozstrzygania sporów pozostaje bez uszczerbku dla dyrektywy ADR (</w:t>
      </w:r>
      <w:r w:rsidRPr="00BE6F6D">
        <w:rPr>
          <w:rFonts w:ascii="Times New Roman" w:hAnsi="Times New Roman"/>
          <w:noProof/>
          <w:color w:val="000000"/>
          <w:sz w:val="24"/>
          <w:bdr w:val="none" w:sz="0" w:space="0" w:color="auto" w:frame="1"/>
        </w:rPr>
        <w:t>art.</w:t>
      </w:r>
      <w:r w:rsidR="00BE6F6D" w:rsidRPr="00BE6F6D">
        <w:rPr>
          <w:rFonts w:ascii="Times New Roman" w:hAnsi="Times New Roman"/>
          <w:noProof/>
          <w:color w:val="000000"/>
          <w:sz w:val="24"/>
          <w:bdr w:val="none" w:sz="0" w:space="0" w:color="auto" w:frame="1"/>
        </w:rPr>
        <w:t> </w:t>
      </w:r>
      <w:r w:rsidRPr="00BE6F6D">
        <w:rPr>
          <w:rFonts w:ascii="Times New Roman" w:hAnsi="Times New Roman"/>
          <w:noProof/>
          <w:color w:val="000000"/>
          <w:sz w:val="24"/>
          <w:bdr w:val="none" w:sz="0" w:space="0" w:color="auto" w:frame="1"/>
        </w:rPr>
        <w:t>2</w:t>
      </w:r>
      <w:r w:rsidRPr="009A4A22">
        <w:rPr>
          <w:rFonts w:ascii="Times New Roman" w:hAnsi="Times New Roman"/>
          <w:noProof/>
          <w:color w:val="000000"/>
          <w:sz w:val="24"/>
          <w:bdr w:val="none" w:sz="0" w:space="0" w:color="auto" w:frame="1"/>
        </w:rPr>
        <w:t xml:space="preserve">1 </w:t>
      </w:r>
      <w:r w:rsidRPr="00BE6F6D">
        <w:rPr>
          <w:rFonts w:ascii="Times New Roman" w:hAnsi="Times New Roman"/>
          <w:noProof/>
          <w:color w:val="000000"/>
          <w:sz w:val="24"/>
          <w:bdr w:val="none" w:sz="0" w:space="0" w:color="auto" w:frame="1"/>
        </w:rPr>
        <w:t>ust.</w:t>
      </w:r>
      <w:r w:rsidR="00BE6F6D" w:rsidRPr="00BE6F6D">
        <w:rPr>
          <w:rFonts w:ascii="Times New Roman" w:hAnsi="Times New Roman"/>
          <w:noProof/>
          <w:color w:val="000000"/>
          <w:sz w:val="24"/>
          <w:bdr w:val="none" w:sz="0" w:space="0" w:color="auto" w:frame="1"/>
        </w:rPr>
        <w:t> </w:t>
      </w:r>
      <w:r w:rsidRPr="00BE6F6D">
        <w:rPr>
          <w:rFonts w:ascii="Times New Roman" w:hAnsi="Times New Roman"/>
          <w:noProof/>
          <w:color w:val="000000"/>
          <w:sz w:val="24"/>
          <w:bdr w:val="none" w:sz="0" w:space="0" w:color="auto" w:frame="1"/>
        </w:rPr>
        <w:t>9</w:t>
      </w:r>
      <w:r w:rsidRPr="009A4A22">
        <w:rPr>
          <w:rFonts w:ascii="Times New Roman" w:hAnsi="Times New Roman"/>
          <w:noProof/>
          <w:color w:val="000000"/>
          <w:sz w:val="24"/>
          <w:bdr w:val="none" w:sz="0" w:space="0" w:color="auto" w:frame="1"/>
        </w:rPr>
        <w:t xml:space="preserve">). </w:t>
      </w:r>
      <w:r w:rsidRPr="009A4A22">
        <w:rPr>
          <w:rFonts w:ascii="Times New Roman" w:hAnsi="Times New Roman"/>
          <w:noProof/>
          <w:sz w:val="24"/>
          <w:bdr w:val="none" w:sz="0" w:space="0" w:color="auto" w:frame="1"/>
        </w:rPr>
        <w:t>Ponadto reguluje on,</w:t>
      </w:r>
      <w:r w:rsidR="00BE6F6D" w:rsidRPr="009A4A22">
        <w:rPr>
          <w:rFonts w:ascii="Times New Roman" w:hAnsi="Times New Roman"/>
          <w:noProof/>
          <w:sz w:val="24"/>
          <w:bdr w:val="none" w:sz="0" w:space="0" w:color="auto" w:frame="1"/>
        </w:rPr>
        <w:t xml:space="preserve"> w</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jak</w:t>
      </w:r>
      <w:r w:rsidRPr="009A4A22">
        <w:rPr>
          <w:rFonts w:ascii="Times New Roman" w:hAnsi="Times New Roman"/>
          <w:noProof/>
          <w:sz w:val="24"/>
          <w:bdr w:val="none" w:sz="0" w:space="0" w:color="auto" w:frame="1"/>
        </w:rPr>
        <w:t>i sposób użytkownicy usług pośrednich mogą składać skargi na decyzje pośrednika</w:t>
      </w:r>
      <w:r w:rsidR="00BE6F6D" w:rsidRPr="009A4A22">
        <w:rPr>
          <w:rFonts w:ascii="Times New Roman" w:hAnsi="Times New Roman"/>
          <w:noProof/>
          <w:sz w:val="24"/>
          <w:bdr w:val="none" w:sz="0" w:space="0" w:color="auto" w:frame="1"/>
        </w:rPr>
        <w:t xml:space="preserve"> w</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zak</w:t>
      </w:r>
      <w:r w:rsidRPr="009A4A22">
        <w:rPr>
          <w:rFonts w:ascii="Times New Roman" w:hAnsi="Times New Roman"/>
          <w:noProof/>
          <w:sz w:val="24"/>
          <w:bdr w:val="none" w:sz="0" w:space="0" w:color="auto" w:frame="1"/>
        </w:rPr>
        <w:t>resie moderowania treści</w:t>
      </w:r>
      <w:r w:rsidR="00BE6F6D" w:rsidRPr="009A4A22">
        <w:rPr>
          <w:rFonts w:ascii="Times New Roman" w:hAnsi="Times New Roman"/>
          <w:noProof/>
          <w:sz w:val="24"/>
          <w:bdr w:val="none" w:sz="0" w:space="0" w:color="auto" w:frame="1"/>
        </w:rPr>
        <w:t xml:space="preserve"> w</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odn</w:t>
      </w:r>
      <w:r w:rsidRPr="009A4A22">
        <w:rPr>
          <w:rFonts w:ascii="Times New Roman" w:hAnsi="Times New Roman"/>
          <w:noProof/>
          <w:sz w:val="24"/>
          <w:bdr w:val="none" w:sz="0" w:space="0" w:color="auto" w:frame="1"/>
        </w:rPr>
        <w:t>iesieniu do nielegalnych lub szkodliwych treści, również</w:t>
      </w:r>
      <w:r w:rsidR="00BE6F6D" w:rsidRPr="009A4A22">
        <w:rPr>
          <w:rFonts w:ascii="Times New Roman" w:hAnsi="Times New Roman"/>
          <w:noProof/>
          <w:sz w:val="24"/>
          <w:bdr w:val="none" w:sz="0" w:space="0" w:color="auto" w:frame="1"/>
        </w:rPr>
        <w:t xml:space="preserve"> w</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prz</w:t>
      </w:r>
      <w:r w:rsidRPr="009A4A22">
        <w:rPr>
          <w:rFonts w:ascii="Times New Roman" w:hAnsi="Times New Roman"/>
          <w:noProof/>
          <w:sz w:val="24"/>
          <w:bdr w:val="none" w:sz="0" w:space="0" w:color="auto" w:frame="1"/>
        </w:rPr>
        <w:t>ypadku gdy dostawca usług postanowi nie podejmować działań</w:t>
      </w:r>
      <w:r w:rsidR="00BE6F6D" w:rsidRPr="009A4A22">
        <w:rPr>
          <w:rFonts w:ascii="Times New Roman" w:hAnsi="Times New Roman"/>
          <w:noProof/>
          <w:sz w:val="24"/>
          <w:bdr w:val="none" w:sz="0" w:space="0" w:color="auto" w:frame="1"/>
        </w:rPr>
        <w:t xml:space="preserve"> w</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nas</w:t>
      </w:r>
      <w:r w:rsidRPr="009A4A22">
        <w:rPr>
          <w:rFonts w:ascii="Times New Roman" w:hAnsi="Times New Roman"/>
          <w:noProof/>
          <w:sz w:val="24"/>
          <w:bdr w:val="none" w:sz="0" w:space="0" w:color="auto" w:frame="1"/>
        </w:rPr>
        <w:t>tępstwie zgłoszenia. Nawet jeżeli takie nielegalne treści lub treści, które są</w:t>
      </w:r>
      <w:r w:rsidR="00BE6F6D" w:rsidRPr="009A4A22">
        <w:rPr>
          <w:rFonts w:ascii="Times New Roman" w:hAnsi="Times New Roman"/>
          <w:noProof/>
          <w:sz w:val="24"/>
          <w:bdr w:val="none" w:sz="0" w:space="0" w:color="auto" w:frame="1"/>
        </w:rPr>
        <w:t xml:space="preserve"> w</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inn</w:t>
      </w:r>
      <w:r w:rsidRPr="009A4A22">
        <w:rPr>
          <w:rFonts w:ascii="Times New Roman" w:hAnsi="Times New Roman"/>
          <w:noProof/>
          <w:sz w:val="24"/>
          <w:bdr w:val="none" w:sz="0" w:space="0" w:color="auto" w:frame="1"/>
        </w:rPr>
        <w:t>y sposób niezgodne</w:t>
      </w:r>
      <w:r w:rsidR="00BE6F6D" w:rsidRPr="009A4A22">
        <w:rPr>
          <w:rFonts w:ascii="Times New Roman" w:hAnsi="Times New Roman"/>
          <w:noProof/>
          <w:sz w:val="24"/>
          <w:bdr w:val="none" w:sz="0" w:space="0" w:color="auto" w:frame="1"/>
        </w:rPr>
        <w:t xml:space="preserve"> z</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war</w:t>
      </w:r>
      <w:r w:rsidRPr="009A4A22">
        <w:rPr>
          <w:rFonts w:ascii="Times New Roman" w:hAnsi="Times New Roman"/>
          <w:noProof/>
          <w:sz w:val="24"/>
          <w:bdr w:val="none" w:sz="0" w:space="0" w:color="auto" w:frame="1"/>
        </w:rPr>
        <w:t>unkami korzystania</w:t>
      </w:r>
      <w:r w:rsidR="00BE6F6D" w:rsidRPr="009A4A22">
        <w:rPr>
          <w:rFonts w:ascii="Times New Roman" w:hAnsi="Times New Roman"/>
          <w:noProof/>
          <w:sz w:val="24"/>
          <w:bdr w:val="none" w:sz="0" w:space="0" w:color="auto" w:frame="1"/>
        </w:rPr>
        <w:t xml:space="preserve"> z</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usł</w:t>
      </w:r>
      <w:r w:rsidRPr="009A4A22">
        <w:rPr>
          <w:rFonts w:ascii="Times New Roman" w:hAnsi="Times New Roman"/>
          <w:noProof/>
          <w:sz w:val="24"/>
          <w:bdr w:val="none" w:sz="0" w:space="0" w:color="auto" w:frame="1"/>
        </w:rPr>
        <w:t xml:space="preserve">ug pośredników, mogą dotyczyć złych praktyk handlowych przedsiębiorcy będącego osobą trzecią, spór na podstawie </w:t>
      </w:r>
      <w:r w:rsidRPr="00BE6F6D">
        <w:rPr>
          <w:rFonts w:ascii="Times New Roman" w:hAnsi="Times New Roman"/>
          <w:noProof/>
          <w:sz w:val="24"/>
          <w:bdr w:val="none" w:sz="0" w:space="0" w:color="auto" w:frame="1"/>
        </w:rPr>
        <w:t>art.</w:t>
      </w:r>
      <w:r w:rsidR="00BE6F6D" w:rsidRPr="00BE6F6D">
        <w:rPr>
          <w:rFonts w:ascii="Times New Roman" w:hAnsi="Times New Roman"/>
          <w:noProof/>
          <w:sz w:val="24"/>
          <w:bdr w:val="none" w:sz="0" w:space="0" w:color="auto" w:frame="1"/>
        </w:rPr>
        <w:t> </w:t>
      </w:r>
      <w:r w:rsidRPr="00BE6F6D">
        <w:rPr>
          <w:rFonts w:ascii="Times New Roman" w:hAnsi="Times New Roman"/>
          <w:noProof/>
          <w:sz w:val="24"/>
          <w:bdr w:val="none" w:sz="0" w:space="0" w:color="auto" w:frame="1"/>
        </w:rPr>
        <w:t>2</w:t>
      </w:r>
      <w:r w:rsidRPr="009A4A22">
        <w:rPr>
          <w:rFonts w:ascii="Times New Roman" w:hAnsi="Times New Roman"/>
          <w:noProof/>
          <w:sz w:val="24"/>
          <w:bdr w:val="none" w:sz="0" w:space="0" w:color="auto" w:frame="1"/>
        </w:rPr>
        <w:t>1 aktu</w:t>
      </w:r>
      <w:r w:rsidR="00BE6F6D" w:rsidRPr="009A4A22">
        <w:rPr>
          <w:rFonts w:ascii="Times New Roman" w:hAnsi="Times New Roman"/>
          <w:noProof/>
          <w:sz w:val="24"/>
          <w:bdr w:val="none" w:sz="0" w:space="0" w:color="auto" w:frame="1"/>
        </w:rPr>
        <w:t xml:space="preserve"> o</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usł</w:t>
      </w:r>
      <w:r w:rsidRPr="009A4A22">
        <w:rPr>
          <w:rFonts w:ascii="Times New Roman" w:hAnsi="Times New Roman"/>
          <w:noProof/>
          <w:sz w:val="24"/>
          <w:bdr w:val="none" w:sz="0" w:space="0" w:color="auto" w:frame="1"/>
        </w:rPr>
        <w:t>ugach cyfrowych ma zostać rozstrzygnięty między pośrednikiem</w:t>
      </w:r>
      <w:r w:rsidR="00BE6F6D" w:rsidRPr="009A4A22">
        <w:rPr>
          <w:rFonts w:ascii="Times New Roman" w:hAnsi="Times New Roman"/>
          <w:noProof/>
          <w:sz w:val="24"/>
          <w:bdr w:val="none" w:sz="0" w:space="0" w:color="auto" w:frame="1"/>
        </w:rPr>
        <w:t xml:space="preserve"> a</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odb</w:t>
      </w:r>
      <w:r w:rsidRPr="009A4A22">
        <w:rPr>
          <w:rFonts w:ascii="Times New Roman" w:hAnsi="Times New Roman"/>
          <w:noProof/>
          <w:sz w:val="24"/>
          <w:bdr w:val="none" w:sz="0" w:space="0" w:color="auto" w:frame="1"/>
        </w:rPr>
        <w:t>iorcą, którego dotyczy decyzja</w:t>
      </w:r>
      <w:r w:rsidR="00BE6F6D" w:rsidRPr="009A4A22">
        <w:rPr>
          <w:rFonts w:ascii="Times New Roman" w:hAnsi="Times New Roman"/>
          <w:noProof/>
          <w:sz w:val="24"/>
          <w:bdr w:val="none" w:sz="0" w:space="0" w:color="auto" w:frame="1"/>
        </w:rPr>
        <w:t xml:space="preserve"> o</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mod</w:t>
      </w:r>
      <w:r w:rsidRPr="009A4A22">
        <w:rPr>
          <w:rFonts w:ascii="Times New Roman" w:hAnsi="Times New Roman"/>
          <w:noProof/>
          <w:sz w:val="24"/>
          <w:bdr w:val="none" w:sz="0" w:space="0" w:color="auto" w:frame="1"/>
        </w:rPr>
        <w:t>erowaniu treści,</w:t>
      </w:r>
      <w:r w:rsidR="00BE6F6D" w:rsidRPr="009A4A22">
        <w:rPr>
          <w:rFonts w:ascii="Times New Roman" w:hAnsi="Times New Roman"/>
          <w:noProof/>
          <w:sz w:val="24"/>
          <w:bdr w:val="none" w:sz="0" w:space="0" w:color="auto" w:frame="1"/>
        </w:rPr>
        <w:t xml:space="preserve"> i</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dot</w:t>
      </w:r>
      <w:r w:rsidRPr="009A4A22">
        <w:rPr>
          <w:rFonts w:ascii="Times New Roman" w:hAnsi="Times New Roman"/>
          <w:noProof/>
          <w:sz w:val="24"/>
          <w:bdr w:val="none" w:sz="0" w:space="0" w:color="auto" w:frame="1"/>
        </w:rPr>
        <w:t>yczyć wyłącznie ograniczeń mających zastosowanie do danych treści lub do danego konta. Dyrektywa ADR będzie nadal miała zastosowanie do sporów konsumenckich</w:t>
      </w:r>
      <w:r w:rsidR="00BE6F6D" w:rsidRPr="009A4A22">
        <w:rPr>
          <w:rFonts w:ascii="Times New Roman" w:hAnsi="Times New Roman"/>
          <w:noProof/>
          <w:sz w:val="24"/>
          <w:bdr w:val="none" w:sz="0" w:space="0" w:color="auto" w:frame="1"/>
        </w:rPr>
        <w:t xml:space="preserve"> z</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prz</w:t>
      </w:r>
      <w:r w:rsidRPr="009A4A22">
        <w:rPr>
          <w:rFonts w:ascii="Times New Roman" w:hAnsi="Times New Roman"/>
          <w:noProof/>
          <w:sz w:val="24"/>
          <w:bdr w:val="none" w:sz="0" w:space="0" w:color="auto" w:frame="1"/>
        </w:rPr>
        <w:t>edsiębiorcą będącym osobą trzecią, które zasadniczo dotyczą sposobu zwrotu pieniędzy, sposobu naprawy wadliwego produktu, rozwiązania umowy opartej na nieuczciwych warunkach itp. Dyrektywa ADR zapewnia zatem konsumentom środki uzupełniające, które umożliwiają im rozwiązanie problemów związanych</w:t>
      </w:r>
      <w:r w:rsidR="00BE6F6D" w:rsidRPr="009A4A22">
        <w:rPr>
          <w:rFonts w:ascii="Times New Roman" w:hAnsi="Times New Roman"/>
          <w:noProof/>
          <w:sz w:val="24"/>
          <w:bdr w:val="none" w:sz="0" w:space="0" w:color="auto" w:frame="1"/>
        </w:rPr>
        <w:t xml:space="preserve"> z</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nie</w:t>
      </w:r>
      <w:r w:rsidRPr="009A4A22">
        <w:rPr>
          <w:rFonts w:ascii="Times New Roman" w:hAnsi="Times New Roman"/>
          <w:noProof/>
          <w:sz w:val="24"/>
          <w:bdr w:val="none" w:sz="0" w:space="0" w:color="auto" w:frame="1"/>
        </w:rPr>
        <w:t>legalnymi praktykami handlowymi przedsiębiorcy,</w:t>
      </w:r>
      <w:r w:rsidR="00BE6F6D" w:rsidRPr="009A4A22">
        <w:rPr>
          <w:rFonts w:ascii="Times New Roman" w:hAnsi="Times New Roman"/>
          <w:noProof/>
          <w:sz w:val="24"/>
          <w:bdr w:val="none" w:sz="0" w:space="0" w:color="auto" w:frame="1"/>
        </w:rPr>
        <w:t xml:space="preserve"> a</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nie z</w:t>
      </w:r>
      <w:r w:rsidR="00BE6F6D">
        <w:rPr>
          <w:rFonts w:ascii="Times New Roman" w:hAnsi="Times New Roman"/>
          <w:noProof/>
          <w:sz w:val="24"/>
          <w:bdr w:val="none" w:sz="0" w:space="0" w:color="auto" w:frame="1"/>
        </w:rPr>
        <w:t> </w:t>
      </w:r>
      <w:r w:rsidR="00BE6F6D" w:rsidRPr="009A4A22">
        <w:rPr>
          <w:rFonts w:ascii="Times New Roman" w:hAnsi="Times New Roman"/>
          <w:noProof/>
          <w:sz w:val="24"/>
          <w:bdr w:val="none" w:sz="0" w:space="0" w:color="auto" w:frame="1"/>
        </w:rPr>
        <w:t>mod</w:t>
      </w:r>
      <w:r w:rsidRPr="009A4A22">
        <w:rPr>
          <w:rFonts w:ascii="Times New Roman" w:hAnsi="Times New Roman"/>
          <w:noProof/>
          <w:sz w:val="24"/>
          <w:bdr w:val="none" w:sz="0" w:space="0" w:color="auto" w:frame="1"/>
        </w:rPr>
        <w:t xml:space="preserve">erowaniem treści przez pośrednika. </w:t>
      </w:r>
    </w:p>
    <w:p w14:paraId="6AF36773" w14:textId="4527C448" w:rsidR="001D5812" w:rsidRPr="009A4A22" w:rsidRDefault="001D5812" w:rsidP="001D5812">
      <w:pPr>
        <w:pBdr>
          <w:top w:val="nil"/>
          <w:left w:val="nil"/>
          <w:bottom w:val="nil"/>
          <w:right w:val="nil"/>
          <w:between w:val="nil"/>
          <w:bar w:val="nil"/>
        </w:pBdr>
        <w:rPr>
          <w:rFonts w:eastAsia="Calibri"/>
          <w:noProof/>
        </w:rPr>
      </w:pPr>
      <w:r w:rsidRPr="009A4A22">
        <w:rPr>
          <w:noProof/>
        </w:rPr>
        <w:t>W ramach programu sprawności</w:t>
      </w:r>
      <w:r w:rsidR="00BE6F6D" w:rsidRPr="009A4A22">
        <w:rPr>
          <w:noProof/>
        </w:rPr>
        <w:t xml:space="preserve"> i</w:t>
      </w:r>
      <w:r w:rsidR="00BE6F6D">
        <w:rPr>
          <w:noProof/>
        </w:rPr>
        <w:t> </w:t>
      </w:r>
      <w:r w:rsidR="00BE6F6D" w:rsidRPr="009A4A22">
        <w:rPr>
          <w:noProof/>
        </w:rPr>
        <w:t>wyd</w:t>
      </w:r>
      <w:r w:rsidRPr="009A4A22">
        <w:rPr>
          <w:noProof/>
        </w:rPr>
        <w:t>ajności regulacyjnej (REFIT) Komisja zapewnia, aby przepisy były adekwatne do zakładanych celów, ukierunkowane na potrzeby zainteresowanych stron oraz minimalizowały obciążenia,</w:t>
      </w:r>
      <w:r w:rsidR="00BE6F6D" w:rsidRPr="009A4A22">
        <w:rPr>
          <w:noProof/>
        </w:rPr>
        <w:t xml:space="preserve"> a</w:t>
      </w:r>
      <w:r w:rsidR="00BE6F6D">
        <w:rPr>
          <w:noProof/>
        </w:rPr>
        <w:t> </w:t>
      </w:r>
      <w:r w:rsidR="00BE6F6D" w:rsidRPr="009A4A22">
        <w:rPr>
          <w:noProof/>
        </w:rPr>
        <w:t>jed</w:t>
      </w:r>
      <w:r w:rsidRPr="009A4A22">
        <w:rPr>
          <w:noProof/>
        </w:rPr>
        <w:t>nocześnie umożliwiały realizację celów. Niniejsze wnioski są zatem częścią programu REFIT</w:t>
      </w:r>
      <w:r w:rsidR="00BE6F6D" w:rsidRPr="009A4A22">
        <w:rPr>
          <w:noProof/>
        </w:rPr>
        <w:t xml:space="preserve"> i</w:t>
      </w:r>
      <w:r w:rsidR="00BE6F6D">
        <w:rPr>
          <w:noProof/>
        </w:rPr>
        <w:t> </w:t>
      </w:r>
      <w:r w:rsidR="00BE6F6D" w:rsidRPr="009A4A22">
        <w:rPr>
          <w:noProof/>
        </w:rPr>
        <w:t>prz</w:t>
      </w:r>
      <w:r w:rsidRPr="009A4A22">
        <w:rPr>
          <w:noProof/>
        </w:rPr>
        <w:t>yczyniają się do zmniejszenia złożoności obciążeń sprawozdawczych wynikających</w:t>
      </w:r>
      <w:r w:rsidR="00BE6F6D" w:rsidRPr="009A4A22">
        <w:rPr>
          <w:noProof/>
        </w:rPr>
        <w:t xml:space="preserve"> z</w:t>
      </w:r>
      <w:r w:rsidR="00BE6F6D">
        <w:rPr>
          <w:noProof/>
        </w:rPr>
        <w:t> </w:t>
      </w:r>
      <w:r w:rsidR="00BE6F6D" w:rsidRPr="009A4A22">
        <w:rPr>
          <w:noProof/>
        </w:rPr>
        <w:t>oto</w:t>
      </w:r>
      <w:r w:rsidRPr="009A4A22">
        <w:rPr>
          <w:noProof/>
        </w:rPr>
        <w:t xml:space="preserve">czenia prawnego UE. </w:t>
      </w:r>
    </w:p>
    <w:p w14:paraId="16D4A483" w14:textId="72409C68" w:rsidR="00823A57" w:rsidRPr="009A4A22" w:rsidRDefault="001D5812" w:rsidP="0039400F">
      <w:pPr>
        <w:pBdr>
          <w:top w:val="nil"/>
          <w:left w:val="nil"/>
          <w:bottom w:val="nil"/>
          <w:right w:val="nil"/>
          <w:between w:val="nil"/>
          <w:bar w:val="nil"/>
        </w:pBdr>
        <w:rPr>
          <w:rFonts w:eastAsia="Calibri"/>
          <w:noProof/>
        </w:rPr>
      </w:pPr>
      <w:r w:rsidRPr="009A4A22">
        <w:rPr>
          <w:noProof/>
        </w:rPr>
        <w:t>Chociaż niektóre wymogi</w:t>
      </w:r>
      <w:r w:rsidR="00BE6F6D" w:rsidRPr="009A4A22">
        <w:rPr>
          <w:noProof/>
        </w:rPr>
        <w:t xml:space="preserve"> w</w:t>
      </w:r>
      <w:r w:rsidR="00BE6F6D">
        <w:rPr>
          <w:noProof/>
        </w:rPr>
        <w:t> </w:t>
      </w:r>
      <w:r w:rsidR="00BE6F6D" w:rsidRPr="009A4A22">
        <w:rPr>
          <w:noProof/>
        </w:rPr>
        <w:t>zak</w:t>
      </w:r>
      <w:r w:rsidRPr="009A4A22">
        <w:rPr>
          <w:noProof/>
        </w:rPr>
        <w:t>resie sprawozdawczości mają zasadnicze znaczenie, muszą one być jak najefektywniejsze, nie powinny się na siebie nakładać, powinny usuwać zbędne obciążenia</w:t>
      </w:r>
      <w:r w:rsidR="00BE6F6D" w:rsidRPr="009A4A22">
        <w:rPr>
          <w:noProof/>
        </w:rPr>
        <w:t xml:space="preserve"> i</w:t>
      </w:r>
      <w:r w:rsidR="00BE6F6D">
        <w:rPr>
          <w:noProof/>
        </w:rPr>
        <w:t> </w:t>
      </w:r>
      <w:r w:rsidR="00BE6F6D" w:rsidRPr="009A4A22">
        <w:rPr>
          <w:noProof/>
        </w:rPr>
        <w:t>w</w:t>
      </w:r>
      <w:r w:rsidR="00BE6F6D">
        <w:rPr>
          <w:noProof/>
        </w:rPr>
        <w:t> </w:t>
      </w:r>
      <w:r w:rsidR="00BE6F6D" w:rsidRPr="009A4A22">
        <w:rPr>
          <w:noProof/>
        </w:rPr>
        <w:t>jak</w:t>
      </w:r>
      <w:r w:rsidRPr="009A4A22">
        <w:rPr>
          <w:noProof/>
        </w:rPr>
        <w:t xml:space="preserve"> największym stopniu wykorzystywać rozwiązania cyfrowe</w:t>
      </w:r>
      <w:r w:rsidR="00BE6F6D" w:rsidRPr="009A4A22">
        <w:rPr>
          <w:noProof/>
        </w:rPr>
        <w:t xml:space="preserve"> i</w:t>
      </w:r>
      <w:r w:rsidR="00BE6F6D">
        <w:rPr>
          <w:noProof/>
        </w:rPr>
        <w:t> </w:t>
      </w:r>
      <w:r w:rsidR="00BE6F6D" w:rsidRPr="009A4A22">
        <w:rPr>
          <w:noProof/>
        </w:rPr>
        <w:t>int</w:t>
      </w:r>
      <w:r w:rsidRPr="009A4A22">
        <w:rPr>
          <w:noProof/>
        </w:rPr>
        <w:t>eroperacyjne.</w:t>
      </w:r>
    </w:p>
    <w:p w14:paraId="76B7E145" w14:textId="2543F0AC" w:rsidR="00823A57" w:rsidRPr="009A4A22" w:rsidRDefault="00823A57" w:rsidP="00823A57">
      <w:pPr>
        <w:pBdr>
          <w:top w:val="nil"/>
          <w:left w:val="nil"/>
          <w:bottom w:val="nil"/>
          <w:right w:val="nil"/>
          <w:between w:val="nil"/>
          <w:bar w:val="nil"/>
        </w:pBdr>
        <w:rPr>
          <w:rFonts w:eastAsia="Times New Roman"/>
          <w:noProof/>
          <w:color w:val="000000"/>
          <w:szCs w:val="24"/>
          <w:bdr w:val="none" w:sz="0" w:space="0" w:color="auto" w:frame="1"/>
        </w:rPr>
      </w:pPr>
      <w:r w:rsidRPr="009A4A22">
        <w:rPr>
          <w:noProof/>
          <w:color w:val="000000"/>
          <w:bdr w:val="none" w:sz="0" w:space="0" w:color="auto" w:frame="1"/>
        </w:rPr>
        <w:t>Racjonalizacja wprowadzona ukierunkowanymi zmianami do dyrektywy ADR nie będzie miała wpływu na realizację celów</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tym</w:t>
      </w:r>
      <w:r w:rsidRPr="009A4A22">
        <w:rPr>
          <w:noProof/>
          <w:color w:val="000000"/>
          <w:bdr w:val="none" w:sz="0" w:space="0" w:color="auto" w:frame="1"/>
        </w:rPr>
        <w:t xml:space="preserve"> obszarze polityki</w:t>
      </w:r>
      <w:r w:rsidR="00BE6F6D" w:rsidRPr="009A4A22">
        <w:rPr>
          <w:noProof/>
          <w:color w:val="000000"/>
          <w:bdr w:val="none" w:sz="0" w:space="0" w:color="auto" w:frame="1"/>
        </w:rPr>
        <w:t xml:space="preserve"> z</w:t>
      </w:r>
      <w:r w:rsidR="00BE6F6D">
        <w:rPr>
          <w:noProof/>
          <w:color w:val="000000"/>
          <w:bdr w:val="none" w:sz="0" w:space="0" w:color="auto" w:frame="1"/>
        </w:rPr>
        <w:t> </w:t>
      </w:r>
      <w:r w:rsidR="00BE6F6D" w:rsidRPr="009A4A22">
        <w:rPr>
          <w:noProof/>
          <w:color w:val="000000"/>
          <w:bdr w:val="none" w:sz="0" w:space="0" w:color="auto" w:frame="1"/>
        </w:rPr>
        <w:t>nas</w:t>
      </w:r>
      <w:r w:rsidRPr="009A4A22">
        <w:rPr>
          <w:noProof/>
          <w:color w:val="000000"/>
          <w:bdr w:val="none" w:sz="0" w:space="0" w:color="auto" w:frame="1"/>
        </w:rPr>
        <w:t>tępujących powodów:</w:t>
      </w:r>
    </w:p>
    <w:p w14:paraId="074A104D" w14:textId="19FA6774" w:rsidR="00823A57" w:rsidRPr="009A4A22" w:rsidRDefault="00823A57" w:rsidP="00FE74FE">
      <w:pPr>
        <w:pStyle w:val="Bullet0"/>
        <w:numPr>
          <w:ilvl w:val="0"/>
          <w:numId w:val="6"/>
        </w:numPr>
        <w:rPr>
          <w:noProof/>
          <w:bdr w:val="none" w:sz="0" w:space="0" w:color="auto" w:frame="1"/>
        </w:rPr>
      </w:pPr>
      <w:r w:rsidRPr="009A4A22">
        <w:rPr>
          <w:noProof/>
          <w:bdr w:val="none" w:sz="0" w:space="0" w:color="auto" w:frame="1"/>
        </w:rPr>
        <w:t>Obowiązek zamieszczania informacji</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spr</w:t>
      </w:r>
      <w:r w:rsidRPr="009A4A22">
        <w:rPr>
          <w:noProof/>
          <w:bdr w:val="none" w:sz="0" w:space="0" w:color="auto" w:frame="1"/>
        </w:rPr>
        <w:t>awie ADR na stronie internetowej przedsiębiorców nie dotyczy tych przedsiębiorców, którzy nie zamierzają brać udziału</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pos</w:t>
      </w:r>
      <w:r w:rsidRPr="009A4A22">
        <w:rPr>
          <w:noProof/>
          <w:bdr w:val="none" w:sz="0" w:space="0" w:color="auto" w:frame="1"/>
        </w:rPr>
        <w:t>tępowaniach ADR</w:t>
      </w:r>
      <w:r w:rsidR="00BE6F6D" w:rsidRPr="009A4A22">
        <w:rPr>
          <w:noProof/>
          <w:bdr w:val="none" w:sz="0" w:space="0" w:color="auto" w:frame="1"/>
        </w:rPr>
        <w:t xml:space="preserve"> i</w:t>
      </w:r>
      <w:r w:rsidR="00BE6F6D">
        <w:rPr>
          <w:noProof/>
          <w:bdr w:val="none" w:sz="0" w:space="0" w:color="auto" w:frame="1"/>
        </w:rPr>
        <w:t> </w:t>
      </w:r>
      <w:r w:rsidR="00BE6F6D" w:rsidRPr="009A4A22">
        <w:rPr>
          <w:noProof/>
          <w:bdr w:val="none" w:sz="0" w:space="0" w:color="auto" w:frame="1"/>
        </w:rPr>
        <w:t>nie</w:t>
      </w:r>
      <w:r w:rsidRPr="009A4A22">
        <w:rPr>
          <w:noProof/>
          <w:bdr w:val="none" w:sz="0" w:space="0" w:color="auto" w:frame="1"/>
        </w:rPr>
        <w:t xml:space="preserve"> są do tego zobowiązani na mocy prawa krajowego lub unijnego. Natomiast przedsiębiorcy, którzy aktywnie biorą udział w ADR, będą mogli</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odp</w:t>
      </w:r>
      <w:r w:rsidRPr="009A4A22">
        <w:rPr>
          <w:noProof/>
          <w:bdr w:val="none" w:sz="0" w:space="0" w:color="auto" w:frame="1"/>
        </w:rPr>
        <w:t>owiedni sposób informować</w:t>
      </w:r>
      <w:r w:rsidR="00BE6F6D" w:rsidRPr="009A4A22">
        <w:rPr>
          <w:noProof/>
          <w:bdr w:val="none" w:sz="0" w:space="0" w:color="auto" w:frame="1"/>
        </w:rPr>
        <w:t xml:space="preserve"> o</w:t>
      </w:r>
      <w:r w:rsidR="00BE6F6D">
        <w:rPr>
          <w:noProof/>
          <w:bdr w:val="none" w:sz="0" w:space="0" w:color="auto" w:frame="1"/>
        </w:rPr>
        <w:t> </w:t>
      </w:r>
      <w:r w:rsidR="00BE6F6D" w:rsidRPr="009A4A22">
        <w:rPr>
          <w:noProof/>
          <w:bdr w:val="none" w:sz="0" w:space="0" w:color="auto" w:frame="1"/>
        </w:rPr>
        <w:t>tym</w:t>
      </w:r>
      <w:r w:rsidRPr="009A4A22">
        <w:rPr>
          <w:noProof/>
          <w:bdr w:val="none" w:sz="0" w:space="0" w:color="auto" w:frame="1"/>
        </w:rPr>
        <w:t xml:space="preserve"> swoich klientów.</w:t>
      </w:r>
    </w:p>
    <w:p w14:paraId="3F6013BE" w14:textId="0A4DFC82" w:rsidR="0039400F" w:rsidRPr="009A4A22" w:rsidRDefault="00823A57" w:rsidP="00FE74FE">
      <w:pPr>
        <w:pStyle w:val="Bullet0"/>
        <w:numPr>
          <w:ilvl w:val="0"/>
          <w:numId w:val="6"/>
        </w:numPr>
        <w:rPr>
          <w:noProof/>
          <w:bdr w:val="none" w:sz="0" w:space="0" w:color="auto" w:frame="1"/>
        </w:rPr>
      </w:pPr>
      <w:r w:rsidRPr="009A4A22">
        <w:rPr>
          <w:noProof/>
          <w:bdr w:val="none" w:sz="0" w:space="0" w:color="auto" w:frame="1"/>
        </w:rPr>
        <w:t>Obowiązek sprawozdawczy podmiotów ADR zostaje uproszczony przez zmniejszenie częstotliwości składania sprawozdań</w:t>
      </w:r>
      <w:r w:rsidR="00BE6F6D" w:rsidRPr="009A4A22">
        <w:rPr>
          <w:noProof/>
          <w:bdr w:val="none" w:sz="0" w:space="0" w:color="auto" w:frame="1"/>
        </w:rPr>
        <w:t xml:space="preserve"> z</w:t>
      </w:r>
      <w:r w:rsidR="00BE6F6D">
        <w:rPr>
          <w:noProof/>
          <w:bdr w:val="none" w:sz="0" w:space="0" w:color="auto" w:frame="1"/>
        </w:rPr>
        <w:t> </w:t>
      </w:r>
      <w:r w:rsidR="00BE6F6D" w:rsidRPr="009A4A22">
        <w:rPr>
          <w:noProof/>
          <w:bdr w:val="none" w:sz="0" w:space="0" w:color="auto" w:frame="1"/>
        </w:rPr>
        <w:t>jed</w:t>
      </w:r>
      <w:r w:rsidRPr="009A4A22">
        <w:rPr>
          <w:noProof/>
          <w:bdr w:val="none" w:sz="0" w:space="0" w:color="auto" w:frame="1"/>
        </w:rPr>
        <w:t>nego sprawozdania rocznie do jednego sprawozdania co dwa lata. Pozwoli to zebrać więcej informacji,</w:t>
      </w:r>
      <w:r w:rsidR="00BE6F6D" w:rsidRPr="009A4A22">
        <w:rPr>
          <w:noProof/>
          <w:bdr w:val="none" w:sz="0" w:space="0" w:color="auto" w:frame="1"/>
        </w:rPr>
        <w:t xml:space="preserve"> a</w:t>
      </w:r>
      <w:r w:rsidR="00BE6F6D">
        <w:rPr>
          <w:noProof/>
          <w:bdr w:val="none" w:sz="0" w:space="0" w:color="auto" w:frame="1"/>
        </w:rPr>
        <w:t> </w:t>
      </w:r>
      <w:r w:rsidR="00BE6F6D" w:rsidRPr="009A4A22">
        <w:rPr>
          <w:noProof/>
          <w:bdr w:val="none" w:sz="0" w:space="0" w:color="auto" w:frame="1"/>
        </w:rPr>
        <w:t>tym</w:t>
      </w:r>
      <w:r w:rsidRPr="009A4A22">
        <w:rPr>
          <w:noProof/>
          <w:bdr w:val="none" w:sz="0" w:space="0" w:color="auto" w:frame="1"/>
        </w:rPr>
        <w:t xml:space="preserve"> samym stworzyć lepszą bazę danych do oceny funkcjonowania podmiotów ADR</w:t>
      </w:r>
      <w:r w:rsidR="00BE6F6D" w:rsidRPr="009A4A22">
        <w:rPr>
          <w:noProof/>
          <w:bdr w:val="none" w:sz="0" w:space="0" w:color="auto" w:frame="1"/>
        </w:rPr>
        <w:t xml:space="preserve"> w</w:t>
      </w:r>
      <w:r w:rsidR="00BE6F6D">
        <w:rPr>
          <w:noProof/>
          <w:bdr w:val="none" w:sz="0" w:space="0" w:color="auto" w:frame="1"/>
        </w:rPr>
        <w:t> </w:t>
      </w:r>
      <w:r w:rsidR="00BE6F6D" w:rsidRPr="009A4A22">
        <w:rPr>
          <w:noProof/>
          <w:bdr w:val="none" w:sz="0" w:space="0" w:color="auto" w:frame="1"/>
        </w:rPr>
        <w:t>per</w:t>
      </w:r>
      <w:r w:rsidRPr="009A4A22">
        <w:rPr>
          <w:noProof/>
          <w:bdr w:val="none" w:sz="0" w:space="0" w:color="auto" w:frame="1"/>
        </w:rPr>
        <w:t>spektywie średnioterminowej. Niektóre pozycje nie powinny być obowiązkowe, ponieważ to podmioty ADR powinny decydować, jakie informacje są najistotniejsze do publikacji lub przekazania właściwym organom. Zaoszczędzone koszty</w:t>
      </w:r>
      <w:r w:rsidR="00BE6F6D" w:rsidRPr="009A4A22">
        <w:rPr>
          <w:noProof/>
          <w:bdr w:val="none" w:sz="0" w:space="0" w:color="auto" w:frame="1"/>
        </w:rPr>
        <w:t xml:space="preserve"> i</w:t>
      </w:r>
      <w:r w:rsidR="00BE6F6D">
        <w:rPr>
          <w:noProof/>
          <w:bdr w:val="none" w:sz="0" w:space="0" w:color="auto" w:frame="1"/>
        </w:rPr>
        <w:t> </w:t>
      </w:r>
      <w:r w:rsidR="00BE6F6D" w:rsidRPr="009A4A22">
        <w:rPr>
          <w:noProof/>
          <w:bdr w:val="none" w:sz="0" w:space="0" w:color="auto" w:frame="1"/>
        </w:rPr>
        <w:t>cza</w:t>
      </w:r>
      <w:r w:rsidRPr="009A4A22">
        <w:rPr>
          <w:noProof/>
          <w:bdr w:val="none" w:sz="0" w:space="0" w:color="auto" w:frame="1"/>
        </w:rPr>
        <w:t>s powinny zostać wykorzystane do innych celów, takich jak szkolenie personelu.</w:t>
      </w:r>
    </w:p>
    <w:p w14:paraId="63E23B95" w14:textId="77777777" w:rsidR="00B1743F" w:rsidRPr="009A4A22" w:rsidRDefault="00B1743F" w:rsidP="00550536">
      <w:pPr>
        <w:pStyle w:val="ManualHeading1"/>
        <w:rPr>
          <w:rFonts w:eastAsia="Calibri"/>
          <w:noProof/>
          <w:szCs w:val="24"/>
        </w:rPr>
      </w:pPr>
      <w:r w:rsidRPr="009A4A22">
        <w:rPr>
          <w:noProof/>
        </w:rPr>
        <w:t>2.</w:t>
      </w:r>
      <w:r w:rsidRPr="009A4A22">
        <w:rPr>
          <w:noProof/>
        </w:rPr>
        <w:tab/>
        <w:t>PODSTAWA PRAWNA, POMOCNICZOŚĆ I PROPORCJONALNOŚĆ</w:t>
      </w:r>
    </w:p>
    <w:p w14:paraId="7914C1FB" w14:textId="77777777" w:rsidR="00041A99" w:rsidRPr="009A4A22" w:rsidRDefault="00041A99" w:rsidP="00041A99">
      <w:pPr>
        <w:rPr>
          <w:noProof/>
          <w:u w:color="000000"/>
          <w:bdr w:val="nil"/>
          <w:lang w:eastAsia="en-GB"/>
        </w:rPr>
      </w:pPr>
    </w:p>
    <w:p w14:paraId="2C62A7E1" w14:textId="77777777" w:rsidR="00B1743F" w:rsidRPr="009A4A22" w:rsidRDefault="00B1743F" w:rsidP="00A4693B">
      <w:pPr>
        <w:pStyle w:val="ManualHeading2"/>
        <w:rPr>
          <w:rFonts w:eastAsia="Arial Unicode MS"/>
          <w:noProof/>
          <w:u w:color="000000"/>
          <w:bdr w:val="nil"/>
        </w:rPr>
      </w:pPr>
      <w:r w:rsidRPr="009A4A22">
        <w:rPr>
          <w:noProof/>
          <w:u w:color="000000"/>
          <w:bdr w:val="nil"/>
        </w:rPr>
        <w:t>Podstawa prawna</w:t>
      </w:r>
    </w:p>
    <w:p w14:paraId="5FCF3994" w14:textId="78DFA654" w:rsidR="001D5812" w:rsidRPr="009A4A22" w:rsidRDefault="001D5812" w:rsidP="001D5812">
      <w:pPr>
        <w:pBdr>
          <w:top w:val="nil"/>
          <w:left w:val="nil"/>
          <w:bottom w:val="nil"/>
          <w:right w:val="nil"/>
          <w:between w:val="nil"/>
          <w:bar w:val="nil"/>
        </w:pBdr>
        <w:spacing w:before="0" w:after="240"/>
        <w:rPr>
          <w:rFonts w:eastAsia="Arial Unicode MS"/>
          <w:noProof/>
        </w:rPr>
      </w:pPr>
      <w:r w:rsidRPr="009A4A22">
        <w:rPr>
          <w:noProof/>
          <w:color w:val="000000"/>
          <w:bdr w:val="none" w:sz="0" w:space="0" w:color="auto" w:frame="1"/>
          <w:shd w:val="clear" w:color="auto" w:fill="FFFFFF"/>
        </w:rPr>
        <w:t xml:space="preserve">Podstawą prawną zmienionej dyrektywy ADR jest </w:t>
      </w:r>
      <w:r w:rsidRPr="00BE6F6D">
        <w:rPr>
          <w:noProof/>
          <w:color w:val="000000"/>
          <w:bdr w:val="none" w:sz="0" w:space="0" w:color="auto" w:frame="1"/>
          <w:shd w:val="clear" w:color="auto" w:fill="FFFFFF"/>
        </w:rPr>
        <w:t>art.</w:t>
      </w:r>
      <w:r w:rsidR="00BE6F6D" w:rsidRPr="00BE6F6D">
        <w:rPr>
          <w:noProof/>
          <w:color w:val="000000"/>
          <w:bdr w:val="none" w:sz="0" w:space="0" w:color="auto" w:frame="1"/>
          <w:shd w:val="clear" w:color="auto" w:fill="FFFFFF"/>
        </w:rPr>
        <w:t> </w:t>
      </w:r>
      <w:r w:rsidRPr="00BE6F6D">
        <w:rPr>
          <w:noProof/>
          <w:color w:val="000000"/>
          <w:bdr w:val="none" w:sz="0" w:space="0" w:color="auto" w:frame="1"/>
          <w:shd w:val="clear" w:color="auto" w:fill="FFFFFF"/>
        </w:rPr>
        <w:t>1</w:t>
      </w:r>
      <w:r w:rsidRPr="009A4A22">
        <w:rPr>
          <w:noProof/>
          <w:color w:val="000000"/>
          <w:bdr w:val="none" w:sz="0" w:space="0" w:color="auto" w:frame="1"/>
          <w:shd w:val="clear" w:color="auto" w:fill="FFFFFF"/>
        </w:rPr>
        <w:t xml:space="preserve">14 TFUE dotyczący urzeczywistnienia rynku wewnętrznego; należycie uwzględniono także </w:t>
      </w:r>
      <w:r w:rsidRPr="00BE6F6D">
        <w:rPr>
          <w:noProof/>
          <w:color w:val="000000"/>
          <w:bdr w:val="none" w:sz="0" w:space="0" w:color="auto" w:frame="1"/>
          <w:shd w:val="clear" w:color="auto" w:fill="FFFFFF"/>
        </w:rPr>
        <w:t>art.</w:t>
      </w:r>
      <w:r w:rsidR="00BE6F6D" w:rsidRPr="00BE6F6D">
        <w:rPr>
          <w:noProof/>
          <w:color w:val="000000"/>
          <w:bdr w:val="none" w:sz="0" w:space="0" w:color="auto" w:frame="1"/>
          <w:shd w:val="clear" w:color="auto" w:fill="FFFFFF"/>
        </w:rPr>
        <w:t> </w:t>
      </w:r>
      <w:r w:rsidRPr="00BE6F6D">
        <w:rPr>
          <w:noProof/>
          <w:color w:val="000000"/>
          <w:bdr w:val="none" w:sz="0" w:space="0" w:color="auto" w:frame="1"/>
          <w:shd w:val="clear" w:color="auto" w:fill="FFFFFF"/>
        </w:rPr>
        <w:t>1</w:t>
      </w:r>
      <w:r w:rsidRPr="009A4A22">
        <w:rPr>
          <w:noProof/>
          <w:color w:val="000000"/>
          <w:bdr w:val="none" w:sz="0" w:space="0" w:color="auto" w:frame="1"/>
          <w:shd w:val="clear" w:color="auto" w:fill="FFFFFF"/>
        </w:rPr>
        <w:t>69 TFUE</w:t>
      </w:r>
      <w:r w:rsidRPr="009A4A22">
        <w:rPr>
          <w:rStyle w:val="FootnoteReference"/>
          <w:noProof/>
          <w:color w:val="000000"/>
          <w:bdr w:val="none" w:sz="0" w:space="0" w:color="auto" w:frame="1"/>
        </w:rPr>
        <w:footnoteReference w:id="5"/>
      </w:r>
      <w:r w:rsidR="00BE6F6D" w:rsidRPr="009A4A22">
        <w:rPr>
          <w:noProof/>
          <w:color w:val="000000"/>
          <w:bdr w:val="none" w:sz="0" w:space="0" w:color="auto" w:frame="1"/>
          <w:shd w:val="clear" w:color="auto" w:fill="FFFFFF"/>
        </w:rPr>
        <w:t>. W</w:t>
      </w:r>
      <w:r w:rsidR="00BE6F6D">
        <w:rPr>
          <w:noProof/>
          <w:color w:val="000000"/>
          <w:bdr w:val="none" w:sz="0" w:space="0" w:color="auto" w:frame="1"/>
          <w:shd w:val="clear" w:color="auto" w:fill="FFFFFF"/>
        </w:rPr>
        <w:t> </w:t>
      </w:r>
      <w:r w:rsidR="00BE6F6D" w:rsidRPr="00BE6F6D">
        <w:rPr>
          <w:noProof/>
          <w:color w:val="000000"/>
          <w:bdr w:val="none" w:sz="0" w:space="0" w:color="auto" w:frame="1"/>
          <w:shd w:val="clear" w:color="auto" w:fill="FFFFFF"/>
        </w:rPr>
        <w:t>art</w:t>
      </w:r>
      <w:r w:rsidRPr="00BE6F6D">
        <w:rPr>
          <w:noProof/>
          <w:color w:val="000000"/>
          <w:bdr w:val="none" w:sz="0" w:space="0" w:color="auto" w:frame="1"/>
          <w:shd w:val="clear" w:color="auto" w:fill="FFFFFF"/>
        </w:rPr>
        <w:t>.</w:t>
      </w:r>
      <w:r w:rsidR="00BE6F6D" w:rsidRPr="00BE6F6D">
        <w:rPr>
          <w:noProof/>
          <w:color w:val="000000"/>
          <w:bdr w:val="none" w:sz="0" w:space="0" w:color="auto" w:frame="1"/>
          <w:shd w:val="clear" w:color="auto" w:fill="FFFFFF"/>
        </w:rPr>
        <w:t> </w:t>
      </w:r>
      <w:r w:rsidRPr="00BE6F6D">
        <w:rPr>
          <w:noProof/>
          <w:color w:val="000000"/>
          <w:bdr w:val="none" w:sz="0" w:space="0" w:color="auto" w:frame="1"/>
          <w:shd w:val="clear" w:color="auto" w:fill="FFFFFF"/>
        </w:rPr>
        <w:t>1</w:t>
      </w:r>
      <w:r w:rsidRPr="009A4A22">
        <w:rPr>
          <w:noProof/>
          <w:color w:val="000000"/>
          <w:bdr w:val="none" w:sz="0" w:space="0" w:color="auto" w:frame="1"/>
          <w:shd w:val="clear" w:color="auto" w:fill="FFFFFF"/>
        </w:rPr>
        <w:t>14 UE przyznano kompetencje do wprowadzania środków mających na celu zbliżenie przepisów krajowych dotyczących ustanowienia</w:t>
      </w:r>
      <w:r w:rsidR="00BE6F6D" w:rsidRPr="009A4A22">
        <w:rPr>
          <w:noProof/>
          <w:color w:val="000000"/>
          <w:bdr w:val="none" w:sz="0" w:space="0" w:color="auto" w:frame="1"/>
          <w:shd w:val="clear" w:color="auto" w:fill="FFFFFF"/>
        </w:rPr>
        <w:t xml:space="preserve"> i</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fun</w:t>
      </w:r>
      <w:r w:rsidRPr="009A4A22">
        <w:rPr>
          <w:noProof/>
          <w:color w:val="000000"/>
          <w:bdr w:val="none" w:sz="0" w:space="0" w:color="auto" w:frame="1"/>
          <w:shd w:val="clear" w:color="auto" w:fill="FFFFFF"/>
        </w:rPr>
        <w:t>kcjonowania rynku wewnętrznego. Dzięki stworzeniu wysokiego poziomu ochrony konsumentów wniosek ma na celu wsparcie sprawnego funkcjonowania rynku wewnętrznego.</w:t>
      </w:r>
    </w:p>
    <w:p w14:paraId="2BE0D09D" w14:textId="77777777" w:rsidR="00041A99" w:rsidRPr="009A4A22" w:rsidRDefault="00041A99" w:rsidP="00041A99">
      <w:pPr>
        <w:rPr>
          <w:noProof/>
          <w:u w:color="000000"/>
          <w:bdr w:val="nil"/>
          <w:lang w:eastAsia="en-GB"/>
        </w:rPr>
      </w:pPr>
    </w:p>
    <w:p w14:paraId="6AAFD573" w14:textId="77777777" w:rsidR="00B1743F" w:rsidRPr="009A4A22" w:rsidRDefault="00B1743F" w:rsidP="00041A99">
      <w:pPr>
        <w:pStyle w:val="ManualHeading2"/>
        <w:rPr>
          <w:rFonts w:eastAsia="Arial Unicode MS"/>
          <w:noProof/>
          <w:u w:color="000000"/>
          <w:bdr w:val="nil"/>
        </w:rPr>
      </w:pPr>
      <w:r w:rsidRPr="009A4A22">
        <w:rPr>
          <w:noProof/>
          <w:u w:color="000000"/>
          <w:bdr w:val="nil"/>
        </w:rPr>
        <w:t xml:space="preserve">Pomocniczość </w:t>
      </w:r>
    </w:p>
    <w:p w14:paraId="769C8261" w14:textId="05B798E3" w:rsidR="00D36A0B" w:rsidRPr="009A4A22" w:rsidRDefault="00D36A0B" w:rsidP="00D36A0B">
      <w:pPr>
        <w:pBdr>
          <w:top w:val="nil"/>
          <w:left w:val="nil"/>
          <w:bottom w:val="nil"/>
          <w:right w:val="nil"/>
          <w:between w:val="nil"/>
          <w:bar w:val="nil"/>
        </w:pBdr>
        <w:spacing w:before="0" w:after="240"/>
        <w:rPr>
          <w:noProof/>
          <w:color w:val="000000"/>
          <w:bdr w:val="none" w:sz="0" w:space="0" w:color="auto" w:frame="1"/>
          <w:shd w:val="clear" w:color="auto" w:fill="FFFFFF"/>
        </w:rPr>
      </w:pPr>
      <w:r w:rsidRPr="009A4A22">
        <w:rPr>
          <w:noProof/>
          <w:color w:val="000000"/>
          <w:bdr w:val="none" w:sz="0" w:space="0" w:color="auto" w:frame="1"/>
          <w:shd w:val="clear" w:color="auto" w:fill="FFFFFF"/>
        </w:rPr>
        <w:t>Zmieniona dyrektywa ADR zapewni wszystkim konsumentom</w:t>
      </w:r>
      <w:r w:rsidR="00BE6F6D" w:rsidRPr="009A4A22">
        <w:rPr>
          <w:noProof/>
          <w:color w:val="000000"/>
          <w:bdr w:val="none" w:sz="0" w:space="0" w:color="auto" w:frame="1"/>
          <w:shd w:val="clear" w:color="auto" w:fill="FFFFFF"/>
        </w:rPr>
        <w:t xml:space="preserve"> i</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prz</w:t>
      </w:r>
      <w:r w:rsidRPr="009A4A22">
        <w:rPr>
          <w:noProof/>
          <w:color w:val="000000"/>
          <w:bdr w:val="none" w:sz="0" w:space="0" w:color="auto" w:frame="1"/>
          <w:shd w:val="clear" w:color="auto" w:fill="FFFFFF"/>
        </w:rPr>
        <w:t>edsiębiorcom lepszy dostęp do wysokiej jakości</w:t>
      </w:r>
      <w:r w:rsidR="00BE6F6D" w:rsidRPr="009A4A22">
        <w:rPr>
          <w:noProof/>
          <w:color w:val="000000"/>
          <w:bdr w:val="none" w:sz="0" w:space="0" w:color="auto" w:frame="1"/>
          <w:shd w:val="clear" w:color="auto" w:fill="FFFFFF"/>
        </w:rPr>
        <w:t xml:space="preserve"> i</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efe</w:t>
      </w:r>
      <w:r w:rsidRPr="009A4A22">
        <w:rPr>
          <w:noProof/>
          <w:color w:val="000000"/>
          <w:bdr w:val="none" w:sz="0" w:space="0" w:color="auto" w:frame="1"/>
          <w:shd w:val="clear" w:color="auto" w:fill="FFFFFF"/>
        </w:rPr>
        <w:t>ktywnych kosztowo mechanizmów pozasądowego rozstrzygania sporów dostosowanych do rynków cyfrowych. Uproszczenie ADR</w:t>
      </w:r>
      <w:r w:rsidR="00BE6F6D" w:rsidRPr="009A4A22">
        <w:rPr>
          <w:noProof/>
          <w:color w:val="000000"/>
          <w:bdr w:val="none" w:sz="0" w:space="0" w:color="auto" w:frame="1"/>
          <w:shd w:val="clear" w:color="auto" w:fill="FFFFFF"/>
        </w:rPr>
        <w:t xml:space="preserve"> i</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pop</w:t>
      </w:r>
      <w:r w:rsidRPr="009A4A22">
        <w:rPr>
          <w:noProof/>
          <w:color w:val="000000"/>
          <w:bdr w:val="none" w:sz="0" w:space="0" w:color="auto" w:frame="1"/>
          <w:shd w:val="clear" w:color="auto" w:fill="FFFFFF"/>
        </w:rPr>
        <w:t>rawa efektywności kosztowej rozstrzygania sporów</w:t>
      </w:r>
      <w:r w:rsidR="00BE6F6D" w:rsidRPr="009A4A22">
        <w:rPr>
          <w:noProof/>
          <w:color w:val="000000"/>
          <w:bdr w:val="none" w:sz="0" w:space="0" w:color="auto" w:frame="1"/>
          <w:shd w:val="clear" w:color="auto" w:fill="FFFFFF"/>
        </w:rPr>
        <w:t xml:space="preserve"> o</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wym</w:t>
      </w:r>
      <w:r w:rsidRPr="009A4A22">
        <w:rPr>
          <w:noProof/>
          <w:color w:val="000000"/>
          <w:bdr w:val="none" w:sz="0" w:space="0" w:color="auto" w:frame="1"/>
          <w:shd w:val="clear" w:color="auto" w:fill="FFFFFF"/>
        </w:rPr>
        <w:t>iarze transgranicznym oraz propagowanie łączenia podobnych spraw</w:t>
      </w:r>
      <w:r w:rsidR="00BE6F6D" w:rsidRPr="009A4A22">
        <w:rPr>
          <w:noProof/>
          <w:color w:val="000000"/>
          <w:bdr w:val="none" w:sz="0" w:space="0" w:color="auto" w:frame="1"/>
          <w:shd w:val="clear" w:color="auto" w:fill="FFFFFF"/>
        </w:rPr>
        <w:t xml:space="preserve"> w</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jed</w:t>
      </w:r>
      <w:r w:rsidRPr="009A4A22">
        <w:rPr>
          <w:noProof/>
          <w:color w:val="000000"/>
          <w:bdr w:val="none" w:sz="0" w:space="0" w:color="auto" w:frame="1"/>
          <w:shd w:val="clear" w:color="auto" w:fill="FFFFFF"/>
        </w:rPr>
        <w:t>nym postępowaniu przyczyniają się do zwiększenia efektywności rozstrzygania sporów, również</w:t>
      </w:r>
      <w:r w:rsidR="00BE6F6D" w:rsidRPr="009A4A22">
        <w:rPr>
          <w:noProof/>
          <w:color w:val="000000"/>
          <w:bdr w:val="none" w:sz="0" w:space="0" w:color="auto" w:frame="1"/>
          <w:shd w:val="clear" w:color="auto" w:fill="FFFFFF"/>
        </w:rPr>
        <w:t xml:space="preserve"> w</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kon</w:t>
      </w:r>
      <w:r w:rsidRPr="009A4A22">
        <w:rPr>
          <w:noProof/>
          <w:color w:val="000000"/>
          <w:bdr w:val="none" w:sz="0" w:space="0" w:color="auto" w:frame="1"/>
          <w:shd w:val="clear" w:color="auto" w:fill="FFFFFF"/>
        </w:rPr>
        <w:t>tekście transgranicznym. To</w:t>
      </w:r>
      <w:r w:rsidR="00BE6F6D" w:rsidRPr="009A4A22">
        <w:rPr>
          <w:noProof/>
          <w:color w:val="000000"/>
          <w:bdr w:val="none" w:sz="0" w:space="0" w:color="auto" w:frame="1"/>
          <w:shd w:val="clear" w:color="auto" w:fill="FFFFFF"/>
        </w:rPr>
        <w:t xml:space="preserve"> z</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kol</w:t>
      </w:r>
      <w:r w:rsidRPr="009A4A22">
        <w:rPr>
          <w:noProof/>
          <w:color w:val="000000"/>
          <w:bdr w:val="none" w:sz="0" w:space="0" w:color="auto" w:frame="1"/>
          <w:shd w:val="clear" w:color="auto" w:fill="FFFFFF"/>
        </w:rPr>
        <w:t>ei powinno zwiększyć zaufanie konsumentów do zakupów przez internet,</w:t>
      </w:r>
      <w:r w:rsidR="00BE6F6D" w:rsidRPr="009A4A22">
        <w:rPr>
          <w:noProof/>
          <w:color w:val="000000"/>
          <w:bdr w:val="none" w:sz="0" w:space="0" w:color="auto" w:frame="1"/>
          <w:shd w:val="clear" w:color="auto" w:fill="FFFFFF"/>
        </w:rPr>
        <w:t xml:space="preserve"> a</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tak</w:t>
      </w:r>
      <w:r w:rsidRPr="009A4A22">
        <w:rPr>
          <w:noProof/>
          <w:color w:val="000000"/>
          <w:bdr w:val="none" w:sz="0" w:space="0" w:color="auto" w:frame="1"/>
          <w:shd w:val="clear" w:color="auto" w:fill="FFFFFF"/>
        </w:rPr>
        <w:t>że do korzystania</w:t>
      </w:r>
      <w:r w:rsidR="00BE6F6D" w:rsidRPr="009A4A22">
        <w:rPr>
          <w:noProof/>
          <w:color w:val="000000"/>
          <w:bdr w:val="none" w:sz="0" w:space="0" w:color="auto" w:frame="1"/>
          <w:shd w:val="clear" w:color="auto" w:fill="FFFFFF"/>
        </w:rPr>
        <w:t xml:space="preserve"> z</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usł</w:t>
      </w:r>
      <w:r w:rsidRPr="009A4A22">
        <w:rPr>
          <w:noProof/>
          <w:color w:val="000000"/>
          <w:bdr w:val="none" w:sz="0" w:space="0" w:color="auto" w:frame="1"/>
          <w:shd w:val="clear" w:color="auto" w:fill="FFFFFF"/>
        </w:rPr>
        <w:t>ug turystycznych w UE</w:t>
      </w:r>
      <w:r w:rsidR="00BE6F6D" w:rsidRPr="009A4A22">
        <w:rPr>
          <w:noProof/>
          <w:color w:val="000000"/>
          <w:bdr w:val="none" w:sz="0" w:space="0" w:color="auto" w:frame="1"/>
          <w:shd w:val="clear" w:color="auto" w:fill="FFFFFF"/>
        </w:rPr>
        <w:t xml:space="preserve"> i</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poz</w:t>
      </w:r>
      <w:r w:rsidRPr="009A4A22">
        <w:rPr>
          <w:noProof/>
          <w:color w:val="000000"/>
          <w:bdr w:val="none" w:sz="0" w:space="0" w:color="auto" w:frame="1"/>
          <w:shd w:val="clear" w:color="auto" w:fill="FFFFFF"/>
        </w:rPr>
        <w:t xml:space="preserve">a nią. </w:t>
      </w:r>
    </w:p>
    <w:p w14:paraId="6D42A8C4" w14:textId="22769E20" w:rsidR="00D36A0B" w:rsidRPr="009A4A22" w:rsidRDefault="00D36A0B" w:rsidP="00D36A0B">
      <w:pPr>
        <w:pBdr>
          <w:top w:val="nil"/>
          <w:left w:val="nil"/>
          <w:bottom w:val="nil"/>
          <w:right w:val="nil"/>
          <w:between w:val="nil"/>
          <w:bar w:val="nil"/>
        </w:pBdr>
        <w:spacing w:before="0" w:after="240"/>
        <w:rPr>
          <w:noProof/>
          <w:color w:val="000000"/>
          <w:bdr w:val="none" w:sz="0" w:space="0" w:color="auto" w:frame="1"/>
          <w:shd w:val="clear" w:color="auto" w:fill="FFFFFF"/>
        </w:rPr>
      </w:pPr>
      <w:r w:rsidRPr="009A4A22">
        <w:rPr>
          <w:noProof/>
          <w:color w:val="000000"/>
          <w:bdr w:val="none" w:sz="0" w:space="0" w:color="auto" w:frame="1"/>
          <w:shd w:val="clear" w:color="auto" w:fill="FFFFFF"/>
        </w:rPr>
        <w:t>Cele proponowanego działania nie mogą zostać osiągnięte</w:t>
      </w:r>
      <w:r w:rsidR="00BE6F6D" w:rsidRPr="009A4A22">
        <w:rPr>
          <w:noProof/>
          <w:color w:val="000000"/>
          <w:bdr w:val="none" w:sz="0" w:space="0" w:color="auto" w:frame="1"/>
          <w:shd w:val="clear" w:color="auto" w:fill="FFFFFF"/>
        </w:rPr>
        <w:t xml:space="preserve"> w</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spo</w:t>
      </w:r>
      <w:r w:rsidRPr="009A4A22">
        <w:rPr>
          <w:noProof/>
          <w:color w:val="000000"/>
          <w:bdr w:val="none" w:sz="0" w:space="0" w:color="auto" w:frame="1"/>
          <w:shd w:val="clear" w:color="auto" w:fill="FFFFFF"/>
        </w:rPr>
        <w:t>sób wystarczający przez państwa członkowskie działające samodzielnie,</w:t>
      </w:r>
      <w:r w:rsidR="00BE6F6D" w:rsidRPr="009A4A22">
        <w:rPr>
          <w:noProof/>
          <w:color w:val="000000"/>
          <w:bdr w:val="none" w:sz="0" w:space="0" w:color="auto" w:frame="1"/>
          <w:shd w:val="clear" w:color="auto" w:fill="FFFFFF"/>
        </w:rPr>
        <w:t xml:space="preserve"> a</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z</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uwa</w:t>
      </w:r>
      <w:r w:rsidRPr="009A4A22">
        <w:rPr>
          <w:noProof/>
          <w:color w:val="000000"/>
          <w:bdr w:val="none" w:sz="0" w:space="0" w:color="auto" w:frame="1"/>
          <w:shd w:val="clear" w:color="auto" w:fill="FFFFFF"/>
        </w:rPr>
        <w:t>gi na skalę lub skutki proponowanych działań możliwe jest lepsze ich osiągnięcie na poziomie UE. Działanie na poziomie UE zapewniłoby niezmiennie wysoki poziom ochrony konsumentów, większe zaufanie konsumentów do ADR oraz większą liczbę kontaktów</w:t>
      </w:r>
      <w:r w:rsidR="00BE6F6D" w:rsidRPr="009A4A22">
        <w:rPr>
          <w:noProof/>
          <w:color w:val="000000"/>
          <w:bdr w:val="none" w:sz="0" w:space="0" w:color="auto" w:frame="1"/>
          <w:shd w:val="clear" w:color="auto" w:fill="FFFFFF"/>
        </w:rPr>
        <w:t xml:space="preserve"> i</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czę</w:t>
      </w:r>
      <w:r w:rsidRPr="009A4A22">
        <w:rPr>
          <w:noProof/>
          <w:color w:val="000000"/>
          <w:bdr w:val="none" w:sz="0" w:space="0" w:color="auto" w:frame="1"/>
          <w:shd w:val="clear" w:color="auto" w:fill="FFFFFF"/>
        </w:rPr>
        <w:t>stszą wymianę najlepszych praktyk na szczeblu UE (np.</w:t>
      </w:r>
      <w:r w:rsidR="00BE6F6D" w:rsidRPr="009A4A22">
        <w:rPr>
          <w:noProof/>
          <w:color w:val="000000"/>
          <w:bdr w:val="none" w:sz="0" w:space="0" w:color="auto" w:frame="1"/>
          <w:shd w:val="clear" w:color="auto" w:fill="FFFFFF"/>
        </w:rPr>
        <w:t xml:space="preserve"> w</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zak</w:t>
      </w:r>
      <w:r w:rsidRPr="009A4A22">
        <w:rPr>
          <w:noProof/>
          <w:color w:val="000000"/>
          <w:bdr w:val="none" w:sz="0" w:space="0" w:color="auto" w:frame="1"/>
          <w:shd w:val="clear" w:color="auto" w:fill="FFFFFF"/>
        </w:rPr>
        <w:t>resie wykorzystania narzędzi cyfrowych</w:t>
      </w:r>
      <w:r w:rsidR="00BE6F6D" w:rsidRPr="009A4A22">
        <w:rPr>
          <w:noProof/>
          <w:color w:val="000000"/>
          <w:bdr w:val="none" w:sz="0" w:space="0" w:color="auto" w:frame="1"/>
          <w:shd w:val="clear" w:color="auto" w:fill="FFFFFF"/>
        </w:rPr>
        <w:t xml:space="preserve"> w</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cel</w:t>
      </w:r>
      <w:r w:rsidRPr="009A4A22">
        <w:rPr>
          <w:noProof/>
          <w:color w:val="000000"/>
          <w:bdr w:val="none" w:sz="0" w:space="0" w:color="auto" w:frame="1"/>
          <w:shd w:val="clear" w:color="auto" w:fill="FFFFFF"/>
        </w:rPr>
        <w:t>u zwiększenia efektywności kosztowej</w:t>
      </w:r>
      <w:r w:rsidR="00BE6F6D" w:rsidRPr="009A4A22">
        <w:rPr>
          <w:noProof/>
          <w:color w:val="000000"/>
          <w:bdr w:val="none" w:sz="0" w:space="0" w:color="auto" w:frame="1"/>
          <w:shd w:val="clear" w:color="auto" w:fill="FFFFFF"/>
        </w:rPr>
        <w:t xml:space="preserve"> i</w:t>
      </w:r>
      <w:r w:rsidR="00BE6F6D">
        <w:rPr>
          <w:noProof/>
          <w:color w:val="000000"/>
          <w:bdr w:val="none" w:sz="0" w:space="0" w:color="auto" w:frame="1"/>
          <w:shd w:val="clear" w:color="auto" w:fill="FFFFFF"/>
        </w:rPr>
        <w:t> </w:t>
      </w:r>
      <w:r w:rsidR="00BE6F6D" w:rsidRPr="009A4A22">
        <w:rPr>
          <w:noProof/>
          <w:color w:val="000000"/>
          <w:bdr w:val="none" w:sz="0" w:space="0" w:color="auto" w:frame="1"/>
          <w:shd w:val="clear" w:color="auto" w:fill="FFFFFF"/>
        </w:rPr>
        <w:t>spó</w:t>
      </w:r>
      <w:r w:rsidRPr="009A4A22">
        <w:rPr>
          <w:noProof/>
          <w:color w:val="000000"/>
          <w:bdr w:val="none" w:sz="0" w:space="0" w:color="auto" w:frame="1"/>
          <w:shd w:val="clear" w:color="auto" w:fill="FFFFFF"/>
        </w:rPr>
        <w:t>jności ADR, procedur rozpatrywania spraw, ADR dla poszczególnych sektorów itp.).</w:t>
      </w:r>
    </w:p>
    <w:p w14:paraId="315145D7" w14:textId="768965F9" w:rsidR="00D36A0B" w:rsidRPr="009A4A22" w:rsidRDefault="00D36A0B" w:rsidP="00D36A0B">
      <w:pPr>
        <w:pBdr>
          <w:top w:val="nil"/>
          <w:left w:val="nil"/>
          <w:bottom w:val="nil"/>
          <w:right w:val="nil"/>
          <w:between w:val="nil"/>
          <w:bar w:val="nil"/>
        </w:pBdr>
        <w:rPr>
          <w:rFonts w:eastAsia="Calibri"/>
          <w:noProof/>
          <w:szCs w:val="24"/>
        </w:rPr>
      </w:pPr>
      <w:r w:rsidRPr="009A4A22">
        <w:rPr>
          <w:noProof/>
        </w:rPr>
        <w:t>Wymogi</w:t>
      </w:r>
      <w:r w:rsidR="00BE6F6D" w:rsidRPr="009A4A22">
        <w:rPr>
          <w:noProof/>
        </w:rPr>
        <w:t xml:space="preserve"> w</w:t>
      </w:r>
      <w:r w:rsidR="00BE6F6D">
        <w:rPr>
          <w:noProof/>
        </w:rPr>
        <w:t> </w:t>
      </w:r>
      <w:r w:rsidR="00BE6F6D" w:rsidRPr="009A4A22">
        <w:rPr>
          <w:noProof/>
        </w:rPr>
        <w:t>zak</w:t>
      </w:r>
      <w:r w:rsidRPr="009A4A22">
        <w:rPr>
          <w:noProof/>
        </w:rPr>
        <w:t>resie sprawozdawczości, które należy uprościć, wynikają</w:t>
      </w:r>
      <w:r w:rsidR="00BE6F6D" w:rsidRPr="009A4A22">
        <w:rPr>
          <w:noProof/>
        </w:rPr>
        <w:t xml:space="preserve"> z</w:t>
      </w:r>
      <w:r w:rsidR="00BE6F6D">
        <w:rPr>
          <w:noProof/>
        </w:rPr>
        <w:t> </w:t>
      </w:r>
      <w:r w:rsidR="00BE6F6D" w:rsidRPr="009A4A22">
        <w:rPr>
          <w:noProof/>
        </w:rPr>
        <w:t>pra</w:t>
      </w:r>
      <w:r w:rsidRPr="009A4A22">
        <w:rPr>
          <w:noProof/>
        </w:rPr>
        <w:t>wa UE. Racjonalizacja jest zatem bardziej właściwa na szczeblu UE, aby zapewnić pewność prawa</w:t>
      </w:r>
      <w:r w:rsidR="00BE6F6D" w:rsidRPr="009A4A22">
        <w:rPr>
          <w:noProof/>
        </w:rPr>
        <w:t xml:space="preserve"> i</w:t>
      </w:r>
      <w:r w:rsidR="00BE6F6D">
        <w:rPr>
          <w:noProof/>
        </w:rPr>
        <w:t> </w:t>
      </w:r>
      <w:r w:rsidR="00BE6F6D" w:rsidRPr="009A4A22">
        <w:rPr>
          <w:noProof/>
        </w:rPr>
        <w:t>spó</w:t>
      </w:r>
      <w:r w:rsidRPr="009A4A22">
        <w:rPr>
          <w:noProof/>
        </w:rPr>
        <w:t>jność sprawozdawczości do celów porównywalności danych podczas oceny wdrażania</w:t>
      </w:r>
      <w:r w:rsidR="00BE6F6D" w:rsidRPr="009A4A22">
        <w:rPr>
          <w:noProof/>
        </w:rPr>
        <w:t xml:space="preserve"> i</w:t>
      </w:r>
      <w:r w:rsidR="00BE6F6D">
        <w:rPr>
          <w:noProof/>
        </w:rPr>
        <w:t> </w:t>
      </w:r>
      <w:r w:rsidR="00BE6F6D" w:rsidRPr="009A4A22">
        <w:rPr>
          <w:noProof/>
        </w:rPr>
        <w:t>pos</w:t>
      </w:r>
      <w:r w:rsidRPr="009A4A22">
        <w:rPr>
          <w:noProof/>
        </w:rPr>
        <w:t>tępów</w:t>
      </w:r>
      <w:r w:rsidR="00BE6F6D" w:rsidRPr="009A4A22">
        <w:rPr>
          <w:noProof/>
        </w:rPr>
        <w:t xml:space="preserve"> w</w:t>
      </w:r>
      <w:r w:rsidR="00BE6F6D">
        <w:rPr>
          <w:noProof/>
        </w:rPr>
        <w:t> </w:t>
      </w:r>
      <w:r w:rsidR="00BE6F6D" w:rsidRPr="009A4A22">
        <w:rPr>
          <w:noProof/>
        </w:rPr>
        <w:t>zak</w:t>
      </w:r>
      <w:r w:rsidRPr="009A4A22">
        <w:rPr>
          <w:noProof/>
        </w:rPr>
        <w:t>resie ADR we wszystkich państwach członkowskich.</w:t>
      </w:r>
    </w:p>
    <w:p w14:paraId="15F10C78" w14:textId="77777777" w:rsidR="00041A99" w:rsidRPr="009A4A22" w:rsidRDefault="00041A99" w:rsidP="00D36A0B">
      <w:pPr>
        <w:pBdr>
          <w:top w:val="nil"/>
          <w:left w:val="nil"/>
          <w:bottom w:val="nil"/>
          <w:right w:val="nil"/>
          <w:between w:val="nil"/>
          <w:bar w:val="nil"/>
        </w:pBdr>
        <w:rPr>
          <w:noProof/>
          <w:color w:val="000000"/>
          <w:bdr w:val="none" w:sz="0" w:space="0" w:color="auto" w:frame="1"/>
          <w:shd w:val="clear" w:color="auto" w:fill="FFFFFF"/>
        </w:rPr>
      </w:pPr>
    </w:p>
    <w:p w14:paraId="5B781662" w14:textId="77777777" w:rsidR="00B1743F" w:rsidRPr="009A4A22" w:rsidRDefault="00B1743F" w:rsidP="00A4693B">
      <w:pPr>
        <w:pStyle w:val="ManualHeading2"/>
        <w:rPr>
          <w:rFonts w:eastAsia="Arial Unicode MS"/>
          <w:noProof/>
          <w:u w:color="000000"/>
          <w:bdr w:val="nil"/>
        </w:rPr>
      </w:pPr>
      <w:r w:rsidRPr="009A4A22">
        <w:rPr>
          <w:noProof/>
          <w:u w:color="000000"/>
          <w:bdr w:val="nil"/>
        </w:rPr>
        <w:t>Proporcjonalność</w:t>
      </w:r>
    </w:p>
    <w:p w14:paraId="28FF8FAF" w14:textId="7C2DEB46" w:rsidR="002870AC" w:rsidRPr="009A4A22" w:rsidRDefault="00D36A0B"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9A4A22">
        <w:rPr>
          <w:noProof/>
          <w:color w:val="000000"/>
          <w:bdr w:val="none" w:sz="0" w:space="0" w:color="auto" w:frame="1"/>
        </w:rPr>
        <w:t>W ramach oceny skutków przeprowadzono analizę proporcjonalności</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cel</w:t>
      </w:r>
      <w:r w:rsidRPr="009A4A22">
        <w:rPr>
          <w:noProof/>
          <w:color w:val="000000"/>
          <w:bdr w:val="none" w:sz="0" w:space="0" w:color="auto" w:frame="1"/>
        </w:rPr>
        <w:t>u zapewnienia, aby proponowane warianty strategiczne były proporcjonalne pod względem kosztów</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zas</w:t>
      </w:r>
      <w:r w:rsidRPr="009A4A22">
        <w:rPr>
          <w:noProof/>
          <w:color w:val="000000"/>
          <w:bdr w:val="none" w:sz="0" w:space="0" w:color="auto" w:frame="1"/>
        </w:rPr>
        <w:t>obów. We wniosku przyjęto ambitne</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prz</w:t>
      </w:r>
      <w:r w:rsidRPr="009A4A22">
        <w:rPr>
          <w:noProof/>
          <w:color w:val="000000"/>
          <w:bdr w:val="none" w:sz="0" w:space="0" w:color="auto" w:frame="1"/>
        </w:rPr>
        <w:t>yszłościowe podejście, które przyniesie więcej korzyści konsumentom</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ogó</w:t>
      </w:r>
      <w:r w:rsidRPr="009A4A22">
        <w:rPr>
          <w:noProof/>
          <w:color w:val="000000"/>
          <w:bdr w:val="none" w:sz="0" w:space="0" w:color="auto" w:frame="1"/>
        </w:rPr>
        <w:t>łowi społeczeństwa dzięki rozszerzeniu</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dop</w:t>
      </w:r>
      <w:r w:rsidRPr="009A4A22">
        <w:rPr>
          <w:noProof/>
          <w:color w:val="000000"/>
          <w:bdr w:val="none" w:sz="0" w:space="0" w:color="auto" w:frame="1"/>
        </w:rPr>
        <w:t>recyzowaniu zakresu przepisów. Pozwoli to rozwiązać więcej sporów na drodze pozasądowej, co zwiększy zaufanie konsumentów do rynków</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pop</w:t>
      </w:r>
      <w:r w:rsidRPr="009A4A22">
        <w:rPr>
          <w:noProof/>
          <w:color w:val="000000"/>
          <w:bdr w:val="none" w:sz="0" w:space="0" w:color="auto" w:frame="1"/>
        </w:rPr>
        <w:t>rawi efektywność rynków. Prostsze mechanizmy rozstrzygania sporów ułatwią również przedsiębiorstwom kwestie posprzedażowe dotyczące konsumentów</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zmn</w:t>
      </w:r>
      <w:r w:rsidRPr="009A4A22">
        <w:rPr>
          <w:noProof/>
          <w:color w:val="000000"/>
          <w:bdr w:val="none" w:sz="0" w:space="0" w:color="auto" w:frame="1"/>
        </w:rPr>
        <w:t>iejszą obciążenia przedsiębiorstw związane</w:t>
      </w:r>
      <w:r w:rsidR="00BE6F6D" w:rsidRPr="009A4A22">
        <w:rPr>
          <w:noProof/>
          <w:color w:val="000000"/>
          <w:bdr w:val="none" w:sz="0" w:space="0" w:color="auto" w:frame="1"/>
        </w:rPr>
        <w:t xml:space="preserve"> z</w:t>
      </w:r>
      <w:r w:rsidR="00BE6F6D">
        <w:rPr>
          <w:noProof/>
          <w:color w:val="000000"/>
          <w:bdr w:val="none" w:sz="0" w:space="0" w:color="auto" w:frame="1"/>
        </w:rPr>
        <w:t> </w:t>
      </w:r>
      <w:r w:rsidR="00BE6F6D" w:rsidRPr="009A4A22">
        <w:rPr>
          <w:noProof/>
          <w:color w:val="000000"/>
          <w:bdr w:val="none" w:sz="0" w:space="0" w:color="auto" w:frame="1"/>
        </w:rPr>
        <w:t>prz</w:t>
      </w:r>
      <w:r w:rsidRPr="009A4A22">
        <w:rPr>
          <w:noProof/>
          <w:color w:val="000000"/>
          <w:bdr w:val="none" w:sz="0" w:space="0" w:color="auto" w:frame="1"/>
        </w:rPr>
        <w:t>ejrzystością. Wprowadzenie obowiązku, aby przedsiębiorcy udzielali odpowiedzi na zapytania podmiotów ADR, umożliwi przyspieszenie procedur, ponieważ szybko będzie wiadomo, czy przedsiębiorca zgodzi się wziąć udział</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pos</w:t>
      </w:r>
      <w:r w:rsidRPr="009A4A22">
        <w:rPr>
          <w:noProof/>
          <w:color w:val="000000"/>
          <w:bdr w:val="none" w:sz="0" w:space="0" w:color="auto" w:frame="1"/>
        </w:rPr>
        <w:t xml:space="preserve">tępowaniu. Wniosek nie wykracza poza to, co jest ściśle niezbędne do osiągnięcia jego celów. </w:t>
      </w:r>
    </w:p>
    <w:p w14:paraId="6F37FD7F" w14:textId="77777777" w:rsidR="002870AC" w:rsidRPr="009A4A22" w:rsidRDefault="00D36A0B"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9A4A22">
        <w:rPr>
          <w:noProof/>
          <w:color w:val="000000"/>
          <w:bdr w:val="none" w:sz="0" w:space="0" w:color="auto" w:frame="1"/>
        </w:rPr>
        <w:t xml:space="preserve">Utrzymano podejście oparte na minimalnej harmonizacji, zapewniające państwom członkowskim pewien stopień elastyczności, między innymi przy podejmowaniu decyzji, czy udział przedsiębiorcy w ADR jest obowiązkowy, dobrowolny, czy też zależy to od sektora rynku. </w:t>
      </w:r>
    </w:p>
    <w:p w14:paraId="5204D192" w14:textId="62DF1AB2" w:rsidR="002870AC" w:rsidRPr="009A4A22" w:rsidRDefault="000000BA"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9A4A22">
        <w:rPr>
          <w:noProof/>
          <w:color w:val="000000"/>
          <w:bdr w:val="none" w:sz="0" w:space="0" w:color="auto" w:frame="1"/>
        </w:rPr>
        <w:t>Pomimo tego, że wielu konsumentów korzysta</w:t>
      </w:r>
      <w:r w:rsidR="00BE6F6D" w:rsidRPr="009A4A22">
        <w:rPr>
          <w:noProof/>
          <w:color w:val="000000"/>
          <w:bdr w:val="none" w:sz="0" w:space="0" w:color="auto" w:frame="1"/>
        </w:rPr>
        <w:t xml:space="preserve"> z</w:t>
      </w:r>
      <w:r w:rsidR="00BE6F6D">
        <w:rPr>
          <w:noProof/>
          <w:color w:val="000000"/>
          <w:bdr w:val="none" w:sz="0" w:space="0" w:color="auto" w:frame="1"/>
        </w:rPr>
        <w:t> </w:t>
      </w:r>
      <w:r w:rsidR="00BE6F6D" w:rsidRPr="009A4A22">
        <w:rPr>
          <w:noProof/>
          <w:color w:val="000000"/>
          <w:bdr w:val="none" w:sz="0" w:space="0" w:color="auto" w:frame="1"/>
        </w:rPr>
        <w:t>sys</w:t>
      </w:r>
      <w:r w:rsidRPr="009A4A22">
        <w:rPr>
          <w:noProof/>
          <w:color w:val="000000"/>
          <w:bdr w:val="none" w:sz="0" w:space="0" w:color="auto" w:frame="1"/>
        </w:rPr>
        <w:t>temów rozstrzygania sporów oferowanych przez internetowe platformy handlowe</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ram</w:t>
      </w:r>
      <w:r w:rsidRPr="009A4A22">
        <w:rPr>
          <w:noProof/>
          <w:color w:val="000000"/>
          <w:bdr w:val="none" w:sz="0" w:space="0" w:color="auto" w:frame="1"/>
        </w:rPr>
        <w:t>ach ich usług pośrednich, Komisja nie proponuje uregulowania takich usług. Przyjęła natomiast zalecenie skierowane do internetowych platform handlowych</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uni</w:t>
      </w:r>
      <w:r w:rsidRPr="009A4A22">
        <w:rPr>
          <w:noProof/>
          <w:color w:val="000000"/>
          <w:bdr w:val="none" w:sz="0" w:space="0" w:color="auto" w:frame="1"/>
        </w:rPr>
        <w:t>jnych stowarzyszeń handlowych,</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któ</w:t>
      </w:r>
      <w:r w:rsidRPr="009A4A22">
        <w:rPr>
          <w:noProof/>
          <w:color w:val="000000"/>
          <w:bdr w:val="none" w:sz="0" w:space="0" w:color="auto" w:frame="1"/>
        </w:rPr>
        <w:t>rym zaznaczyła, że ich systemy rozstrzygania sporów są ważnymi narzędziami alternatywnego rozstrzygania sporów, które pozwalają rozstrzygać wiele sporów konsumenckich</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zna</w:t>
      </w:r>
      <w:r w:rsidRPr="009A4A22">
        <w:rPr>
          <w:noProof/>
          <w:color w:val="000000"/>
          <w:bdr w:val="none" w:sz="0" w:space="0" w:color="auto" w:frame="1"/>
        </w:rPr>
        <w:t>cznie poprawiają dostęp do rozstrzygania sporów transgranicznych. Jeżeli systemy te są tworzone wewnętrznie, powinny one być zgodne</w:t>
      </w:r>
      <w:r w:rsidR="00BE6F6D" w:rsidRPr="009A4A22">
        <w:rPr>
          <w:noProof/>
          <w:color w:val="000000"/>
          <w:bdr w:val="none" w:sz="0" w:space="0" w:color="auto" w:frame="1"/>
        </w:rPr>
        <w:t xml:space="preserve"> z</w:t>
      </w:r>
      <w:r w:rsidR="00BE6F6D">
        <w:rPr>
          <w:noProof/>
          <w:color w:val="000000"/>
          <w:bdr w:val="none" w:sz="0" w:space="0" w:color="auto" w:frame="1"/>
        </w:rPr>
        <w:t> </w:t>
      </w:r>
      <w:r w:rsidR="00BE6F6D" w:rsidRPr="009A4A22">
        <w:rPr>
          <w:noProof/>
          <w:color w:val="000000"/>
          <w:bdr w:val="none" w:sz="0" w:space="0" w:color="auto" w:frame="1"/>
        </w:rPr>
        <w:t>kry</w:t>
      </w:r>
      <w:r w:rsidRPr="009A4A22">
        <w:rPr>
          <w:noProof/>
          <w:color w:val="000000"/>
          <w:bdr w:val="none" w:sz="0" w:space="0" w:color="auto" w:frame="1"/>
        </w:rPr>
        <w:t>teriami jakości określonymi</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dyr</w:t>
      </w:r>
      <w:r w:rsidRPr="009A4A22">
        <w:rPr>
          <w:noProof/>
          <w:color w:val="000000"/>
          <w:bdr w:val="none" w:sz="0" w:space="0" w:color="auto" w:frame="1"/>
        </w:rPr>
        <w:t>ektywie ADR, aby zagwarantować niezależność</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spr</w:t>
      </w:r>
      <w:r w:rsidRPr="009A4A22">
        <w:rPr>
          <w:noProof/>
          <w:color w:val="000000"/>
          <w:bdr w:val="none" w:sz="0" w:space="0" w:color="auto" w:frame="1"/>
        </w:rPr>
        <w:t>awiedliwość zarówno konsumentom, jak</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prz</w:t>
      </w:r>
      <w:r w:rsidRPr="009A4A22">
        <w:rPr>
          <w:noProof/>
          <w:color w:val="000000"/>
          <w:bdr w:val="none" w:sz="0" w:space="0" w:color="auto" w:frame="1"/>
        </w:rPr>
        <w:t>edsiębiorcom będącym stronami sporu. Ponadto proponuje się uchylenie rozporządzenia ODR, ponieważ nie przynosi ono konsumentom dokonującym zakupów przez internet znacznych korzyści</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zak</w:t>
      </w:r>
      <w:r w:rsidRPr="009A4A22">
        <w:rPr>
          <w:noProof/>
          <w:color w:val="000000"/>
          <w:bdr w:val="none" w:sz="0" w:space="0" w:color="auto" w:frame="1"/>
        </w:rPr>
        <w:t>resie dostępu do wysokiej jakości alternatywnych metod rozstrzygania sporów. Uchylenie tego rozporządzenia znacznie zmniejszy obciążenie dla przedsiębiorstw, ponieważ zniesiony zostanie obowiązek udostępniania linku do platformy ODR przez wszystkich przedsiębiorców internetowych mających siedzibę w UE</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pos</w:t>
      </w:r>
      <w:r w:rsidRPr="009A4A22">
        <w:rPr>
          <w:noProof/>
          <w:color w:val="000000"/>
          <w:bdr w:val="none" w:sz="0" w:space="0" w:color="auto" w:frame="1"/>
        </w:rPr>
        <w:t xml:space="preserve">iadania specjalnego adresu e-mail. </w:t>
      </w:r>
    </w:p>
    <w:p w14:paraId="1DE89F30" w14:textId="77777777" w:rsidR="002870AC" w:rsidRPr="009A4A22" w:rsidRDefault="00823A57" w:rsidP="002870AC">
      <w:pPr>
        <w:pBdr>
          <w:top w:val="nil"/>
          <w:left w:val="nil"/>
          <w:bottom w:val="nil"/>
          <w:right w:val="nil"/>
          <w:between w:val="nil"/>
          <w:bar w:val="nil"/>
        </w:pBdr>
        <w:spacing w:before="0" w:after="240"/>
        <w:rPr>
          <w:rFonts w:eastAsia="Calibri"/>
          <w:noProof/>
        </w:rPr>
      </w:pPr>
      <w:r w:rsidRPr="009A4A22">
        <w:rPr>
          <w:noProof/>
        </w:rPr>
        <w:t>Racjonalizacja wymogów sprawozdawczych wobec podmiotów ADR zmniejsza obciążenie administracyjne przez wprowadzenie do istniejących wymogów pewnych zmian, które nie mają wpływu na istotę szerzej rozumianego celu polityki. Wniosek ogranicza się do tych zmian, które są niezbędne do zapewnienia efektywnej sprawozdawczości bez zmiany istotnych elementów odnośnego prawodawstwa.</w:t>
      </w:r>
    </w:p>
    <w:p w14:paraId="002FC36B" w14:textId="77777777" w:rsidR="00041A99" w:rsidRPr="009A4A22" w:rsidRDefault="00041A99" w:rsidP="002870AC">
      <w:pPr>
        <w:pBdr>
          <w:top w:val="nil"/>
          <w:left w:val="nil"/>
          <w:bottom w:val="nil"/>
          <w:right w:val="nil"/>
          <w:between w:val="nil"/>
          <w:bar w:val="nil"/>
        </w:pBdr>
        <w:spacing w:before="0" w:after="240"/>
        <w:rPr>
          <w:noProof/>
          <w:color w:val="000000"/>
          <w:bdr w:val="none" w:sz="0" w:space="0" w:color="auto" w:frame="1"/>
          <w:shd w:val="clear" w:color="auto" w:fill="FFFFFF"/>
        </w:rPr>
      </w:pPr>
    </w:p>
    <w:p w14:paraId="43687E38" w14:textId="77777777" w:rsidR="00B1743F" w:rsidRPr="009A4A22" w:rsidRDefault="00B1743F" w:rsidP="00A4693B">
      <w:pPr>
        <w:pStyle w:val="ManualHeading2"/>
        <w:rPr>
          <w:rFonts w:eastAsia="Arial Unicode MS"/>
          <w:noProof/>
          <w:u w:color="000000"/>
          <w:bdr w:val="nil"/>
        </w:rPr>
      </w:pPr>
      <w:r w:rsidRPr="009A4A22">
        <w:rPr>
          <w:noProof/>
          <w:u w:color="000000"/>
          <w:bdr w:val="nil"/>
        </w:rPr>
        <w:t>Wybór instrumentu</w:t>
      </w:r>
    </w:p>
    <w:p w14:paraId="1ABEF37A" w14:textId="7873483B" w:rsidR="004832C0" w:rsidRPr="009A4A22" w:rsidRDefault="00D36A0B" w:rsidP="00D36A0B">
      <w:pPr>
        <w:shd w:val="clear" w:color="auto" w:fill="FFFFFF"/>
        <w:spacing w:before="0" w:after="0"/>
        <w:textAlignment w:val="baseline"/>
        <w:rPr>
          <w:rFonts w:eastAsia="Times New Roman"/>
          <w:noProof/>
          <w:color w:val="000000"/>
          <w:szCs w:val="24"/>
          <w:bdr w:val="none" w:sz="0" w:space="0" w:color="auto" w:frame="1"/>
        </w:rPr>
      </w:pPr>
      <w:r w:rsidRPr="009A4A22">
        <w:rPr>
          <w:noProof/>
          <w:color w:val="000000"/>
          <w:bdr w:val="none" w:sz="0" w:space="0" w:color="auto" w:frame="1"/>
        </w:rPr>
        <w:t>Wybranym instrumentem jest dyrektywa zmieniająca dyrektywę 2013/11/UE. Dyrektywa to instrument wiążący</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odn</w:t>
      </w:r>
      <w:r w:rsidRPr="009A4A22">
        <w:rPr>
          <w:noProof/>
          <w:color w:val="000000"/>
          <w:bdr w:val="none" w:sz="0" w:space="0" w:color="auto" w:frame="1"/>
        </w:rPr>
        <w:t>iesieniu do rezultatu, jakim jest zapewnienie funkcjonowania rynku wewnętrznego, jednakże pozostawiający organom krajowym wybór formy</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met</w:t>
      </w:r>
      <w:r w:rsidRPr="009A4A22">
        <w:rPr>
          <w:noProof/>
          <w:color w:val="000000"/>
          <w:bdr w:val="none" w:sz="0" w:space="0" w:color="auto" w:frame="1"/>
        </w:rPr>
        <w:t>od. Umożliwi ona państwom członkowskim zmianę obowiązującego prawodawstwa (w wyniku transpozycji dyrektywy 2013/11/UE)</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zak</w:t>
      </w:r>
      <w:r w:rsidRPr="009A4A22">
        <w:rPr>
          <w:noProof/>
          <w:color w:val="000000"/>
          <w:bdr w:val="none" w:sz="0" w:space="0" w:color="auto" w:frame="1"/>
        </w:rPr>
        <w:t>resie niezbędnym do zapewnienia zgodności,</w:t>
      </w:r>
      <w:r w:rsidR="00BE6F6D" w:rsidRPr="009A4A22">
        <w:rPr>
          <w:noProof/>
          <w:color w:val="000000"/>
          <w:bdr w:val="none" w:sz="0" w:space="0" w:color="auto" w:frame="1"/>
        </w:rPr>
        <w:t xml:space="preserve"> a</w:t>
      </w:r>
      <w:r w:rsidR="00BE6F6D">
        <w:rPr>
          <w:noProof/>
          <w:color w:val="000000"/>
          <w:bdr w:val="none" w:sz="0" w:space="0" w:color="auto" w:frame="1"/>
        </w:rPr>
        <w:t> </w:t>
      </w:r>
      <w:r w:rsidR="00BE6F6D" w:rsidRPr="009A4A22">
        <w:rPr>
          <w:noProof/>
          <w:color w:val="000000"/>
          <w:bdr w:val="none" w:sz="0" w:space="0" w:color="auto" w:frame="1"/>
        </w:rPr>
        <w:t>tym</w:t>
      </w:r>
      <w:r w:rsidRPr="009A4A22">
        <w:rPr>
          <w:noProof/>
          <w:color w:val="000000"/>
          <w:bdr w:val="none" w:sz="0" w:space="0" w:color="auto" w:frame="1"/>
        </w:rPr>
        <w:t xml:space="preserve"> samym zminimalizuje wpływ reformy na ich systemy prawne. </w:t>
      </w:r>
    </w:p>
    <w:p w14:paraId="2A8F5BF9" w14:textId="77777777" w:rsidR="00C002FF" w:rsidRPr="009A4A22" w:rsidRDefault="00C002FF" w:rsidP="00D36A0B">
      <w:pPr>
        <w:shd w:val="clear" w:color="auto" w:fill="FFFFFF"/>
        <w:spacing w:before="0" w:after="0"/>
        <w:textAlignment w:val="baseline"/>
        <w:rPr>
          <w:rFonts w:eastAsia="Times New Roman"/>
          <w:noProof/>
          <w:color w:val="000000"/>
          <w:szCs w:val="24"/>
          <w:bdr w:val="none" w:sz="0" w:space="0" w:color="auto" w:frame="1"/>
          <w:lang w:eastAsia="en-GB"/>
        </w:rPr>
      </w:pPr>
    </w:p>
    <w:p w14:paraId="58C83254" w14:textId="18AA4597" w:rsidR="00D36A0B" w:rsidRPr="009A4A22" w:rsidRDefault="004832C0" w:rsidP="00094E39">
      <w:pPr>
        <w:shd w:val="clear" w:color="auto" w:fill="FFFFFF"/>
        <w:spacing w:before="0" w:after="0"/>
        <w:textAlignment w:val="baseline"/>
        <w:rPr>
          <w:rFonts w:eastAsia="Times New Roman"/>
          <w:noProof/>
          <w:color w:val="000000"/>
          <w:szCs w:val="24"/>
          <w:bdr w:val="none" w:sz="0" w:space="0" w:color="auto" w:frame="1"/>
        </w:rPr>
      </w:pPr>
      <w:r w:rsidRPr="009A4A22">
        <w:rPr>
          <w:noProof/>
          <w:color w:val="000000"/>
          <w:bdr w:val="none" w:sz="0" w:space="0" w:color="auto" w:frame="1"/>
        </w:rPr>
        <w:t>Równolegle</w:t>
      </w:r>
      <w:r w:rsidR="00BE6F6D" w:rsidRPr="009A4A22">
        <w:rPr>
          <w:noProof/>
          <w:color w:val="000000"/>
          <w:bdr w:val="none" w:sz="0" w:space="0" w:color="auto" w:frame="1"/>
        </w:rPr>
        <w:t xml:space="preserve"> z</w:t>
      </w:r>
      <w:r w:rsidR="00BE6F6D">
        <w:rPr>
          <w:noProof/>
          <w:color w:val="000000"/>
          <w:bdr w:val="none" w:sz="0" w:space="0" w:color="auto" w:frame="1"/>
        </w:rPr>
        <w:t> </w:t>
      </w:r>
      <w:r w:rsidR="00BE6F6D" w:rsidRPr="009A4A22">
        <w:rPr>
          <w:noProof/>
          <w:color w:val="000000"/>
          <w:bdr w:val="none" w:sz="0" w:space="0" w:color="auto" w:frame="1"/>
        </w:rPr>
        <w:t>nin</w:t>
      </w:r>
      <w:r w:rsidRPr="009A4A22">
        <w:rPr>
          <w:noProof/>
          <w:color w:val="000000"/>
          <w:bdr w:val="none" w:sz="0" w:space="0" w:color="auto" w:frame="1"/>
        </w:rPr>
        <w:t xml:space="preserve">iejszymi zmianami proponuje się uchylenie rozporządzenia (UE) </w:t>
      </w:r>
      <w:r w:rsidRPr="00BE6F6D">
        <w:rPr>
          <w:noProof/>
          <w:color w:val="000000"/>
          <w:bdr w:val="none" w:sz="0" w:space="0" w:color="auto" w:frame="1"/>
        </w:rPr>
        <w:t>nr</w:t>
      </w:r>
      <w:r w:rsidR="00BE6F6D" w:rsidRPr="00BE6F6D">
        <w:rPr>
          <w:noProof/>
          <w:color w:val="000000"/>
          <w:bdr w:val="none" w:sz="0" w:space="0" w:color="auto" w:frame="1"/>
        </w:rPr>
        <w:t> </w:t>
      </w:r>
      <w:r w:rsidRPr="00BE6F6D">
        <w:rPr>
          <w:noProof/>
          <w:color w:val="000000"/>
          <w:bdr w:val="none" w:sz="0" w:space="0" w:color="auto" w:frame="1"/>
        </w:rPr>
        <w:t>5</w:t>
      </w:r>
      <w:r w:rsidRPr="009A4A22">
        <w:rPr>
          <w:noProof/>
          <w:color w:val="000000"/>
          <w:bdr w:val="none" w:sz="0" w:space="0" w:color="auto" w:frame="1"/>
        </w:rPr>
        <w:t>24/2013</w:t>
      </w:r>
      <w:r w:rsidR="004607D9" w:rsidRPr="009A4A22">
        <w:rPr>
          <w:rStyle w:val="FootnoteReference"/>
          <w:rFonts w:eastAsia="Times New Roman"/>
          <w:noProof/>
          <w:color w:val="000000"/>
          <w:szCs w:val="24"/>
          <w:bdr w:val="none" w:sz="0" w:space="0" w:color="auto" w:frame="1"/>
          <w:lang w:eastAsia="en-GB"/>
        </w:rPr>
        <w:footnoteReference w:id="6"/>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spr</w:t>
      </w:r>
      <w:r w:rsidRPr="009A4A22">
        <w:rPr>
          <w:noProof/>
          <w:color w:val="000000"/>
          <w:bdr w:val="none" w:sz="0" w:space="0" w:color="auto" w:frame="1"/>
        </w:rPr>
        <w:t>awie internetowego systemu rozstrzygania sporów konsumenckich oraz zaprzestanie korzystania</w:t>
      </w:r>
      <w:r w:rsidR="00BE6F6D" w:rsidRPr="009A4A22">
        <w:rPr>
          <w:noProof/>
          <w:color w:val="000000"/>
          <w:bdr w:val="none" w:sz="0" w:space="0" w:color="auto" w:frame="1"/>
        </w:rPr>
        <w:t xml:space="preserve"> z</w:t>
      </w:r>
      <w:r w:rsidR="00BE6F6D">
        <w:rPr>
          <w:noProof/>
          <w:color w:val="000000"/>
          <w:bdr w:val="none" w:sz="0" w:space="0" w:color="auto" w:frame="1"/>
        </w:rPr>
        <w:t> </w:t>
      </w:r>
      <w:r w:rsidR="00BE6F6D" w:rsidRPr="009A4A22">
        <w:rPr>
          <w:noProof/>
          <w:color w:val="000000"/>
          <w:bdr w:val="none" w:sz="0" w:space="0" w:color="auto" w:frame="1"/>
        </w:rPr>
        <w:t>prz</w:t>
      </w:r>
      <w:r w:rsidRPr="009A4A22">
        <w:rPr>
          <w:noProof/>
          <w:color w:val="000000"/>
          <w:bdr w:val="none" w:sz="0" w:space="0" w:color="auto" w:frame="1"/>
        </w:rPr>
        <w:t>ewidzianej</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tym</w:t>
      </w:r>
      <w:r w:rsidRPr="009A4A22">
        <w:rPr>
          <w:noProof/>
          <w:color w:val="000000"/>
          <w:bdr w:val="none" w:sz="0" w:space="0" w:color="auto" w:frame="1"/>
        </w:rPr>
        <w:t xml:space="preserve"> rozporządzeniu platformy ODR ze względu na nieskuteczność tego systemu</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nie</w:t>
      </w:r>
      <w:r w:rsidRPr="009A4A22">
        <w:rPr>
          <w:noProof/>
          <w:color w:val="000000"/>
          <w:bdr w:val="none" w:sz="0" w:space="0" w:color="auto" w:frame="1"/>
        </w:rPr>
        <w:t>proporcjonalne koszty dla przedsiębiorstw z UE. Konieczna jest zatem zmiana dyrektyw UE zawierających odniesienia do rozporządzenia ODR.</w:t>
      </w:r>
    </w:p>
    <w:p w14:paraId="133F9650" w14:textId="77777777" w:rsidR="00B1743F" w:rsidRPr="009A4A22" w:rsidRDefault="00B1743F" w:rsidP="00550536">
      <w:pPr>
        <w:pStyle w:val="ManualHeading1"/>
        <w:rPr>
          <w:noProof/>
        </w:rPr>
      </w:pPr>
      <w:r w:rsidRPr="009A4A22">
        <w:rPr>
          <w:noProof/>
        </w:rPr>
        <w:t>3.</w:t>
      </w:r>
      <w:r w:rsidRPr="009A4A22">
        <w:rPr>
          <w:noProof/>
        </w:rPr>
        <w:tab/>
        <w:t>WYNIKI OCEN EX POST, KONSULTACJI Z ZAINTERESOWANYMI STRONAMI I OCEN SKUTKÓW</w:t>
      </w:r>
    </w:p>
    <w:p w14:paraId="09762DB8" w14:textId="77777777" w:rsidR="00041A99" w:rsidRPr="009A4A22" w:rsidRDefault="00041A99" w:rsidP="00041A99">
      <w:pPr>
        <w:rPr>
          <w:noProof/>
          <w:u w:color="000000"/>
          <w:bdr w:val="nil"/>
          <w:lang w:eastAsia="en-GB"/>
        </w:rPr>
      </w:pPr>
    </w:p>
    <w:p w14:paraId="15C4973B" w14:textId="77777777" w:rsidR="00B1743F" w:rsidRPr="009A4A22" w:rsidRDefault="00B1743F" w:rsidP="00A4693B">
      <w:pPr>
        <w:pStyle w:val="ManualHeading2"/>
        <w:rPr>
          <w:rFonts w:eastAsia="Arial Unicode MS"/>
          <w:noProof/>
          <w:u w:color="000000"/>
          <w:bdr w:val="nil"/>
        </w:rPr>
      </w:pPr>
      <w:r w:rsidRPr="009A4A22">
        <w:rPr>
          <w:noProof/>
          <w:u w:color="000000"/>
          <w:bdr w:val="nil"/>
        </w:rPr>
        <w:t>Oceny ex post/oceny adekwatności obowiązującego prawodawstwa</w:t>
      </w:r>
    </w:p>
    <w:p w14:paraId="31EA6C6E" w14:textId="5B341277" w:rsidR="00D36A0B" w:rsidRPr="009A4A22" w:rsidRDefault="00D36A0B" w:rsidP="00D36A0B">
      <w:pPr>
        <w:pBdr>
          <w:top w:val="nil"/>
          <w:left w:val="nil"/>
          <w:bottom w:val="nil"/>
          <w:right w:val="nil"/>
          <w:between w:val="nil"/>
          <w:bar w:val="nil"/>
        </w:pBdr>
        <w:spacing w:before="0" w:after="240"/>
        <w:rPr>
          <w:rFonts w:eastAsia="Times New Roman"/>
          <w:noProof/>
          <w:color w:val="000000"/>
          <w:szCs w:val="24"/>
          <w:bdr w:val="none" w:sz="0" w:space="0" w:color="auto" w:frame="1"/>
        </w:rPr>
      </w:pPr>
      <w:r w:rsidRPr="009A4A22">
        <w:rPr>
          <w:noProof/>
          <w:color w:val="000000"/>
          <w:bdr w:val="none" w:sz="0" w:space="0" w:color="auto" w:frame="1"/>
        </w:rPr>
        <w:t>W 20</w:t>
      </w:r>
      <w:r w:rsidRPr="00BE6F6D">
        <w:rPr>
          <w:noProof/>
          <w:color w:val="000000"/>
          <w:bdr w:val="none" w:sz="0" w:space="0" w:color="auto" w:frame="1"/>
        </w:rPr>
        <w:t>23</w:t>
      </w:r>
      <w:r w:rsidR="00BE6F6D" w:rsidRPr="00BE6F6D">
        <w:rPr>
          <w:noProof/>
          <w:color w:val="000000"/>
          <w:bdr w:val="none" w:sz="0" w:space="0" w:color="auto" w:frame="1"/>
        </w:rPr>
        <w:t> </w:t>
      </w:r>
      <w:r w:rsidRPr="00BE6F6D">
        <w:rPr>
          <w:noProof/>
          <w:color w:val="000000"/>
          <w:bdr w:val="none" w:sz="0" w:space="0" w:color="auto" w:frame="1"/>
        </w:rPr>
        <w:t>r.</w:t>
      </w:r>
      <w:r w:rsidRPr="009A4A22">
        <w:rPr>
          <w:noProof/>
          <w:color w:val="000000"/>
          <w:bdr w:val="none" w:sz="0" w:space="0" w:color="auto" w:frame="1"/>
        </w:rPr>
        <w:t xml:space="preserve"> Komisja przeprowadziła pełną ocenę</w:t>
      </w:r>
      <w:r w:rsidRPr="009A4A22">
        <w:rPr>
          <w:rStyle w:val="FootnoteReference"/>
          <w:rFonts w:eastAsia="Times New Roman"/>
          <w:noProof/>
          <w:color w:val="000000"/>
          <w:szCs w:val="24"/>
          <w:bdr w:val="none" w:sz="0" w:space="0" w:color="auto" w:frame="1"/>
          <w:lang w:eastAsia="en-GB"/>
        </w:rPr>
        <w:footnoteReference w:id="7"/>
      </w:r>
      <w:r w:rsidRPr="009A4A22">
        <w:rPr>
          <w:noProof/>
          <w:color w:val="000000"/>
          <w:bdr w:val="none" w:sz="0" w:space="0" w:color="auto" w:frame="1"/>
        </w:rPr>
        <w:t xml:space="preserve"> zgodnie</w:t>
      </w:r>
      <w:r w:rsidR="00BE6F6D" w:rsidRPr="009A4A22">
        <w:rPr>
          <w:noProof/>
          <w:color w:val="000000"/>
          <w:bdr w:val="none" w:sz="0" w:space="0" w:color="auto" w:frame="1"/>
        </w:rPr>
        <w:t xml:space="preserve"> z</w:t>
      </w:r>
      <w:r w:rsidR="00BE6F6D">
        <w:rPr>
          <w:noProof/>
          <w:color w:val="000000"/>
          <w:bdr w:val="none" w:sz="0" w:space="0" w:color="auto" w:frame="1"/>
        </w:rPr>
        <w:t> </w:t>
      </w:r>
      <w:r w:rsidR="00BE6F6D" w:rsidRPr="009A4A22">
        <w:rPr>
          <w:noProof/>
          <w:color w:val="000000"/>
          <w:bdr w:val="none" w:sz="0" w:space="0" w:color="auto" w:frame="1"/>
        </w:rPr>
        <w:t>5</w:t>
      </w:r>
      <w:r w:rsidRPr="009A4A22">
        <w:rPr>
          <w:noProof/>
          <w:color w:val="000000"/>
          <w:bdr w:val="none" w:sz="0" w:space="0" w:color="auto" w:frame="1"/>
        </w:rPr>
        <w:t xml:space="preserve"> kryteriami (skuteczność, efektywność, adekwatność, spójność, wartość dodana UE) określonymi</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zes</w:t>
      </w:r>
      <w:r w:rsidRPr="009A4A22">
        <w:rPr>
          <w:noProof/>
          <w:color w:val="000000"/>
          <w:bdr w:val="none" w:sz="0" w:space="0" w:color="auto" w:frame="1"/>
        </w:rPr>
        <w:t>tawie narzędzi służących lepszemu stanowieniu prawa. Głównym jej celem była ocena,</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jak</w:t>
      </w:r>
      <w:r w:rsidRPr="009A4A22">
        <w:rPr>
          <w:noProof/>
          <w:color w:val="000000"/>
          <w:bdr w:val="none" w:sz="0" w:space="0" w:color="auto" w:frame="1"/>
        </w:rPr>
        <w:t>im stopniu dyrektywa ADR pomogła konsumentom</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roz</w:t>
      </w:r>
      <w:r w:rsidRPr="009A4A22">
        <w:rPr>
          <w:noProof/>
          <w:color w:val="000000"/>
          <w:bdr w:val="none" w:sz="0" w:space="0" w:color="auto" w:frame="1"/>
        </w:rPr>
        <w:t>strzyganiu sporów</w:t>
      </w:r>
      <w:r w:rsidR="00BE6F6D" w:rsidRPr="009A4A22">
        <w:rPr>
          <w:noProof/>
          <w:color w:val="000000"/>
          <w:bdr w:val="none" w:sz="0" w:space="0" w:color="auto" w:frame="1"/>
        </w:rPr>
        <w:t xml:space="preserve"> z</w:t>
      </w:r>
      <w:r w:rsidR="00BE6F6D">
        <w:rPr>
          <w:noProof/>
          <w:color w:val="000000"/>
          <w:bdr w:val="none" w:sz="0" w:space="0" w:color="auto" w:frame="1"/>
        </w:rPr>
        <w:t> </w:t>
      </w:r>
      <w:r w:rsidR="00BE6F6D" w:rsidRPr="009A4A22">
        <w:rPr>
          <w:noProof/>
          <w:color w:val="000000"/>
          <w:bdr w:val="none" w:sz="0" w:space="0" w:color="auto" w:frame="1"/>
        </w:rPr>
        <w:t>prz</w:t>
      </w:r>
      <w:r w:rsidRPr="009A4A22">
        <w:rPr>
          <w:noProof/>
          <w:color w:val="000000"/>
          <w:bdr w:val="none" w:sz="0" w:space="0" w:color="auto" w:frame="1"/>
        </w:rPr>
        <w:t>edsiębiorcami</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zad</w:t>
      </w:r>
      <w:r w:rsidRPr="009A4A22">
        <w:rPr>
          <w:noProof/>
          <w:color w:val="000000"/>
          <w:bdr w:val="none" w:sz="0" w:space="0" w:color="auto" w:frame="1"/>
        </w:rPr>
        <w:t>owalający sposób</w:t>
      </w:r>
      <w:r w:rsidR="00BE6F6D" w:rsidRPr="009A4A22">
        <w:rPr>
          <w:noProof/>
          <w:color w:val="000000"/>
          <w:bdr w:val="none" w:sz="0" w:space="0" w:color="auto" w:frame="1"/>
        </w:rPr>
        <w:t xml:space="preserve"> i</w:t>
      </w:r>
      <w:r w:rsidR="00BE6F6D">
        <w:rPr>
          <w:noProof/>
          <w:color w:val="000000"/>
          <w:bdr w:val="none" w:sz="0" w:space="0" w:color="auto" w:frame="1"/>
        </w:rPr>
        <w:t> </w:t>
      </w:r>
      <w:r w:rsidR="00BE6F6D" w:rsidRPr="009A4A22">
        <w:rPr>
          <w:noProof/>
          <w:color w:val="000000"/>
          <w:bdr w:val="none" w:sz="0" w:space="0" w:color="auto" w:frame="1"/>
        </w:rPr>
        <w:t>zgo</w:t>
      </w:r>
      <w:r w:rsidRPr="009A4A22">
        <w:rPr>
          <w:noProof/>
          <w:color w:val="000000"/>
          <w:bdr w:val="none" w:sz="0" w:space="0" w:color="auto" w:frame="1"/>
        </w:rPr>
        <w:t>dnie ze zharmonizowanymi wymogami dotyczącymi jakości określonymi</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roz</w:t>
      </w:r>
      <w:r w:rsidRPr="009A4A22">
        <w:rPr>
          <w:noProof/>
          <w:color w:val="000000"/>
          <w:bdr w:val="none" w:sz="0" w:space="0" w:color="auto" w:frame="1"/>
        </w:rPr>
        <w:t>dziale II dyrektywy ADR.</w:t>
      </w:r>
    </w:p>
    <w:p w14:paraId="094E8212" w14:textId="373D77B8"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Ogólnie rzecz biorąc, wszystkie państwa członkowskie prawidłowo wdrożyły dyrektywę ADR. Ze względu na podejście oparte na minimalnej harmonizacji, państwa członkowskie same decydują</w:t>
      </w:r>
      <w:r w:rsidR="00BE6F6D" w:rsidRPr="009A4A22">
        <w:rPr>
          <w:noProof/>
        </w:rPr>
        <w:t xml:space="preserve"> o</w:t>
      </w:r>
      <w:r w:rsidR="00BE6F6D">
        <w:rPr>
          <w:noProof/>
        </w:rPr>
        <w:t> </w:t>
      </w:r>
      <w:r w:rsidR="00BE6F6D" w:rsidRPr="009A4A22">
        <w:rPr>
          <w:noProof/>
        </w:rPr>
        <w:t>str</w:t>
      </w:r>
      <w:r w:rsidRPr="009A4A22">
        <w:rPr>
          <w:noProof/>
        </w:rPr>
        <w:t>ukturze krajowych ram ADR</w:t>
      </w:r>
      <w:r w:rsidR="00BE6F6D" w:rsidRPr="009A4A22">
        <w:rPr>
          <w:noProof/>
        </w:rPr>
        <w:t xml:space="preserve"> i</w:t>
      </w:r>
      <w:r w:rsidR="00BE6F6D">
        <w:rPr>
          <w:noProof/>
        </w:rPr>
        <w:t> </w:t>
      </w:r>
      <w:r w:rsidR="00BE6F6D" w:rsidRPr="009A4A22">
        <w:rPr>
          <w:noProof/>
        </w:rPr>
        <w:t>o</w:t>
      </w:r>
      <w:r w:rsidR="00BE6F6D">
        <w:rPr>
          <w:noProof/>
        </w:rPr>
        <w:t> </w:t>
      </w:r>
      <w:r w:rsidR="00BE6F6D" w:rsidRPr="009A4A22">
        <w:rPr>
          <w:noProof/>
        </w:rPr>
        <w:t>zar</w:t>
      </w:r>
      <w:r w:rsidRPr="009A4A22">
        <w:rPr>
          <w:noProof/>
        </w:rPr>
        <w:t>ządzaniu nimi. Jeśli chodzi</w:t>
      </w:r>
      <w:r w:rsidR="00BE6F6D" w:rsidRPr="009A4A22">
        <w:rPr>
          <w:noProof/>
        </w:rPr>
        <w:t xml:space="preserve"> o</w:t>
      </w:r>
      <w:r w:rsidR="00BE6F6D">
        <w:rPr>
          <w:noProof/>
        </w:rPr>
        <w:t> </w:t>
      </w:r>
      <w:r w:rsidR="00BE6F6D" w:rsidRPr="009A4A22">
        <w:rPr>
          <w:noProof/>
        </w:rPr>
        <w:t>udz</w:t>
      </w:r>
      <w:r w:rsidRPr="009A4A22">
        <w:rPr>
          <w:noProof/>
        </w:rPr>
        <w:t>iał przedsiębiorców, występują znaczne różnice między państwami członkowskimi,</w:t>
      </w:r>
      <w:r w:rsidR="00BE6F6D" w:rsidRPr="009A4A22">
        <w:rPr>
          <w:noProof/>
        </w:rPr>
        <w:t xml:space="preserve"> w</w:t>
      </w:r>
      <w:r w:rsidR="00BE6F6D">
        <w:rPr>
          <w:noProof/>
        </w:rPr>
        <w:t> </w:t>
      </w:r>
      <w:r w:rsidR="00BE6F6D" w:rsidRPr="009A4A22">
        <w:rPr>
          <w:noProof/>
        </w:rPr>
        <w:t>zal</w:t>
      </w:r>
      <w:r w:rsidRPr="009A4A22">
        <w:rPr>
          <w:noProof/>
        </w:rPr>
        <w:t>eżności m.in. od tego, czy jest on obowiązkowy czy dobrowolny, czy wynik postępowania jest wiążący, czy nie, lub</w:t>
      </w:r>
      <w:r w:rsidR="00BE6F6D" w:rsidRPr="009A4A22">
        <w:rPr>
          <w:noProof/>
        </w:rPr>
        <w:t xml:space="preserve"> w</w:t>
      </w:r>
      <w:r w:rsidR="00BE6F6D">
        <w:rPr>
          <w:noProof/>
        </w:rPr>
        <w:t> </w:t>
      </w:r>
      <w:r w:rsidR="00BE6F6D" w:rsidRPr="009A4A22">
        <w:rPr>
          <w:noProof/>
        </w:rPr>
        <w:t>zal</w:t>
      </w:r>
      <w:r w:rsidRPr="009A4A22">
        <w:rPr>
          <w:noProof/>
        </w:rPr>
        <w:t>eżności od tego, czy istnieją praktyki „wskazywania winnych</w:t>
      </w:r>
      <w:r w:rsidR="00BE6F6D" w:rsidRPr="009A4A22">
        <w:rPr>
          <w:noProof/>
        </w:rPr>
        <w:t xml:space="preserve"> i</w:t>
      </w:r>
      <w:r w:rsidR="00BE6F6D">
        <w:rPr>
          <w:noProof/>
        </w:rPr>
        <w:t> </w:t>
      </w:r>
      <w:r w:rsidR="00BE6F6D" w:rsidRPr="009A4A22">
        <w:rPr>
          <w:noProof/>
        </w:rPr>
        <w:t>pię</w:t>
      </w:r>
      <w:r w:rsidRPr="009A4A22">
        <w:rPr>
          <w:noProof/>
        </w:rPr>
        <w:t xml:space="preserve">tnowania ich”. </w:t>
      </w:r>
    </w:p>
    <w:p w14:paraId="23E0924E" w14:textId="5ED95FB7" w:rsidR="00D36A0B" w:rsidRPr="009A4A22" w:rsidRDefault="00D36A0B" w:rsidP="00D36A0B">
      <w:pPr>
        <w:spacing w:before="0" w:after="0"/>
        <w:rPr>
          <w:noProof/>
          <w:szCs w:val="24"/>
        </w:rPr>
      </w:pPr>
      <w:r w:rsidRPr="009A4A22">
        <w:rPr>
          <w:noProof/>
        </w:rPr>
        <w:t>Dostępność ADR zależy od wysokości opłat, dostępności pomocy, przyjaznych dla użytkownika procedur, świadomości itp. Istnieje wiele barier</w:t>
      </w:r>
      <w:r w:rsidR="00BE6F6D" w:rsidRPr="009A4A22">
        <w:rPr>
          <w:noProof/>
        </w:rPr>
        <w:t xml:space="preserve"> w</w:t>
      </w:r>
      <w:r w:rsidR="00BE6F6D">
        <w:rPr>
          <w:noProof/>
        </w:rPr>
        <w:t> </w:t>
      </w:r>
      <w:r w:rsidR="00BE6F6D" w:rsidRPr="009A4A22">
        <w:rPr>
          <w:noProof/>
        </w:rPr>
        <w:t>dos</w:t>
      </w:r>
      <w:r w:rsidRPr="009A4A22">
        <w:rPr>
          <w:noProof/>
        </w:rPr>
        <w:t>tępie do ADR, zwłaszcza</w:t>
      </w:r>
      <w:r w:rsidR="00BE6F6D" w:rsidRPr="009A4A22">
        <w:rPr>
          <w:noProof/>
        </w:rPr>
        <w:t xml:space="preserve"> w</w:t>
      </w:r>
      <w:r w:rsidR="00BE6F6D">
        <w:rPr>
          <w:noProof/>
        </w:rPr>
        <w:t> </w:t>
      </w:r>
      <w:r w:rsidR="00BE6F6D" w:rsidRPr="009A4A22">
        <w:rPr>
          <w:noProof/>
        </w:rPr>
        <w:t>spr</w:t>
      </w:r>
      <w:r w:rsidRPr="009A4A22">
        <w:rPr>
          <w:noProof/>
        </w:rPr>
        <w:t>awach transgranicznych (w zakresie prawa mającego zastosowanie, języka, kosztów, skomplikowanych procedur). Inwestycje podmiotów ADR</w:t>
      </w:r>
      <w:r w:rsidR="00BE6F6D" w:rsidRPr="009A4A22">
        <w:rPr>
          <w:noProof/>
        </w:rPr>
        <w:t xml:space="preserve"> w</w:t>
      </w:r>
      <w:r w:rsidR="00BE6F6D">
        <w:rPr>
          <w:noProof/>
        </w:rPr>
        <w:t> </w:t>
      </w:r>
      <w:r w:rsidR="00BE6F6D" w:rsidRPr="009A4A22">
        <w:rPr>
          <w:noProof/>
        </w:rPr>
        <w:t>cyf</w:t>
      </w:r>
      <w:r w:rsidRPr="009A4A22">
        <w:rPr>
          <w:noProof/>
        </w:rPr>
        <w:t>ryzację sprawiają, że</w:t>
      </w:r>
      <w:r w:rsidR="00BE6F6D" w:rsidRPr="009A4A22">
        <w:rPr>
          <w:noProof/>
        </w:rPr>
        <w:t xml:space="preserve"> w</w:t>
      </w:r>
      <w:r w:rsidR="00BE6F6D">
        <w:rPr>
          <w:noProof/>
        </w:rPr>
        <w:t> </w:t>
      </w:r>
      <w:r w:rsidR="00BE6F6D" w:rsidRPr="009A4A22">
        <w:rPr>
          <w:noProof/>
        </w:rPr>
        <w:t>per</w:t>
      </w:r>
      <w:r w:rsidRPr="009A4A22">
        <w:rPr>
          <w:noProof/>
        </w:rPr>
        <w:t>spektywie długoterminowej postępowania ADR stają się tańsze</w:t>
      </w:r>
      <w:r w:rsidR="00BE6F6D" w:rsidRPr="009A4A22">
        <w:rPr>
          <w:noProof/>
        </w:rPr>
        <w:t xml:space="preserve"> i</w:t>
      </w:r>
      <w:r w:rsidR="00BE6F6D">
        <w:rPr>
          <w:noProof/>
        </w:rPr>
        <w:t> </w:t>
      </w:r>
      <w:r w:rsidR="00BE6F6D" w:rsidRPr="009A4A22">
        <w:rPr>
          <w:noProof/>
        </w:rPr>
        <w:t>pop</w:t>
      </w:r>
      <w:r w:rsidRPr="009A4A22">
        <w:rPr>
          <w:noProof/>
        </w:rPr>
        <w:t>rawiają spójność wyników ADR. Koszty ADR różnią się znacznie</w:t>
      </w:r>
      <w:r w:rsidR="00BE6F6D" w:rsidRPr="009A4A22">
        <w:rPr>
          <w:noProof/>
        </w:rPr>
        <w:t xml:space="preserve"> w</w:t>
      </w:r>
      <w:r w:rsidR="00BE6F6D">
        <w:rPr>
          <w:noProof/>
        </w:rPr>
        <w:t> </w:t>
      </w:r>
      <w:r w:rsidR="00BE6F6D" w:rsidRPr="009A4A22">
        <w:rPr>
          <w:noProof/>
        </w:rPr>
        <w:t>pos</w:t>
      </w:r>
      <w:r w:rsidRPr="009A4A22">
        <w:rPr>
          <w:noProof/>
        </w:rPr>
        <w:t>zczególnych państwach członkowskich</w:t>
      </w:r>
      <w:r w:rsidR="00BE6F6D" w:rsidRPr="009A4A22">
        <w:rPr>
          <w:noProof/>
        </w:rPr>
        <w:t xml:space="preserve"> w</w:t>
      </w:r>
      <w:r w:rsidR="00BE6F6D">
        <w:rPr>
          <w:noProof/>
        </w:rPr>
        <w:t> </w:t>
      </w:r>
      <w:r w:rsidR="00BE6F6D" w:rsidRPr="009A4A22">
        <w:rPr>
          <w:noProof/>
        </w:rPr>
        <w:t>zal</w:t>
      </w:r>
      <w:r w:rsidRPr="009A4A22">
        <w:rPr>
          <w:noProof/>
        </w:rPr>
        <w:t>eżności od istniejącej infrastruktury, modelu finansowania, liczby akredytowanych</w:t>
      </w:r>
      <w:r w:rsidR="00BE6F6D" w:rsidRPr="009A4A22">
        <w:rPr>
          <w:noProof/>
        </w:rPr>
        <w:t xml:space="preserve"> i</w:t>
      </w:r>
      <w:r w:rsidR="00BE6F6D">
        <w:rPr>
          <w:noProof/>
        </w:rPr>
        <w:t> </w:t>
      </w:r>
      <w:r w:rsidR="00BE6F6D" w:rsidRPr="009A4A22">
        <w:rPr>
          <w:noProof/>
        </w:rPr>
        <w:t>mon</w:t>
      </w:r>
      <w:r w:rsidRPr="009A4A22">
        <w:rPr>
          <w:noProof/>
        </w:rPr>
        <w:t>itorowanych podmiotów ADR, opłat pobieranych od konsumentów</w:t>
      </w:r>
      <w:r w:rsidR="00BE6F6D" w:rsidRPr="009A4A22">
        <w:rPr>
          <w:noProof/>
        </w:rPr>
        <w:t xml:space="preserve"> i</w:t>
      </w:r>
      <w:r w:rsidR="00BE6F6D">
        <w:rPr>
          <w:noProof/>
        </w:rPr>
        <w:t> </w:t>
      </w:r>
      <w:r w:rsidR="00BE6F6D" w:rsidRPr="009A4A22">
        <w:rPr>
          <w:noProof/>
        </w:rPr>
        <w:t>prz</w:t>
      </w:r>
      <w:r w:rsidRPr="009A4A22">
        <w:rPr>
          <w:noProof/>
        </w:rPr>
        <w:t>edsiębiorców,</w:t>
      </w:r>
      <w:r w:rsidR="00BE6F6D" w:rsidRPr="009A4A22">
        <w:rPr>
          <w:noProof/>
        </w:rPr>
        <w:t xml:space="preserve"> a</w:t>
      </w:r>
      <w:r w:rsidR="00BE6F6D">
        <w:rPr>
          <w:noProof/>
        </w:rPr>
        <w:t> </w:t>
      </w:r>
      <w:r w:rsidR="00BE6F6D" w:rsidRPr="009A4A22">
        <w:rPr>
          <w:noProof/>
        </w:rPr>
        <w:t>tak</w:t>
      </w:r>
      <w:r w:rsidRPr="009A4A22">
        <w:rPr>
          <w:noProof/>
        </w:rPr>
        <w:t>że od tego, czy struktury ADR istniały już wcześniej. Brak danych dotyczących kosztów utrudnia obliczanie efektywności kosztowej ADR. System ADR jest jednak znacznie bardziej efektywny kosztowo dla konsumentów, przedsiębiorców</w:t>
      </w:r>
      <w:r w:rsidR="00BE6F6D" w:rsidRPr="009A4A22">
        <w:rPr>
          <w:noProof/>
        </w:rPr>
        <w:t xml:space="preserve"> i</w:t>
      </w:r>
      <w:r w:rsidR="00BE6F6D">
        <w:rPr>
          <w:noProof/>
        </w:rPr>
        <w:t> </w:t>
      </w:r>
      <w:r w:rsidR="00BE6F6D" w:rsidRPr="009A4A22">
        <w:rPr>
          <w:noProof/>
        </w:rPr>
        <w:t>pań</w:t>
      </w:r>
      <w:r w:rsidRPr="009A4A22">
        <w:rPr>
          <w:noProof/>
        </w:rPr>
        <w:t>stw członkowskich, niż miałoby to miejsce</w:t>
      </w:r>
      <w:r w:rsidR="00BE6F6D" w:rsidRPr="009A4A22">
        <w:rPr>
          <w:noProof/>
        </w:rPr>
        <w:t xml:space="preserve"> w</w:t>
      </w:r>
      <w:r w:rsidR="00BE6F6D">
        <w:rPr>
          <w:noProof/>
        </w:rPr>
        <w:t> </w:t>
      </w:r>
      <w:r w:rsidR="00BE6F6D" w:rsidRPr="009A4A22">
        <w:rPr>
          <w:noProof/>
        </w:rPr>
        <w:t>syt</w:t>
      </w:r>
      <w:r w:rsidRPr="009A4A22">
        <w:rPr>
          <w:noProof/>
        </w:rPr>
        <w:t>uacji,</w:t>
      </w:r>
      <w:r w:rsidR="00BE6F6D" w:rsidRPr="009A4A22">
        <w:rPr>
          <w:noProof/>
        </w:rPr>
        <w:t xml:space="preserve"> w</w:t>
      </w:r>
      <w:r w:rsidR="00BE6F6D">
        <w:rPr>
          <w:noProof/>
        </w:rPr>
        <w:t> </w:t>
      </w:r>
      <w:r w:rsidR="00BE6F6D" w:rsidRPr="009A4A22">
        <w:rPr>
          <w:noProof/>
        </w:rPr>
        <w:t>któ</w:t>
      </w:r>
      <w:r w:rsidRPr="009A4A22">
        <w:rPr>
          <w:noProof/>
        </w:rPr>
        <w:t xml:space="preserve">rej wszystkie spory konsumenckie musiałyby być rozstrzygane na drodze sądowej. Uzyskanie pewnych oszczędności kosztów byłyby możliwe, gdyby zmniejszono niektóre obciążenia sprawozdawcze, które wiele zainteresowanych stron oceniło jako nieproporcjonalne. </w:t>
      </w:r>
    </w:p>
    <w:p w14:paraId="795982CA" w14:textId="5B80EA8B" w:rsidR="00D36A0B" w:rsidRPr="009A4A22" w:rsidRDefault="00D36A0B" w:rsidP="00D36A0B">
      <w:pPr>
        <w:spacing w:after="0"/>
        <w:rPr>
          <w:noProof/>
          <w:szCs w:val="24"/>
        </w:rPr>
      </w:pPr>
      <w:r w:rsidRPr="009A4A22">
        <w:rPr>
          <w:noProof/>
        </w:rPr>
        <w:t>Ograniczenie zakresu przepisów do przedsiębiorców mających siedzibę w UE pozbawia jednak wielu konsumentów dostępu do sprawiedliwych systemów dochodzenia roszczeń</w:t>
      </w:r>
      <w:r w:rsidR="00BE6F6D" w:rsidRPr="009A4A22">
        <w:rPr>
          <w:noProof/>
        </w:rPr>
        <w:t>. W</w:t>
      </w:r>
      <w:r w:rsidR="00BE6F6D">
        <w:rPr>
          <w:noProof/>
        </w:rPr>
        <w:t> </w:t>
      </w:r>
      <w:r w:rsidR="00BE6F6D" w:rsidRPr="009A4A22">
        <w:rPr>
          <w:noProof/>
        </w:rPr>
        <w:t>syt</w:t>
      </w:r>
      <w:r w:rsidRPr="009A4A22">
        <w:rPr>
          <w:noProof/>
        </w:rPr>
        <w:t>uacjach kryzysowych, np. podczas pandemii COVID-19</w:t>
      </w:r>
      <w:r w:rsidR="00BE6F6D" w:rsidRPr="009A4A22">
        <w:rPr>
          <w:noProof/>
        </w:rPr>
        <w:t xml:space="preserve"> i</w:t>
      </w:r>
      <w:r w:rsidR="00BE6F6D">
        <w:rPr>
          <w:noProof/>
        </w:rPr>
        <w:t> </w:t>
      </w:r>
      <w:r w:rsidR="00BE6F6D" w:rsidRPr="009A4A22">
        <w:rPr>
          <w:noProof/>
        </w:rPr>
        <w:t>nie</w:t>
      </w:r>
      <w:r w:rsidRPr="009A4A22">
        <w:rPr>
          <w:noProof/>
        </w:rPr>
        <w:t>dawnego kryzysu energetycznego, postępowania ADR okazały się ważnymi mechanizmami rozwiązywania problemów konsumenckich związanych</w:t>
      </w:r>
      <w:r w:rsidR="00BE6F6D" w:rsidRPr="009A4A22">
        <w:rPr>
          <w:noProof/>
        </w:rPr>
        <w:t xml:space="preserve"> z</w:t>
      </w:r>
      <w:r w:rsidR="00BE6F6D">
        <w:rPr>
          <w:noProof/>
        </w:rPr>
        <w:t> </w:t>
      </w:r>
      <w:r w:rsidR="00BE6F6D" w:rsidRPr="009A4A22">
        <w:rPr>
          <w:noProof/>
        </w:rPr>
        <w:t>tym</w:t>
      </w:r>
      <w:r w:rsidRPr="009A4A22">
        <w:rPr>
          <w:noProof/>
        </w:rPr>
        <w:t>i kryzysami. Występowanie kryzysów nie podważa roli dyrektywy, ale pojawiła się potrzeba wzmocnienia niektórych mechanizmów,</w:t>
      </w:r>
      <w:r w:rsidR="00BE6F6D" w:rsidRPr="009A4A22">
        <w:rPr>
          <w:noProof/>
        </w:rPr>
        <w:t xml:space="preserve"> w</w:t>
      </w:r>
      <w:r w:rsidR="00BE6F6D">
        <w:rPr>
          <w:noProof/>
        </w:rPr>
        <w:t> </w:t>
      </w:r>
      <w:r w:rsidR="00BE6F6D" w:rsidRPr="009A4A22">
        <w:rPr>
          <w:noProof/>
        </w:rPr>
        <w:t>szc</w:t>
      </w:r>
      <w:r w:rsidRPr="009A4A22">
        <w:rPr>
          <w:noProof/>
        </w:rPr>
        <w:t>zególności, aby umożliwić podmiotom ADR rozpatrywanie większej liczby spraw</w:t>
      </w:r>
      <w:r w:rsidR="00BE6F6D" w:rsidRPr="009A4A22">
        <w:rPr>
          <w:noProof/>
        </w:rPr>
        <w:t xml:space="preserve"> w</w:t>
      </w:r>
      <w:r w:rsidR="00BE6F6D">
        <w:rPr>
          <w:noProof/>
        </w:rPr>
        <w:t> </w:t>
      </w:r>
      <w:r w:rsidR="00BE6F6D" w:rsidRPr="009A4A22">
        <w:rPr>
          <w:noProof/>
        </w:rPr>
        <w:t>tym</w:t>
      </w:r>
      <w:r w:rsidRPr="009A4A22">
        <w:rPr>
          <w:noProof/>
        </w:rPr>
        <w:t xml:space="preserve"> samym czasie przez łączenie spraw.</w:t>
      </w:r>
    </w:p>
    <w:p w14:paraId="79FB7205" w14:textId="08B065FE" w:rsidR="00D36A0B" w:rsidRPr="009A4A22" w:rsidRDefault="00D36A0B" w:rsidP="00D36A0B">
      <w:pPr>
        <w:rPr>
          <w:noProof/>
          <w:szCs w:val="24"/>
        </w:rPr>
      </w:pPr>
      <w:r w:rsidRPr="009A4A22">
        <w:rPr>
          <w:noProof/>
        </w:rPr>
        <w:t>Zainteresowane strony</w:t>
      </w:r>
      <w:r w:rsidR="00BE6F6D" w:rsidRPr="009A4A22">
        <w:rPr>
          <w:noProof/>
        </w:rPr>
        <w:t xml:space="preserve"> z</w:t>
      </w:r>
      <w:r w:rsidR="00BE6F6D">
        <w:rPr>
          <w:noProof/>
        </w:rPr>
        <w:t> </w:t>
      </w:r>
      <w:r w:rsidR="00BE6F6D" w:rsidRPr="009A4A22">
        <w:rPr>
          <w:noProof/>
        </w:rPr>
        <w:t>zad</w:t>
      </w:r>
      <w:r w:rsidRPr="009A4A22">
        <w:rPr>
          <w:noProof/>
        </w:rPr>
        <w:t>owoleniem przyjęły podejście oparte na minimalnej harmonizacji</w:t>
      </w:r>
      <w:r w:rsidR="00BE6F6D" w:rsidRPr="009A4A22">
        <w:rPr>
          <w:noProof/>
        </w:rPr>
        <w:t xml:space="preserve"> i</w:t>
      </w:r>
      <w:r w:rsidR="00BE6F6D">
        <w:rPr>
          <w:noProof/>
        </w:rPr>
        <w:t> </w:t>
      </w:r>
      <w:r w:rsidR="00BE6F6D" w:rsidRPr="009A4A22">
        <w:rPr>
          <w:noProof/>
        </w:rPr>
        <w:t>zde</w:t>
      </w:r>
      <w:r w:rsidRPr="009A4A22">
        <w:rPr>
          <w:noProof/>
        </w:rPr>
        <w:t>cydowanie poparły jego utrzymanie. Podmioty ADR korzystały</w:t>
      </w:r>
      <w:r w:rsidR="00BE6F6D" w:rsidRPr="009A4A22">
        <w:rPr>
          <w:noProof/>
        </w:rPr>
        <w:t xml:space="preserve"> z</w:t>
      </w:r>
      <w:r w:rsidR="00BE6F6D">
        <w:rPr>
          <w:noProof/>
        </w:rPr>
        <w:t> </w:t>
      </w:r>
      <w:r w:rsidR="00BE6F6D" w:rsidRPr="009A4A22">
        <w:rPr>
          <w:noProof/>
        </w:rPr>
        <w:t>dzi</w:t>
      </w:r>
      <w:r w:rsidRPr="009A4A22">
        <w:rPr>
          <w:noProof/>
        </w:rPr>
        <w:t>ałań na szczeblu UE,</w:t>
      </w:r>
      <w:r w:rsidR="00BE6F6D" w:rsidRPr="009A4A22">
        <w:rPr>
          <w:noProof/>
        </w:rPr>
        <w:t xml:space="preserve"> w</w:t>
      </w:r>
      <w:r w:rsidR="00BE6F6D">
        <w:rPr>
          <w:noProof/>
        </w:rPr>
        <w:t> </w:t>
      </w:r>
      <w:r w:rsidR="00BE6F6D" w:rsidRPr="009A4A22">
        <w:rPr>
          <w:noProof/>
        </w:rPr>
        <w:t>ram</w:t>
      </w:r>
      <w:r w:rsidRPr="009A4A22">
        <w:rPr>
          <w:noProof/>
        </w:rPr>
        <w:t>ach których otrzymały platformę wymiany najlepszych praktyk</w:t>
      </w:r>
      <w:r w:rsidR="00BE6F6D" w:rsidRPr="009A4A22">
        <w:rPr>
          <w:noProof/>
        </w:rPr>
        <w:t xml:space="preserve"> i</w:t>
      </w:r>
      <w:r w:rsidR="00BE6F6D">
        <w:rPr>
          <w:noProof/>
        </w:rPr>
        <w:t> </w:t>
      </w:r>
      <w:r w:rsidR="00BE6F6D" w:rsidRPr="009A4A22">
        <w:rPr>
          <w:noProof/>
        </w:rPr>
        <w:t>pom</w:t>
      </w:r>
      <w:r w:rsidRPr="009A4A22">
        <w:rPr>
          <w:noProof/>
        </w:rPr>
        <w:t>oc finansową na poprawę ich infrastruktury,</w:t>
      </w:r>
      <w:r w:rsidR="00BE6F6D" w:rsidRPr="009A4A22">
        <w:rPr>
          <w:noProof/>
        </w:rPr>
        <w:t xml:space="preserve"> w</w:t>
      </w:r>
      <w:r w:rsidR="00BE6F6D">
        <w:rPr>
          <w:noProof/>
        </w:rPr>
        <w:t> </w:t>
      </w:r>
      <w:r w:rsidR="00BE6F6D" w:rsidRPr="009A4A22">
        <w:rPr>
          <w:noProof/>
        </w:rPr>
        <w:t>tym</w:t>
      </w:r>
      <w:r w:rsidRPr="009A4A22">
        <w:rPr>
          <w:noProof/>
        </w:rPr>
        <w:t xml:space="preserve"> rozpatrywania spraw, budowania zdolności</w:t>
      </w:r>
      <w:r w:rsidR="00BE6F6D" w:rsidRPr="009A4A22">
        <w:rPr>
          <w:noProof/>
        </w:rPr>
        <w:t xml:space="preserve"> i</w:t>
      </w:r>
      <w:r w:rsidR="00BE6F6D">
        <w:rPr>
          <w:noProof/>
        </w:rPr>
        <w:t> </w:t>
      </w:r>
      <w:r w:rsidR="00BE6F6D" w:rsidRPr="009A4A22">
        <w:rPr>
          <w:noProof/>
        </w:rPr>
        <w:t>upo</w:t>
      </w:r>
      <w:r w:rsidRPr="009A4A22">
        <w:rPr>
          <w:noProof/>
        </w:rPr>
        <w:t xml:space="preserve">wszechniania wiedzy o ADR. </w:t>
      </w:r>
    </w:p>
    <w:p w14:paraId="3E5226B9" w14:textId="4F5BC2F4" w:rsidR="00D36A0B" w:rsidRPr="009A4A22" w:rsidRDefault="00D36A0B" w:rsidP="00D36A0B">
      <w:pPr>
        <w:rPr>
          <w:noProof/>
          <w:szCs w:val="24"/>
        </w:rPr>
      </w:pPr>
      <w:r w:rsidRPr="009A4A22">
        <w:rPr>
          <w:b/>
          <w:noProof/>
        </w:rPr>
        <w:t>Wnioski</w:t>
      </w:r>
      <w:r w:rsidR="00BE6F6D" w:rsidRPr="009A4A22">
        <w:rPr>
          <w:b/>
          <w:noProof/>
        </w:rPr>
        <w:t xml:space="preserve"> z</w:t>
      </w:r>
      <w:r w:rsidR="00BE6F6D">
        <w:rPr>
          <w:b/>
          <w:noProof/>
        </w:rPr>
        <w:t> </w:t>
      </w:r>
      <w:r w:rsidR="00BE6F6D" w:rsidRPr="009A4A22">
        <w:rPr>
          <w:b/>
          <w:noProof/>
        </w:rPr>
        <w:t>oce</w:t>
      </w:r>
      <w:r w:rsidRPr="009A4A22">
        <w:rPr>
          <w:b/>
          <w:noProof/>
        </w:rPr>
        <w:t>ny skłoniły Komisję do przygotowania wniosku ustawodawczego dotyczącego zmiany obecnej dyrektywy ADR, aby lepiej dostosować ją do potrzeb rynków cyfrowych.</w:t>
      </w:r>
    </w:p>
    <w:p w14:paraId="70A45940" w14:textId="77777777" w:rsidR="00041A99" w:rsidRPr="009A4A22" w:rsidRDefault="00041A99" w:rsidP="00041A99">
      <w:pPr>
        <w:rPr>
          <w:noProof/>
          <w:u w:color="000000"/>
          <w:bdr w:val="nil"/>
          <w:lang w:eastAsia="en-GB"/>
        </w:rPr>
      </w:pPr>
    </w:p>
    <w:p w14:paraId="6C00E87B" w14:textId="19629810" w:rsidR="00B1743F" w:rsidRPr="009A4A22" w:rsidRDefault="00B1743F" w:rsidP="00A4693B">
      <w:pPr>
        <w:pStyle w:val="ManualHeading2"/>
        <w:rPr>
          <w:rFonts w:eastAsia="Arial Unicode MS"/>
          <w:noProof/>
          <w:u w:color="000000"/>
          <w:bdr w:val="nil"/>
        </w:rPr>
      </w:pPr>
      <w:r w:rsidRPr="009A4A22">
        <w:rPr>
          <w:noProof/>
          <w:u w:color="000000"/>
          <w:bdr w:val="nil"/>
        </w:rPr>
        <w:t>Konsultacje</w:t>
      </w:r>
      <w:r w:rsidR="00BE6F6D" w:rsidRPr="009A4A22">
        <w:rPr>
          <w:noProof/>
          <w:u w:color="000000"/>
          <w:bdr w:val="nil"/>
        </w:rPr>
        <w:t xml:space="preserve"> z</w:t>
      </w:r>
      <w:r w:rsidR="00BE6F6D">
        <w:rPr>
          <w:noProof/>
          <w:u w:color="000000"/>
          <w:bdr w:val="nil"/>
        </w:rPr>
        <w:t> </w:t>
      </w:r>
      <w:r w:rsidR="00BE6F6D" w:rsidRPr="009A4A22">
        <w:rPr>
          <w:noProof/>
          <w:u w:color="000000"/>
          <w:bdr w:val="nil"/>
        </w:rPr>
        <w:t>zai</w:t>
      </w:r>
      <w:r w:rsidRPr="009A4A22">
        <w:rPr>
          <w:noProof/>
          <w:u w:color="000000"/>
          <w:bdr w:val="nil"/>
        </w:rPr>
        <w:t>nteresowanymi stronami</w:t>
      </w:r>
    </w:p>
    <w:p w14:paraId="79E396D0" w14:textId="2B3A6672" w:rsidR="00D36A0B" w:rsidRPr="009A4A22" w:rsidRDefault="00D36A0B" w:rsidP="00D36A0B">
      <w:pPr>
        <w:pBdr>
          <w:top w:val="nil"/>
          <w:left w:val="nil"/>
          <w:bottom w:val="nil"/>
          <w:right w:val="nil"/>
          <w:between w:val="nil"/>
          <w:bar w:val="nil"/>
        </w:pBdr>
        <w:spacing w:before="0" w:after="240"/>
        <w:rPr>
          <w:rFonts w:eastAsia="Times New Roman"/>
          <w:noProof/>
          <w:color w:val="000000"/>
          <w:szCs w:val="24"/>
          <w:bdr w:val="none" w:sz="0" w:space="0" w:color="auto" w:frame="1"/>
        </w:rPr>
      </w:pPr>
      <w:r w:rsidRPr="009A4A22">
        <w:rPr>
          <w:noProof/>
          <w:color w:val="000000"/>
          <w:bdr w:val="none" w:sz="0" w:space="0" w:color="auto" w:frame="1"/>
        </w:rPr>
        <w:t>W ramach podejścia opartego na dowodach</w:t>
      </w:r>
      <w:r w:rsidR="00BE6F6D" w:rsidRPr="009A4A22">
        <w:rPr>
          <w:noProof/>
          <w:color w:val="000000"/>
          <w:bdr w:val="none" w:sz="0" w:space="0" w:color="auto" w:frame="1"/>
        </w:rPr>
        <w:t xml:space="preserve"> w</w:t>
      </w:r>
      <w:r w:rsidR="00BE6F6D">
        <w:rPr>
          <w:noProof/>
          <w:color w:val="000000"/>
          <w:bdr w:val="none" w:sz="0" w:space="0" w:color="auto" w:frame="1"/>
        </w:rPr>
        <w:t> </w:t>
      </w:r>
      <w:r w:rsidR="00BE6F6D" w:rsidRPr="009A4A22">
        <w:rPr>
          <w:noProof/>
          <w:color w:val="000000"/>
          <w:bdr w:val="none" w:sz="0" w:space="0" w:color="auto" w:frame="1"/>
        </w:rPr>
        <w:t>pro</w:t>
      </w:r>
      <w:r w:rsidRPr="009A4A22">
        <w:rPr>
          <w:noProof/>
          <w:color w:val="000000"/>
          <w:bdr w:val="none" w:sz="0" w:space="0" w:color="auto" w:frame="1"/>
        </w:rPr>
        <w:t>cesie kształtowania polityki Komisja:</w:t>
      </w:r>
    </w:p>
    <w:p w14:paraId="2B1DAB91" w14:textId="4AD64199" w:rsidR="00D36A0B" w:rsidRPr="009A4A22" w:rsidRDefault="00BE6F6D" w:rsidP="00BE6F6D">
      <w:pPr>
        <w:pStyle w:val="Point0"/>
        <w:rPr>
          <w:noProof/>
          <w:bdr w:val="none" w:sz="0" w:space="0" w:color="auto" w:frame="1"/>
        </w:rPr>
      </w:pPr>
      <w:r>
        <w:rPr>
          <w:noProof/>
          <w:bdr w:val="none" w:sz="0" w:space="0" w:color="auto" w:frame="1"/>
        </w:rPr>
        <w:t>a)</w:t>
      </w:r>
      <w:r>
        <w:rPr>
          <w:noProof/>
          <w:bdr w:val="none" w:sz="0" w:space="0" w:color="auto" w:frame="1"/>
        </w:rPr>
        <w:tab/>
      </w:r>
      <w:r w:rsidR="00D36A0B" w:rsidRPr="009A4A22">
        <w:rPr>
          <w:noProof/>
          <w:bdr w:val="none" w:sz="0" w:space="0" w:color="auto" w:frame="1"/>
        </w:rPr>
        <w:t>przeprowadziła dwie wielojęzyczne konsultacje publiczne (retrospektywną</w:t>
      </w:r>
      <w:r w:rsidRPr="009A4A22">
        <w:rPr>
          <w:noProof/>
          <w:bdr w:val="none" w:sz="0" w:space="0" w:color="auto" w:frame="1"/>
        </w:rPr>
        <w:t xml:space="preserve"> i</w:t>
      </w:r>
      <w:r>
        <w:rPr>
          <w:noProof/>
          <w:bdr w:val="none" w:sz="0" w:space="0" w:color="auto" w:frame="1"/>
        </w:rPr>
        <w:t> </w:t>
      </w:r>
      <w:r w:rsidRPr="009A4A22">
        <w:rPr>
          <w:noProof/>
          <w:bdr w:val="none" w:sz="0" w:space="0" w:color="auto" w:frame="1"/>
        </w:rPr>
        <w:t>per</w:t>
      </w:r>
      <w:r w:rsidR="00D36A0B" w:rsidRPr="009A4A22">
        <w:rPr>
          <w:noProof/>
          <w:bdr w:val="none" w:sz="0" w:space="0" w:color="auto" w:frame="1"/>
        </w:rPr>
        <w:t>spektywiczną) na temat ADR; opublikowała na swoim portalu „Wyraź swoją opinię” zaproszenie do zgłaszania uwag,</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któ</w:t>
      </w:r>
      <w:r w:rsidR="00D36A0B" w:rsidRPr="009A4A22">
        <w:rPr>
          <w:noProof/>
          <w:bdr w:val="none" w:sz="0" w:space="0" w:color="auto" w:frame="1"/>
        </w:rPr>
        <w:t>rym przedstawiła środki</w:t>
      </w:r>
      <w:r w:rsidRPr="009A4A22">
        <w:rPr>
          <w:noProof/>
          <w:bdr w:val="none" w:sz="0" w:space="0" w:color="auto" w:frame="1"/>
        </w:rPr>
        <w:t xml:space="preserve"> z</w:t>
      </w:r>
      <w:r>
        <w:rPr>
          <w:noProof/>
          <w:bdr w:val="none" w:sz="0" w:space="0" w:color="auto" w:frame="1"/>
        </w:rPr>
        <w:t> </w:t>
      </w:r>
      <w:r w:rsidRPr="009A4A22">
        <w:rPr>
          <w:noProof/>
          <w:bdr w:val="none" w:sz="0" w:space="0" w:color="auto" w:frame="1"/>
        </w:rPr>
        <w:t>zak</w:t>
      </w:r>
      <w:r w:rsidR="00D36A0B" w:rsidRPr="009A4A22">
        <w:rPr>
          <w:noProof/>
          <w:bdr w:val="none" w:sz="0" w:space="0" w:color="auto" w:frame="1"/>
        </w:rPr>
        <w:t xml:space="preserve">resu polityki polegające na wprowadzeniu zmian do dyrektywy ADR; </w:t>
      </w:r>
    </w:p>
    <w:p w14:paraId="2C4B92D9" w14:textId="49959C3B" w:rsidR="00D36A0B" w:rsidRPr="009A4A22" w:rsidRDefault="00BE6F6D" w:rsidP="00BE6F6D">
      <w:pPr>
        <w:pStyle w:val="Point0"/>
        <w:rPr>
          <w:noProof/>
          <w:bdr w:val="none" w:sz="0" w:space="0" w:color="auto" w:frame="1"/>
        </w:rPr>
      </w:pPr>
      <w:r>
        <w:rPr>
          <w:noProof/>
          <w:bdr w:val="none" w:sz="0" w:space="0" w:color="auto" w:frame="1"/>
        </w:rPr>
        <w:t>b)</w:t>
      </w:r>
      <w:r>
        <w:rPr>
          <w:noProof/>
          <w:bdr w:val="none" w:sz="0" w:space="0" w:color="auto" w:frame="1"/>
        </w:rPr>
        <w:tab/>
      </w:r>
      <w:r w:rsidR="00D36A0B" w:rsidRPr="009A4A22">
        <w:rPr>
          <w:noProof/>
          <w:bdr w:val="none" w:sz="0" w:space="0" w:color="auto" w:frame="1"/>
        </w:rPr>
        <w:t>zorganizowała szereg stacjonarnych</w:t>
      </w:r>
      <w:r w:rsidRPr="009A4A22">
        <w:rPr>
          <w:noProof/>
          <w:bdr w:val="none" w:sz="0" w:space="0" w:color="auto" w:frame="1"/>
        </w:rPr>
        <w:t xml:space="preserve"> i</w:t>
      </w:r>
      <w:r>
        <w:rPr>
          <w:noProof/>
          <w:bdr w:val="none" w:sz="0" w:space="0" w:color="auto" w:frame="1"/>
        </w:rPr>
        <w:t> </w:t>
      </w:r>
      <w:r w:rsidRPr="009A4A22">
        <w:rPr>
          <w:noProof/>
          <w:bdr w:val="none" w:sz="0" w:space="0" w:color="auto" w:frame="1"/>
        </w:rPr>
        <w:t>hyb</w:t>
      </w:r>
      <w:r w:rsidR="00D36A0B" w:rsidRPr="009A4A22">
        <w:rPr>
          <w:noProof/>
          <w:bdr w:val="none" w:sz="0" w:space="0" w:color="auto" w:frame="1"/>
        </w:rPr>
        <w:t>rydowych warsztatów konsultacyjnych,</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tym</w:t>
      </w:r>
      <w:r w:rsidR="00D36A0B" w:rsidRPr="009A4A22">
        <w:rPr>
          <w:noProof/>
          <w:bdr w:val="none" w:sz="0" w:space="0" w:color="auto" w:frame="1"/>
        </w:rPr>
        <w:t xml:space="preserve"> „zgromadzenie ADR”</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2</w:t>
      </w:r>
      <w:r w:rsidR="00D36A0B" w:rsidRPr="009A4A22">
        <w:rPr>
          <w:noProof/>
          <w:bdr w:val="none" w:sz="0" w:space="0" w:color="auto" w:frame="1"/>
        </w:rPr>
        <w:t>0</w:t>
      </w:r>
      <w:r w:rsidR="00D36A0B" w:rsidRPr="00BE6F6D">
        <w:rPr>
          <w:noProof/>
          <w:bdr w:val="none" w:sz="0" w:space="0" w:color="auto" w:frame="1"/>
        </w:rPr>
        <w:t>21</w:t>
      </w:r>
      <w:r w:rsidRPr="00BE6F6D">
        <w:rPr>
          <w:noProof/>
          <w:bdr w:val="none" w:sz="0" w:space="0" w:color="auto" w:frame="1"/>
        </w:rPr>
        <w:t> </w:t>
      </w:r>
      <w:r w:rsidR="00D36A0B" w:rsidRPr="00BE6F6D">
        <w:rPr>
          <w:noProof/>
          <w:bdr w:val="none" w:sz="0" w:space="0" w:color="auto" w:frame="1"/>
        </w:rPr>
        <w:t>r.</w:t>
      </w:r>
      <w:r w:rsidR="00D36A0B" w:rsidRPr="009A4A22">
        <w:rPr>
          <w:noProof/>
          <w:bdr w:val="none" w:sz="0" w:space="0" w:color="auto" w:frame="1"/>
        </w:rPr>
        <w:t>, dyskusję panelową podczas Szczytu Konsumenta oraz okrągły stół na temat transgranicznych ADR</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2</w:t>
      </w:r>
      <w:r w:rsidR="00D36A0B" w:rsidRPr="009A4A22">
        <w:rPr>
          <w:noProof/>
          <w:bdr w:val="none" w:sz="0" w:space="0" w:color="auto" w:frame="1"/>
        </w:rPr>
        <w:t>0</w:t>
      </w:r>
      <w:r w:rsidR="00D36A0B" w:rsidRPr="00BE6F6D">
        <w:rPr>
          <w:noProof/>
          <w:bdr w:val="none" w:sz="0" w:space="0" w:color="auto" w:frame="1"/>
        </w:rPr>
        <w:t>22</w:t>
      </w:r>
      <w:r w:rsidRPr="00BE6F6D">
        <w:rPr>
          <w:noProof/>
          <w:bdr w:val="none" w:sz="0" w:space="0" w:color="auto" w:frame="1"/>
        </w:rPr>
        <w:t> </w:t>
      </w:r>
      <w:r w:rsidR="00D36A0B" w:rsidRPr="00BE6F6D">
        <w:rPr>
          <w:noProof/>
          <w:bdr w:val="none" w:sz="0" w:space="0" w:color="auto" w:frame="1"/>
        </w:rPr>
        <w:t>r.</w:t>
      </w:r>
      <w:r w:rsidR="00D36A0B" w:rsidRPr="009A4A22">
        <w:rPr>
          <w:noProof/>
          <w:bdr w:val="none" w:sz="0" w:space="0" w:color="auto" w:frame="1"/>
        </w:rPr>
        <w:t>;</w:t>
      </w:r>
    </w:p>
    <w:p w14:paraId="6A4D5902" w14:textId="5496F2F6" w:rsidR="00D36A0B" w:rsidRPr="009A4A22" w:rsidRDefault="00BE6F6D" w:rsidP="00BE6F6D">
      <w:pPr>
        <w:pStyle w:val="Point0"/>
        <w:rPr>
          <w:noProof/>
          <w:bdr w:val="none" w:sz="0" w:space="0" w:color="auto" w:frame="1"/>
        </w:rPr>
      </w:pPr>
      <w:r>
        <w:rPr>
          <w:noProof/>
          <w:bdr w:val="none" w:sz="0" w:space="0" w:color="auto" w:frame="1"/>
        </w:rPr>
        <w:t>c)</w:t>
      </w:r>
      <w:r>
        <w:rPr>
          <w:noProof/>
          <w:bdr w:val="none" w:sz="0" w:space="0" w:color="auto" w:frame="1"/>
        </w:rPr>
        <w:tab/>
      </w:r>
      <w:r w:rsidR="00D36A0B" w:rsidRPr="009A4A22">
        <w:rPr>
          <w:noProof/>
          <w:bdr w:val="none" w:sz="0" w:space="0" w:color="auto" w:frame="1"/>
        </w:rPr>
        <w:t>opracowała kwestionariusz, który ma pomóc organom właściwym</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zak</w:t>
      </w:r>
      <w:r w:rsidR="00D36A0B" w:rsidRPr="009A4A22">
        <w:rPr>
          <w:noProof/>
          <w:bdr w:val="none" w:sz="0" w:space="0" w:color="auto" w:frame="1"/>
        </w:rPr>
        <w:t>resie ADR</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zes</w:t>
      </w:r>
      <w:r w:rsidR="00D36A0B" w:rsidRPr="009A4A22">
        <w:rPr>
          <w:noProof/>
          <w:bdr w:val="none" w:sz="0" w:space="0" w:color="auto" w:frame="1"/>
        </w:rPr>
        <w:t xml:space="preserve">tawianiu krajowych sprawozdań dotyczących ADR </w:t>
      </w:r>
      <w:r w:rsidR="00D36A0B" w:rsidRPr="00BE6F6D">
        <w:rPr>
          <w:noProof/>
          <w:bdr w:val="none" w:sz="0" w:space="0" w:color="auto" w:frame="1"/>
        </w:rPr>
        <w:t>za</w:t>
      </w:r>
      <w:r w:rsidRPr="00BE6F6D">
        <w:rPr>
          <w:noProof/>
          <w:bdr w:val="none" w:sz="0" w:space="0" w:color="auto" w:frame="1"/>
        </w:rPr>
        <w:t> </w:t>
      </w:r>
      <w:r w:rsidR="00D36A0B" w:rsidRPr="00BE6F6D">
        <w:rPr>
          <w:noProof/>
          <w:bdr w:val="none" w:sz="0" w:space="0" w:color="auto" w:frame="1"/>
        </w:rPr>
        <w:t>2</w:t>
      </w:r>
      <w:r w:rsidR="00D36A0B" w:rsidRPr="009A4A22">
        <w:rPr>
          <w:noProof/>
          <w:bdr w:val="none" w:sz="0" w:space="0" w:color="auto" w:frame="1"/>
        </w:rPr>
        <w:t>0</w:t>
      </w:r>
      <w:r w:rsidR="00D36A0B" w:rsidRPr="00BE6F6D">
        <w:rPr>
          <w:noProof/>
          <w:bdr w:val="none" w:sz="0" w:space="0" w:color="auto" w:frame="1"/>
        </w:rPr>
        <w:t>22</w:t>
      </w:r>
      <w:r w:rsidRPr="00BE6F6D">
        <w:rPr>
          <w:noProof/>
          <w:bdr w:val="none" w:sz="0" w:space="0" w:color="auto" w:frame="1"/>
        </w:rPr>
        <w:t> </w:t>
      </w:r>
      <w:r w:rsidR="00D36A0B" w:rsidRPr="00BE6F6D">
        <w:rPr>
          <w:noProof/>
          <w:bdr w:val="none" w:sz="0" w:space="0" w:color="auto" w:frame="1"/>
        </w:rPr>
        <w:t>r.</w:t>
      </w:r>
      <w:r w:rsidR="00D36A0B" w:rsidRPr="009A4A22">
        <w:rPr>
          <w:noProof/>
          <w:bdr w:val="none" w:sz="0" w:space="0" w:color="auto" w:frame="1"/>
        </w:rPr>
        <w:t xml:space="preserve"> zgodnie</w:t>
      </w:r>
      <w:r w:rsidRPr="009A4A22">
        <w:rPr>
          <w:noProof/>
          <w:bdr w:val="none" w:sz="0" w:space="0" w:color="auto" w:frame="1"/>
        </w:rPr>
        <w:t xml:space="preserve"> z</w:t>
      </w:r>
      <w:r>
        <w:rPr>
          <w:noProof/>
          <w:bdr w:val="none" w:sz="0" w:space="0" w:color="auto" w:frame="1"/>
        </w:rPr>
        <w:t> </w:t>
      </w:r>
      <w:r w:rsidRPr="00BE6F6D">
        <w:rPr>
          <w:noProof/>
          <w:bdr w:val="none" w:sz="0" w:space="0" w:color="auto" w:frame="1"/>
        </w:rPr>
        <w:t>art</w:t>
      </w:r>
      <w:r w:rsidR="00D36A0B" w:rsidRPr="00BE6F6D">
        <w:rPr>
          <w:noProof/>
          <w:bdr w:val="none" w:sz="0" w:space="0" w:color="auto" w:frame="1"/>
        </w:rPr>
        <w:t>.</w:t>
      </w:r>
      <w:r w:rsidRPr="00BE6F6D">
        <w:rPr>
          <w:noProof/>
          <w:bdr w:val="none" w:sz="0" w:space="0" w:color="auto" w:frame="1"/>
        </w:rPr>
        <w:t> </w:t>
      </w:r>
      <w:r w:rsidR="00D36A0B" w:rsidRPr="00BE6F6D">
        <w:rPr>
          <w:noProof/>
          <w:bdr w:val="none" w:sz="0" w:space="0" w:color="auto" w:frame="1"/>
        </w:rPr>
        <w:t>2</w:t>
      </w:r>
      <w:r w:rsidR="00D36A0B" w:rsidRPr="009A4A22">
        <w:rPr>
          <w:noProof/>
          <w:bdr w:val="none" w:sz="0" w:space="0" w:color="auto" w:frame="1"/>
        </w:rPr>
        <w:t>6 dyrektywy ADR;</w:t>
      </w:r>
    </w:p>
    <w:p w14:paraId="345C9B30" w14:textId="27D5B276" w:rsidR="00D36A0B" w:rsidRPr="009A4A22" w:rsidRDefault="00BE6F6D" w:rsidP="00BE6F6D">
      <w:pPr>
        <w:pStyle w:val="Point0"/>
        <w:rPr>
          <w:noProof/>
          <w:bdr w:val="none" w:sz="0" w:space="0" w:color="auto" w:frame="1"/>
        </w:rPr>
      </w:pPr>
      <w:r>
        <w:rPr>
          <w:noProof/>
          <w:bdr w:val="none" w:sz="0" w:space="0" w:color="auto" w:frame="1"/>
        </w:rPr>
        <w:t>d)</w:t>
      </w:r>
      <w:r>
        <w:rPr>
          <w:noProof/>
          <w:bdr w:val="none" w:sz="0" w:space="0" w:color="auto" w:frame="1"/>
        </w:rPr>
        <w:tab/>
      </w:r>
      <w:r w:rsidR="00D36A0B" w:rsidRPr="009A4A22">
        <w:rPr>
          <w:noProof/>
          <w:bdr w:val="none" w:sz="0" w:space="0" w:color="auto" w:frame="1"/>
        </w:rPr>
        <w:t>brała udział</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róż</w:t>
      </w:r>
      <w:r w:rsidR="00D36A0B" w:rsidRPr="009A4A22">
        <w:rPr>
          <w:noProof/>
          <w:bdr w:val="none" w:sz="0" w:space="0" w:color="auto" w:frame="1"/>
        </w:rPr>
        <w:t>nych wydarzeniach</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cel</w:t>
      </w:r>
      <w:r w:rsidR="00D36A0B" w:rsidRPr="009A4A22">
        <w:rPr>
          <w:noProof/>
          <w:bdr w:val="none" w:sz="0" w:space="0" w:color="auto" w:frame="1"/>
        </w:rPr>
        <w:t>u zebrania informacji na temat sposobów usprawnienia ADR (np. wydarzenia rocznicowe podmiotów ADR, wydarzenia sieci ADR</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ram</w:t>
      </w:r>
      <w:r w:rsidR="00D36A0B" w:rsidRPr="009A4A22">
        <w:rPr>
          <w:noProof/>
          <w:bdr w:val="none" w:sz="0" w:space="0" w:color="auto" w:frame="1"/>
        </w:rPr>
        <w:t>ach FIN-Net</w:t>
      </w:r>
      <w:r w:rsidRPr="009A4A22">
        <w:rPr>
          <w:noProof/>
          <w:bdr w:val="none" w:sz="0" w:space="0" w:color="auto" w:frame="1"/>
        </w:rPr>
        <w:t xml:space="preserve"> i</w:t>
      </w:r>
      <w:r>
        <w:rPr>
          <w:noProof/>
          <w:bdr w:val="none" w:sz="0" w:space="0" w:color="auto" w:frame="1"/>
        </w:rPr>
        <w:t> </w:t>
      </w:r>
      <w:r w:rsidRPr="009A4A22">
        <w:rPr>
          <w:noProof/>
          <w:bdr w:val="none" w:sz="0" w:space="0" w:color="auto" w:frame="1"/>
        </w:rPr>
        <w:t>Tra</w:t>
      </w:r>
      <w:r w:rsidR="00D36A0B" w:rsidRPr="009A4A22">
        <w:rPr>
          <w:noProof/>
          <w:bdr w:val="none" w:sz="0" w:space="0" w:color="auto" w:frame="1"/>
        </w:rPr>
        <w:t>vel-net, sesje informacyjne itp.);</w:t>
      </w:r>
    </w:p>
    <w:p w14:paraId="5FBA44C5" w14:textId="29ED206E" w:rsidR="00D36A0B" w:rsidRPr="009A4A22" w:rsidRDefault="00BE6F6D" w:rsidP="00BE6F6D">
      <w:pPr>
        <w:pStyle w:val="Point0"/>
        <w:rPr>
          <w:noProof/>
          <w:bdr w:val="none" w:sz="0" w:space="0" w:color="auto" w:frame="1"/>
        </w:rPr>
      </w:pPr>
      <w:r>
        <w:rPr>
          <w:noProof/>
          <w:bdr w:val="none" w:sz="0" w:space="0" w:color="auto" w:frame="1"/>
        </w:rPr>
        <w:t>e)</w:t>
      </w:r>
      <w:r>
        <w:rPr>
          <w:noProof/>
          <w:bdr w:val="none" w:sz="0" w:space="0" w:color="auto" w:frame="1"/>
        </w:rPr>
        <w:tab/>
      </w:r>
      <w:r w:rsidR="00D36A0B" w:rsidRPr="009A4A22">
        <w:rPr>
          <w:noProof/>
          <w:bdr w:val="none" w:sz="0" w:space="0" w:color="auto" w:frame="1"/>
        </w:rPr>
        <w:t>zleciła przeprowadzenie badania na temat wdrażania ADR</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ter</w:t>
      </w:r>
      <w:r w:rsidR="00D36A0B" w:rsidRPr="009A4A22">
        <w:rPr>
          <w:noProof/>
          <w:bdr w:val="none" w:sz="0" w:space="0" w:color="auto" w:frame="1"/>
        </w:rPr>
        <w:t>enie</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czt</w:t>
      </w:r>
      <w:r w:rsidR="00D36A0B" w:rsidRPr="009A4A22">
        <w:rPr>
          <w:noProof/>
          <w:bdr w:val="none" w:sz="0" w:space="0" w:color="auto" w:frame="1"/>
        </w:rPr>
        <w:t>erech jurysdykcjach oraz badania behawioralnego ADR;</w:t>
      </w:r>
    </w:p>
    <w:p w14:paraId="07ED2C96" w14:textId="7BBBC2D5" w:rsidR="00D36A0B" w:rsidRPr="009A4A22" w:rsidRDefault="00BE6F6D" w:rsidP="00BE6F6D">
      <w:pPr>
        <w:pStyle w:val="Point0"/>
        <w:rPr>
          <w:noProof/>
          <w:bdr w:val="none" w:sz="0" w:space="0" w:color="auto" w:frame="1"/>
        </w:rPr>
      </w:pPr>
      <w:r>
        <w:rPr>
          <w:noProof/>
          <w:bdr w:val="none" w:sz="0" w:space="0" w:color="auto" w:frame="1"/>
        </w:rPr>
        <w:t>f)</w:t>
      </w:r>
      <w:r>
        <w:rPr>
          <w:noProof/>
          <w:bdr w:val="none" w:sz="0" w:space="0" w:color="auto" w:frame="1"/>
        </w:rPr>
        <w:tab/>
      </w:r>
      <w:r w:rsidR="00D36A0B" w:rsidRPr="009A4A22">
        <w:rPr>
          <w:noProof/>
          <w:bdr w:val="none" w:sz="0" w:space="0" w:color="auto" w:frame="1"/>
        </w:rPr>
        <w:t>przeanalizowała niedawne stanowiska na temat ADR przedstawione na piśmie przez główne zainteresowane strony,</w:t>
      </w:r>
      <w:r w:rsidRPr="009A4A22">
        <w:rPr>
          <w:noProof/>
          <w:bdr w:val="none" w:sz="0" w:space="0" w:color="auto" w:frame="1"/>
        </w:rPr>
        <w:t xml:space="preserve"> w</w:t>
      </w:r>
      <w:r>
        <w:rPr>
          <w:noProof/>
          <w:bdr w:val="none" w:sz="0" w:space="0" w:color="auto" w:frame="1"/>
        </w:rPr>
        <w:t> </w:t>
      </w:r>
      <w:r w:rsidRPr="009A4A22">
        <w:rPr>
          <w:noProof/>
          <w:bdr w:val="none" w:sz="0" w:space="0" w:color="auto" w:frame="1"/>
        </w:rPr>
        <w:t>tym</w:t>
      </w:r>
      <w:r w:rsidR="00D36A0B" w:rsidRPr="009A4A22">
        <w:rPr>
          <w:noProof/>
          <w:bdr w:val="none" w:sz="0" w:space="0" w:color="auto" w:frame="1"/>
        </w:rPr>
        <w:t xml:space="preserve"> sieć ECC-Net</w:t>
      </w:r>
      <w:r w:rsidR="00D36A0B" w:rsidRPr="009A4A22">
        <w:rPr>
          <w:rStyle w:val="FootnoteReference"/>
          <w:noProof/>
          <w:szCs w:val="24"/>
          <w:bdr w:val="none" w:sz="0" w:space="0" w:color="auto" w:frame="1"/>
          <w:lang w:eastAsia="en-GB"/>
        </w:rPr>
        <w:footnoteReference w:id="8"/>
      </w:r>
      <w:r w:rsidR="00D36A0B" w:rsidRPr="009A4A22">
        <w:rPr>
          <w:noProof/>
          <w:bdr w:val="none" w:sz="0" w:space="0" w:color="auto" w:frame="1"/>
        </w:rPr>
        <w:t>, BEUC</w:t>
      </w:r>
      <w:r w:rsidR="00D36A0B" w:rsidRPr="009A4A22">
        <w:rPr>
          <w:rStyle w:val="FootnoteReference"/>
          <w:noProof/>
          <w:szCs w:val="24"/>
          <w:bdr w:val="none" w:sz="0" w:space="0" w:color="auto" w:frame="1"/>
          <w:lang w:eastAsia="en-GB"/>
        </w:rPr>
        <w:footnoteReference w:id="9"/>
      </w:r>
      <w:r w:rsidR="00D36A0B" w:rsidRPr="009A4A22">
        <w:rPr>
          <w:noProof/>
          <w:bdr w:val="none" w:sz="0" w:space="0" w:color="auto" w:frame="1"/>
        </w:rPr>
        <w:t xml:space="preserve"> itp.</w:t>
      </w:r>
    </w:p>
    <w:p w14:paraId="30D42300" w14:textId="5C452A17" w:rsidR="00E1370F" w:rsidRPr="009A4A22" w:rsidRDefault="008E22D5" w:rsidP="00310D36">
      <w:pPr>
        <w:spacing w:after="240"/>
        <w:rPr>
          <w:noProof/>
        </w:rPr>
      </w:pPr>
      <w:r w:rsidRPr="009A4A22">
        <w:rPr>
          <w:noProof/>
        </w:rPr>
        <w:t>Zdecydowana większość zainteresowanych stron wszystkich kategorii podkreśliła potrzebę zmiany dyrektywy ADR przez rozszerzenie jej zakresu, tak aby wyraźnie obejmowała ona spory związane</w:t>
      </w:r>
      <w:r w:rsidR="00BE6F6D" w:rsidRPr="009A4A22">
        <w:rPr>
          <w:noProof/>
        </w:rPr>
        <w:t xml:space="preserve"> z</w:t>
      </w:r>
      <w:r w:rsidR="00BE6F6D">
        <w:rPr>
          <w:noProof/>
        </w:rPr>
        <w:t> </w:t>
      </w:r>
      <w:r w:rsidR="00BE6F6D" w:rsidRPr="009A4A22">
        <w:rPr>
          <w:noProof/>
        </w:rPr>
        <w:t>ust</w:t>
      </w:r>
      <w:r w:rsidRPr="009A4A22">
        <w:rPr>
          <w:noProof/>
        </w:rPr>
        <w:t>awowymi prawami konsumenta niezależnie od faktu istnienia umowy i od treści umowy, dzięki czemu ramy ADR staną się bardziej dostępne,</w:t>
      </w:r>
      <w:r w:rsidR="00BE6F6D" w:rsidRPr="009A4A22">
        <w:rPr>
          <w:noProof/>
        </w:rPr>
        <w:t xml:space="preserve"> a</w:t>
      </w:r>
      <w:r w:rsidR="00BE6F6D">
        <w:rPr>
          <w:noProof/>
        </w:rPr>
        <w:t> </w:t>
      </w:r>
      <w:r w:rsidR="00BE6F6D" w:rsidRPr="009A4A22">
        <w:rPr>
          <w:noProof/>
        </w:rPr>
        <w:t>tym</w:t>
      </w:r>
      <w:r w:rsidRPr="009A4A22">
        <w:rPr>
          <w:noProof/>
        </w:rPr>
        <w:t xml:space="preserve"> samym opłacalne,</w:t>
      </w:r>
      <w:r w:rsidR="00BE6F6D" w:rsidRPr="009A4A22">
        <w:rPr>
          <w:noProof/>
        </w:rPr>
        <w:t xml:space="preserve"> w</w:t>
      </w:r>
      <w:r w:rsidR="00BE6F6D">
        <w:rPr>
          <w:noProof/>
        </w:rPr>
        <w:t> </w:t>
      </w:r>
      <w:r w:rsidR="00BE6F6D" w:rsidRPr="009A4A22">
        <w:rPr>
          <w:noProof/>
        </w:rPr>
        <w:t>szc</w:t>
      </w:r>
      <w:r w:rsidRPr="009A4A22">
        <w:rPr>
          <w:noProof/>
        </w:rPr>
        <w:t>zególności</w:t>
      </w:r>
      <w:r w:rsidR="00BE6F6D" w:rsidRPr="009A4A22">
        <w:rPr>
          <w:noProof/>
        </w:rPr>
        <w:t xml:space="preserve"> w</w:t>
      </w:r>
      <w:r w:rsidR="00BE6F6D">
        <w:rPr>
          <w:noProof/>
        </w:rPr>
        <w:t> </w:t>
      </w:r>
      <w:r w:rsidR="00BE6F6D" w:rsidRPr="009A4A22">
        <w:rPr>
          <w:noProof/>
        </w:rPr>
        <w:t>prz</w:t>
      </w:r>
      <w:r w:rsidRPr="009A4A22">
        <w:rPr>
          <w:noProof/>
        </w:rPr>
        <w:t>ypadku rozstrzygania sporów transgranicznych. Pojawiły się rozbieżne opinie na temat tego, czy należy zachęcać do zbiorowego rozstrzygania sporów przez łączenie spraw ze względu na ograniczone zasoby</w:t>
      </w:r>
      <w:r w:rsidR="00BE6F6D" w:rsidRPr="009A4A22">
        <w:rPr>
          <w:noProof/>
        </w:rPr>
        <w:t xml:space="preserve"> i</w:t>
      </w:r>
      <w:r w:rsidR="00BE6F6D">
        <w:rPr>
          <w:noProof/>
        </w:rPr>
        <w:t> </w:t>
      </w:r>
      <w:r w:rsidR="00BE6F6D" w:rsidRPr="009A4A22">
        <w:rPr>
          <w:noProof/>
        </w:rPr>
        <w:t>moż</w:t>
      </w:r>
      <w:r w:rsidRPr="009A4A22">
        <w:rPr>
          <w:noProof/>
        </w:rPr>
        <w:t>liwości niektórych podmiotów ADR</w:t>
      </w:r>
      <w:r w:rsidR="00BE6F6D" w:rsidRPr="009A4A22">
        <w:rPr>
          <w:noProof/>
        </w:rPr>
        <w:t>. W</w:t>
      </w:r>
      <w:r w:rsidR="00BE6F6D">
        <w:rPr>
          <w:noProof/>
        </w:rPr>
        <w:t> </w:t>
      </w:r>
      <w:r w:rsidR="00BE6F6D" w:rsidRPr="009A4A22">
        <w:rPr>
          <w:noProof/>
        </w:rPr>
        <w:t>otw</w:t>
      </w:r>
      <w:r w:rsidRPr="009A4A22">
        <w:rPr>
          <w:noProof/>
        </w:rPr>
        <w:t>artych konsultacjach publicznych 5</w:t>
      </w:r>
      <w:r w:rsidRPr="00BE6F6D">
        <w:rPr>
          <w:noProof/>
        </w:rPr>
        <w:t>8</w:t>
      </w:r>
      <w:r w:rsidR="00BE6F6D" w:rsidRPr="00BE6F6D">
        <w:rPr>
          <w:noProof/>
        </w:rPr>
        <w:t> </w:t>
      </w:r>
      <w:r w:rsidRPr="00BE6F6D">
        <w:rPr>
          <w:noProof/>
        </w:rPr>
        <w:t>%</w:t>
      </w:r>
      <w:r w:rsidRPr="009A4A22">
        <w:rPr>
          <w:noProof/>
        </w:rPr>
        <w:t xml:space="preserve"> </w:t>
      </w:r>
      <w:r w:rsidRPr="00BE6F6D">
        <w:rPr>
          <w:noProof/>
        </w:rPr>
        <w:t>ze</w:t>
      </w:r>
      <w:r w:rsidR="00BE6F6D" w:rsidRPr="00BE6F6D">
        <w:rPr>
          <w:noProof/>
        </w:rPr>
        <w:t> </w:t>
      </w:r>
      <w:r w:rsidRPr="00BE6F6D">
        <w:rPr>
          <w:noProof/>
        </w:rPr>
        <w:t>1</w:t>
      </w:r>
      <w:r w:rsidRPr="009A4A22">
        <w:rPr>
          <w:noProof/>
        </w:rPr>
        <w:t>11 respondentów wyraziło poparcie dla zbiorowego rozstrzygania sporów. Również</w:t>
      </w:r>
      <w:r w:rsidR="00BE6F6D" w:rsidRPr="009A4A22">
        <w:rPr>
          <w:noProof/>
        </w:rPr>
        <w:t xml:space="preserve"> w</w:t>
      </w:r>
      <w:r w:rsidR="00BE6F6D">
        <w:rPr>
          <w:noProof/>
        </w:rPr>
        <w:t> </w:t>
      </w:r>
      <w:r w:rsidR="00BE6F6D" w:rsidRPr="009A4A22">
        <w:rPr>
          <w:noProof/>
        </w:rPr>
        <w:t>ram</w:t>
      </w:r>
      <w:r w:rsidRPr="009A4A22">
        <w:rPr>
          <w:noProof/>
        </w:rPr>
        <w:t>ach okrągłego stołu poświęconego tematom transgranicznym stwierdzono, że należy zachęcać do zbiorowego ADR jako sposobu na zapewnienie stabilności podmiotów ADR</w:t>
      </w:r>
      <w:r w:rsidR="00BE6F6D" w:rsidRPr="009A4A22">
        <w:rPr>
          <w:noProof/>
        </w:rPr>
        <w:t xml:space="preserve"> w</w:t>
      </w:r>
      <w:r w:rsidR="00BE6F6D">
        <w:rPr>
          <w:noProof/>
        </w:rPr>
        <w:t> </w:t>
      </w:r>
      <w:r w:rsidR="00BE6F6D" w:rsidRPr="009A4A22">
        <w:rPr>
          <w:noProof/>
        </w:rPr>
        <w:t>cza</w:t>
      </w:r>
      <w:r w:rsidRPr="009A4A22">
        <w:rPr>
          <w:noProof/>
        </w:rPr>
        <w:t>sach kryzysu. Zainteresowane strony podkreśliły jednak, że kwestie organizacji zbiorowych ADR należy pozostawić</w:t>
      </w:r>
      <w:r w:rsidR="00BE6F6D" w:rsidRPr="009A4A22">
        <w:rPr>
          <w:noProof/>
        </w:rPr>
        <w:t xml:space="preserve"> w</w:t>
      </w:r>
      <w:r w:rsidR="00BE6F6D">
        <w:rPr>
          <w:noProof/>
        </w:rPr>
        <w:t> </w:t>
      </w:r>
      <w:r w:rsidR="00BE6F6D" w:rsidRPr="009A4A22">
        <w:rPr>
          <w:noProof/>
        </w:rPr>
        <w:t>ges</w:t>
      </w:r>
      <w:r w:rsidRPr="009A4A22">
        <w:rPr>
          <w:noProof/>
        </w:rPr>
        <w:t xml:space="preserve">tii państw członkowskich. </w:t>
      </w:r>
    </w:p>
    <w:p w14:paraId="554F8CCB" w14:textId="5F845631" w:rsidR="00E1370F" w:rsidRPr="009A4A22" w:rsidRDefault="00E1370F" w:rsidP="00310D36">
      <w:pPr>
        <w:spacing w:after="240"/>
        <w:rPr>
          <w:noProof/>
        </w:rPr>
      </w:pPr>
      <w:r w:rsidRPr="009A4A22">
        <w:rPr>
          <w:noProof/>
        </w:rPr>
        <w:t xml:space="preserve">Niektóre zainteresowane strony uważają, że zwiększenie roli punktów kontaktowych ODR, tak aby stały się one </w:t>
      </w:r>
      <w:r w:rsidRPr="009A4A22">
        <w:rPr>
          <w:i/>
          <w:noProof/>
        </w:rPr>
        <w:t>de facto</w:t>
      </w:r>
      <w:r w:rsidRPr="009A4A22">
        <w:rPr>
          <w:noProof/>
        </w:rPr>
        <w:t xml:space="preserve"> punktami kontaktowymi ADR, zwiększyłoby możliwości rozwiązywania sporów transgranicznych</w:t>
      </w:r>
      <w:r w:rsidRPr="00BE6F6D">
        <w:rPr>
          <w:noProof/>
        </w:rPr>
        <w:t>.</w:t>
      </w:r>
      <w:r w:rsidR="00BE6F6D" w:rsidRPr="00BE6F6D">
        <w:rPr>
          <w:noProof/>
        </w:rPr>
        <w:t xml:space="preserve"> </w:t>
      </w:r>
      <w:r w:rsidRPr="00BE6F6D">
        <w:rPr>
          <w:noProof/>
        </w:rPr>
        <w:t>W</w:t>
      </w:r>
      <w:r w:rsidRPr="009A4A22">
        <w:rPr>
          <w:noProof/>
        </w:rPr>
        <w:t>iększość zainteresowanych stron uznała, że platforma ODR jest nieskuteczna oraz, że konieczne jest zapewnienie przyjaznych dla użytkownika narzędzi służących lepszemu informowaniu konsumentów</w:t>
      </w:r>
      <w:r w:rsidR="00BE6F6D" w:rsidRPr="009A4A22">
        <w:rPr>
          <w:noProof/>
        </w:rPr>
        <w:t xml:space="preserve"> o</w:t>
      </w:r>
      <w:r w:rsidR="00BE6F6D">
        <w:rPr>
          <w:noProof/>
        </w:rPr>
        <w:t> </w:t>
      </w:r>
      <w:r w:rsidR="00BE6F6D" w:rsidRPr="009A4A22">
        <w:rPr>
          <w:noProof/>
        </w:rPr>
        <w:t>moż</w:t>
      </w:r>
      <w:r w:rsidRPr="009A4A22">
        <w:rPr>
          <w:noProof/>
        </w:rPr>
        <w:t>liwościach dochodzenia roszczeń</w:t>
      </w:r>
      <w:r w:rsidR="00BE6F6D" w:rsidRPr="009A4A22">
        <w:rPr>
          <w:noProof/>
        </w:rPr>
        <w:t xml:space="preserve"> i</w:t>
      </w:r>
      <w:r w:rsidR="00BE6F6D">
        <w:rPr>
          <w:noProof/>
        </w:rPr>
        <w:t> </w:t>
      </w:r>
      <w:r w:rsidR="00BE6F6D" w:rsidRPr="009A4A22">
        <w:rPr>
          <w:noProof/>
        </w:rPr>
        <w:t>o</w:t>
      </w:r>
      <w:r w:rsidR="00BE6F6D">
        <w:rPr>
          <w:noProof/>
        </w:rPr>
        <w:t> </w:t>
      </w:r>
      <w:r w:rsidR="00BE6F6D" w:rsidRPr="009A4A22">
        <w:rPr>
          <w:noProof/>
        </w:rPr>
        <w:t>pod</w:t>
      </w:r>
      <w:r w:rsidRPr="009A4A22">
        <w:rPr>
          <w:noProof/>
        </w:rPr>
        <w:t xml:space="preserve">miotach ADR, ze wsparcia których mogą skorzystać. </w:t>
      </w:r>
    </w:p>
    <w:p w14:paraId="67D920C2" w14:textId="2BC0271E" w:rsidR="00E1370F" w:rsidRPr="009A4A22" w:rsidRDefault="00E1370F" w:rsidP="00310D36">
      <w:pPr>
        <w:spacing w:after="240"/>
        <w:rPr>
          <w:rFonts w:eastAsiaTheme="minorEastAsia"/>
          <w:noProof/>
        </w:rPr>
      </w:pPr>
      <w:r w:rsidRPr="009A4A22">
        <w:rPr>
          <w:noProof/>
        </w:rPr>
        <w:t>Zainteresowane strony podkreśliły również, że Europejskie Centra Konsumenckie odgrywają bardzo ważną rolę we wspieraniu konsumentów</w:t>
      </w:r>
      <w:r w:rsidR="00BE6F6D" w:rsidRPr="009A4A22">
        <w:rPr>
          <w:noProof/>
        </w:rPr>
        <w:t xml:space="preserve"> w</w:t>
      </w:r>
      <w:r w:rsidR="00BE6F6D">
        <w:rPr>
          <w:noProof/>
        </w:rPr>
        <w:t> </w:t>
      </w:r>
      <w:r w:rsidR="00BE6F6D" w:rsidRPr="009A4A22">
        <w:rPr>
          <w:noProof/>
        </w:rPr>
        <w:t>prz</w:t>
      </w:r>
      <w:r w:rsidRPr="009A4A22">
        <w:rPr>
          <w:noProof/>
        </w:rPr>
        <w:t>ypadku problemów związanych</w:t>
      </w:r>
      <w:r w:rsidR="00BE6F6D" w:rsidRPr="009A4A22">
        <w:rPr>
          <w:noProof/>
        </w:rPr>
        <w:t xml:space="preserve"> z</w:t>
      </w:r>
      <w:r w:rsidR="00BE6F6D">
        <w:rPr>
          <w:noProof/>
        </w:rPr>
        <w:t> </w:t>
      </w:r>
      <w:r w:rsidR="00BE6F6D" w:rsidRPr="009A4A22">
        <w:rPr>
          <w:noProof/>
        </w:rPr>
        <w:t>zak</w:t>
      </w:r>
      <w:r w:rsidRPr="009A4A22">
        <w:rPr>
          <w:noProof/>
        </w:rPr>
        <w:t>upami transgranicznymi. Przykładowo, nieformalne posiedzenie ministrów na temat spraw konsumenckich, zorganizowane przez czeską prezydencję Rady we wrześniu 20</w:t>
      </w:r>
      <w:r w:rsidRPr="00BE6F6D">
        <w:rPr>
          <w:noProof/>
        </w:rPr>
        <w:t>22</w:t>
      </w:r>
      <w:r w:rsidR="00BE6F6D" w:rsidRPr="00BE6F6D">
        <w:rPr>
          <w:noProof/>
        </w:rPr>
        <w:t> </w:t>
      </w:r>
      <w:r w:rsidRPr="00BE6F6D">
        <w:rPr>
          <w:noProof/>
        </w:rPr>
        <w:t>r.</w:t>
      </w:r>
      <w:r w:rsidRPr="009A4A22">
        <w:rPr>
          <w:noProof/>
        </w:rPr>
        <w:t>, potwierdziło, że wszystkie państwa członkowskie są zadowolone</w:t>
      </w:r>
      <w:r w:rsidR="00BE6F6D" w:rsidRPr="009A4A22">
        <w:rPr>
          <w:noProof/>
        </w:rPr>
        <w:t xml:space="preserve"> z</w:t>
      </w:r>
      <w:r w:rsidR="00BE6F6D">
        <w:rPr>
          <w:noProof/>
        </w:rPr>
        <w:t> </w:t>
      </w:r>
      <w:r w:rsidR="00BE6F6D" w:rsidRPr="009A4A22">
        <w:rPr>
          <w:noProof/>
        </w:rPr>
        <w:t>pom</w:t>
      </w:r>
      <w:r w:rsidRPr="009A4A22">
        <w:rPr>
          <w:noProof/>
        </w:rPr>
        <w:t>ocy udzielanej konsumentom przez sieć ECC-Net</w:t>
      </w:r>
      <w:r w:rsidR="00BE6F6D" w:rsidRPr="009A4A22">
        <w:rPr>
          <w:noProof/>
        </w:rPr>
        <w:t xml:space="preserve"> w</w:t>
      </w:r>
      <w:r w:rsidR="00BE6F6D">
        <w:rPr>
          <w:noProof/>
        </w:rPr>
        <w:t> </w:t>
      </w:r>
      <w:r w:rsidR="00BE6F6D" w:rsidRPr="009A4A22">
        <w:rPr>
          <w:noProof/>
        </w:rPr>
        <w:t>spo</w:t>
      </w:r>
      <w:r w:rsidRPr="009A4A22">
        <w:rPr>
          <w:noProof/>
        </w:rPr>
        <w:t>rach transgranicznych</w:t>
      </w:r>
      <w:r w:rsidR="00BE6F6D" w:rsidRPr="009A4A22">
        <w:rPr>
          <w:noProof/>
        </w:rPr>
        <w:t xml:space="preserve"> i</w:t>
      </w:r>
      <w:r w:rsidR="00BE6F6D">
        <w:rPr>
          <w:noProof/>
        </w:rPr>
        <w:t> </w:t>
      </w:r>
      <w:r w:rsidR="00BE6F6D" w:rsidRPr="009A4A22">
        <w:rPr>
          <w:noProof/>
        </w:rPr>
        <w:t>opo</w:t>
      </w:r>
      <w:r w:rsidRPr="009A4A22">
        <w:rPr>
          <w:noProof/>
        </w:rPr>
        <w:t>wiadają się za wzmocnieniem jej roli</w:t>
      </w:r>
      <w:r w:rsidR="00BE6F6D" w:rsidRPr="009A4A22">
        <w:rPr>
          <w:noProof/>
        </w:rPr>
        <w:t xml:space="preserve"> w</w:t>
      </w:r>
      <w:r w:rsidR="00BE6F6D">
        <w:rPr>
          <w:noProof/>
        </w:rPr>
        <w:t> </w:t>
      </w:r>
      <w:r w:rsidR="00BE6F6D" w:rsidRPr="009A4A22">
        <w:rPr>
          <w:noProof/>
        </w:rPr>
        <w:t>prz</w:t>
      </w:r>
      <w:r w:rsidRPr="009A4A22">
        <w:rPr>
          <w:noProof/>
        </w:rPr>
        <w:t xml:space="preserve">yszłości. </w:t>
      </w:r>
    </w:p>
    <w:p w14:paraId="0FCAAA97" w14:textId="029EDE3E" w:rsidR="00D36A0B" w:rsidRPr="009A4A22" w:rsidRDefault="00E1370F" w:rsidP="00310D36">
      <w:pPr>
        <w:spacing w:after="240"/>
        <w:rPr>
          <w:noProof/>
        </w:rPr>
      </w:pPr>
      <w:r w:rsidRPr="009A4A22">
        <w:rPr>
          <w:noProof/>
        </w:rPr>
        <w:t>Uczestnicy zgromadzenia ADR</w:t>
      </w:r>
      <w:r w:rsidR="00BE6F6D" w:rsidRPr="009A4A22">
        <w:rPr>
          <w:noProof/>
        </w:rPr>
        <w:t xml:space="preserve"> w</w:t>
      </w:r>
      <w:r w:rsidR="00BE6F6D">
        <w:rPr>
          <w:noProof/>
        </w:rPr>
        <w:t> </w:t>
      </w:r>
      <w:r w:rsidR="00BE6F6D" w:rsidRPr="009A4A22">
        <w:rPr>
          <w:noProof/>
        </w:rPr>
        <w:t>2</w:t>
      </w:r>
      <w:r w:rsidRPr="009A4A22">
        <w:rPr>
          <w:noProof/>
        </w:rPr>
        <w:t>0</w:t>
      </w:r>
      <w:r w:rsidRPr="00BE6F6D">
        <w:rPr>
          <w:noProof/>
        </w:rPr>
        <w:t>21</w:t>
      </w:r>
      <w:r w:rsidR="00BE6F6D" w:rsidRPr="00BE6F6D">
        <w:rPr>
          <w:noProof/>
        </w:rPr>
        <w:t> </w:t>
      </w:r>
      <w:r w:rsidRPr="00BE6F6D">
        <w:rPr>
          <w:noProof/>
        </w:rPr>
        <w:t>r.</w:t>
      </w:r>
      <w:r w:rsidRPr="009A4A22">
        <w:rPr>
          <w:noProof/>
        </w:rPr>
        <w:t xml:space="preserve"> podkreślili znaczenie ograniczenia obowiązków sprawozdawczych podmiotów ADR</w:t>
      </w:r>
      <w:r w:rsidR="00BE6F6D" w:rsidRPr="009A4A22">
        <w:rPr>
          <w:noProof/>
        </w:rPr>
        <w:t xml:space="preserve"> w</w:t>
      </w:r>
      <w:r w:rsidR="00BE6F6D">
        <w:rPr>
          <w:noProof/>
        </w:rPr>
        <w:t> </w:t>
      </w:r>
      <w:r w:rsidR="00BE6F6D" w:rsidRPr="009A4A22">
        <w:rPr>
          <w:noProof/>
        </w:rPr>
        <w:t>cel</w:t>
      </w:r>
      <w:r w:rsidRPr="009A4A22">
        <w:rPr>
          <w:noProof/>
        </w:rPr>
        <w:t xml:space="preserve">u uwolnienia zasobów, które mogłyby zostać wykorzystane do rozszerzenia zasięgu ich działania. </w:t>
      </w:r>
    </w:p>
    <w:p w14:paraId="6CFF1CD9" w14:textId="77777777" w:rsidR="00041A99" w:rsidRPr="009A4A22" w:rsidRDefault="00041A99" w:rsidP="00310D36">
      <w:pPr>
        <w:spacing w:after="240"/>
        <w:rPr>
          <w:b/>
          <w:noProof/>
        </w:rPr>
      </w:pPr>
    </w:p>
    <w:p w14:paraId="1202A14D" w14:textId="051FF814" w:rsidR="00B1743F" w:rsidRPr="009A4A22" w:rsidRDefault="00B1743F" w:rsidP="00A4693B">
      <w:pPr>
        <w:pStyle w:val="ManualHeading2"/>
        <w:rPr>
          <w:rFonts w:eastAsia="Arial Unicode MS"/>
          <w:noProof/>
          <w:u w:color="000000"/>
          <w:bdr w:val="nil"/>
        </w:rPr>
      </w:pPr>
      <w:r w:rsidRPr="009A4A22">
        <w:rPr>
          <w:noProof/>
          <w:u w:color="000000"/>
          <w:bdr w:val="nil"/>
        </w:rPr>
        <w:t>Gromadzenie</w:t>
      </w:r>
      <w:r w:rsidR="00BE6F6D" w:rsidRPr="009A4A22">
        <w:rPr>
          <w:noProof/>
          <w:u w:color="000000"/>
          <w:bdr w:val="nil"/>
        </w:rPr>
        <w:t xml:space="preserve"> i</w:t>
      </w:r>
      <w:r w:rsidR="00BE6F6D">
        <w:rPr>
          <w:noProof/>
          <w:u w:color="000000"/>
          <w:bdr w:val="nil"/>
        </w:rPr>
        <w:t> </w:t>
      </w:r>
      <w:r w:rsidR="00BE6F6D" w:rsidRPr="009A4A22">
        <w:rPr>
          <w:noProof/>
          <w:u w:color="000000"/>
          <w:bdr w:val="nil"/>
        </w:rPr>
        <w:t>wyk</w:t>
      </w:r>
      <w:r w:rsidRPr="009A4A22">
        <w:rPr>
          <w:noProof/>
          <w:u w:color="000000"/>
          <w:bdr w:val="nil"/>
        </w:rPr>
        <w:t>orzystanie wiedzy eksperckiej</w:t>
      </w:r>
    </w:p>
    <w:p w14:paraId="09F2D32E" w14:textId="77777777" w:rsidR="00D36A0B" w:rsidRPr="009A4A22" w:rsidRDefault="00D36A0B" w:rsidP="00310D36">
      <w:pPr>
        <w:spacing w:after="240"/>
        <w:rPr>
          <w:rFonts w:eastAsiaTheme="minorEastAsia"/>
          <w:noProof/>
        </w:rPr>
      </w:pPr>
      <w:r w:rsidRPr="009A4A22">
        <w:rPr>
          <w:noProof/>
        </w:rPr>
        <w:t>Komisja zleciła wykonawcom zewnętrznym trzy badania na temat ADR:</w:t>
      </w:r>
    </w:p>
    <w:p w14:paraId="439C34C6" w14:textId="049088C4" w:rsidR="00D36A0B" w:rsidRPr="009A4A22" w:rsidRDefault="00BE6F6D" w:rsidP="00BE6F6D">
      <w:pPr>
        <w:pStyle w:val="Point0"/>
        <w:rPr>
          <w:noProof/>
        </w:rPr>
      </w:pPr>
      <w:r>
        <w:rPr>
          <w:noProof/>
        </w:rPr>
        <w:t>1)</w:t>
      </w:r>
      <w:r>
        <w:rPr>
          <w:noProof/>
        </w:rPr>
        <w:tab/>
      </w:r>
      <w:r w:rsidR="00D36A0B" w:rsidRPr="009A4A22">
        <w:rPr>
          <w:noProof/>
        </w:rPr>
        <w:t>Badanie dotyczące gromadzenia danych, polegające na przeanalizowaniu informacji otrzymanych</w:t>
      </w:r>
      <w:r w:rsidRPr="009A4A22">
        <w:rPr>
          <w:noProof/>
        </w:rPr>
        <w:t xml:space="preserve"> w</w:t>
      </w:r>
      <w:r>
        <w:rPr>
          <w:noProof/>
        </w:rPr>
        <w:t> </w:t>
      </w:r>
      <w:r w:rsidRPr="009A4A22">
        <w:rPr>
          <w:noProof/>
        </w:rPr>
        <w:t>ram</w:t>
      </w:r>
      <w:r w:rsidR="00D36A0B" w:rsidRPr="009A4A22">
        <w:rPr>
          <w:noProof/>
        </w:rPr>
        <w:t>ach retrospektywnych konsultacji publicznych, krajowych sprawozdań dotyczących ADR przedłożonych Komisji przez wszystkie państwa członkowskie UE, Norwegię</w:t>
      </w:r>
      <w:r w:rsidRPr="009A4A22">
        <w:rPr>
          <w:noProof/>
        </w:rPr>
        <w:t xml:space="preserve"> i</w:t>
      </w:r>
      <w:r>
        <w:rPr>
          <w:noProof/>
        </w:rPr>
        <w:t> </w:t>
      </w:r>
      <w:r w:rsidRPr="009A4A22">
        <w:rPr>
          <w:noProof/>
        </w:rPr>
        <w:t>Isl</w:t>
      </w:r>
      <w:r w:rsidR="00D36A0B" w:rsidRPr="009A4A22">
        <w:rPr>
          <w:noProof/>
        </w:rPr>
        <w:t>andię oraz 5 studiów przypadku, które opierały się na badaniach źródeł wtórnych</w:t>
      </w:r>
      <w:r w:rsidRPr="009A4A22">
        <w:rPr>
          <w:noProof/>
        </w:rPr>
        <w:t xml:space="preserve"> i</w:t>
      </w:r>
      <w:r>
        <w:rPr>
          <w:noProof/>
        </w:rPr>
        <w:t> </w:t>
      </w:r>
      <w:r w:rsidRPr="009A4A22">
        <w:rPr>
          <w:noProof/>
        </w:rPr>
        <w:t>wyw</w:t>
      </w:r>
      <w:r w:rsidR="00D36A0B" w:rsidRPr="009A4A22">
        <w:rPr>
          <w:noProof/>
        </w:rPr>
        <w:t>iadach</w:t>
      </w:r>
      <w:r w:rsidRPr="009A4A22">
        <w:rPr>
          <w:noProof/>
        </w:rPr>
        <w:t xml:space="preserve"> w</w:t>
      </w:r>
      <w:r>
        <w:rPr>
          <w:noProof/>
        </w:rPr>
        <w:t> </w:t>
      </w:r>
      <w:r w:rsidRPr="009A4A22">
        <w:rPr>
          <w:noProof/>
        </w:rPr>
        <w:t>róż</w:t>
      </w:r>
      <w:r w:rsidR="00D36A0B" w:rsidRPr="009A4A22">
        <w:rPr>
          <w:noProof/>
        </w:rPr>
        <w:t xml:space="preserve">nych sektorach (handel elektroniczny, podróże, finanse, sztuczna inteligencja w ADR oraz akredytacja podmiotów ADR). </w:t>
      </w:r>
    </w:p>
    <w:p w14:paraId="5AA15816" w14:textId="75AA9F77" w:rsidR="00D36A0B" w:rsidRPr="009A4A22" w:rsidRDefault="00BE6F6D" w:rsidP="00BE6F6D">
      <w:pPr>
        <w:pStyle w:val="Point0"/>
        <w:rPr>
          <w:noProof/>
        </w:rPr>
      </w:pPr>
      <w:r>
        <w:rPr>
          <w:noProof/>
        </w:rPr>
        <w:t>2)</w:t>
      </w:r>
      <w:r>
        <w:rPr>
          <w:noProof/>
        </w:rPr>
        <w:tab/>
      </w:r>
      <w:r w:rsidR="00D36A0B" w:rsidRPr="009A4A22">
        <w:rPr>
          <w:noProof/>
        </w:rPr>
        <w:t>Badanie behawioralne ADR dotyczące tego, jak zachęcić konsumentów do korzystania z ADR</w:t>
      </w:r>
      <w:r w:rsidRPr="009A4A22">
        <w:rPr>
          <w:noProof/>
        </w:rPr>
        <w:t xml:space="preserve"> i</w:t>
      </w:r>
      <w:r>
        <w:rPr>
          <w:noProof/>
        </w:rPr>
        <w:t> </w:t>
      </w:r>
      <w:r w:rsidRPr="009A4A22">
        <w:rPr>
          <w:noProof/>
        </w:rPr>
        <w:t>w</w:t>
      </w:r>
      <w:r>
        <w:rPr>
          <w:noProof/>
        </w:rPr>
        <w:t> </w:t>
      </w:r>
      <w:r w:rsidRPr="009A4A22">
        <w:rPr>
          <w:noProof/>
        </w:rPr>
        <w:t>jak</w:t>
      </w:r>
      <w:r w:rsidR="00D36A0B" w:rsidRPr="009A4A22">
        <w:rPr>
          <w:noProof/>
        </w:rPr>
        <w:t>i sposób bot prawny oparty na sztucznej inteligencji mógłby pomóc konsumentom lepiej zrozumieć proces dochodzenia roszczeń</w:t>
      </w:r>
      <w:r w:rsidRPr="009A4A22">
        <w:rPr>
          <w:noProof/>
        </w:rPr>
        <w:t xml:space="preserve"> i</w:t>
      </w:r>
      <w:r>
        <w:rPr>
          <w:noProof/>
        </w:rPr>
        <w:t> </w:t>
      </w:r>
      <w:r w:rsidRPr="009A4A22">
        <w:rPr>
          <w:noProof/>
        </w:rPr>
        <w:t>wys</w:t>
      </w:r>
      <w:r w:rsidR="00D36A0B" w:rsidRPr="009A4A22">
        <w:rPr>
          <w:noProof/>
        </w:rPr>
        <w:t>zukać właściwy podmiot ADR.</w:t>
      </w:r>
    </w:p>
    <w:p w14:paraId="7ABD1AC2" w14:textId="7398700B" w:rsidR="00D36A0B" w:rsidRPr="009A4A22" w:rsidRDefault="00BE6F6D" w:rsidP="00BE6F6D">
      <w:pPr>
        <w:pStyle w:val="Point0"/>
        <w:rPr>
          <w:noProof/>
        </w:rPr>
      </w:pPr>
      <w:r>
        <w:rPr>
          <w:noProof/>
        </w:rPr>
        <w:t>3)</w:t>
      </w:r>
      <w:r>
        <w:rPr>
          <w:noProof/>
        </w:rPr>
        <w:tab/>
      </w:r>
      <w:r w:rsidR="00D36A0B" w:rsidRPr="009A4A22">
        <w:rPr>
          <w:noProof/>
        </w:rPr>
        <w:t>Badanie prawne,</w:t>
      </w:r>
      <w:r w:rsidRPr="009A4A22">
        <w:rPr>
          <w:noProof/>
        </w:rPr>
        <w:t xml:space="preserve"> w</w:t>
      </w:r>
      <w:r>
        <w:rPr>
          <w:noProof/>
        </w:rPr>
        <w:t> </w:t>
      </w:r>
      <w:r w:rsidRPr="009A4A22">
        <w:rPr>
          <w:noProof/>
        </w:rPr>
        <w:t>któ</w:t>
      </w:r>
      <w:r w:rsidR="00D36A0B" w:rsidRPr="009A4A22">
        <w:rPr>
          <w:noProof/>
        </w:rPr>
        <w:t>rym przeanalizowano literaturę naukową na temat ADR/ODR</w:t>
      </w:r>
      <w:r w:rsidRPr="009A4A22">
        <w:rPr>
          <w:noProof/>
        </w:rPr>
        <w:t xml:space="preserve"> w</w:t>
      </w:r>
      <w:r>
        <w:rPr>
          <w:noProof/>
        </w:rPr>
        <w:t> </w:t>
      </w:r>
      <w:r w:rsidRPr="009A4A22">
        <w:rPr>
          <w:noProof/>
        </w:rPr>
        <w:t>czt</w:t>
      </w:r>
      <w:r w:rsidR="00D36A0B" w:rsidRPr="009A4A22">
        <w:rPr>
          <w:noProof/>
        </w:rPr>
        <w:t xml:space="preserve">erech państwach członkowskich UE. </w:t>
      </w:r>
    </w:p>
    <w:p w14:paraId="43B86B5A" w14:textId="77777777" w:rsidR="00D36A0B" w:rsidRPr="009A4A22" w:rsidRDefault="00D36A0B" w:rsidP="00B35BE9">
      <w:pPr>
        <w:pBdr>
          <w:top w:val="nil"/>
          <w:left w:val="nil"/>
          <w:bottom w:val="nil"/>
          <w:right w:val="nil"/>
          <w:between w:val="nil"/>
          <w:bar w:val="nil"/>
        </w:pBdr>
        <w:rPr>
          <w:rFonts w:eastAsia="Calibri"/>
          <w:noProof/>
          <w:szCs w:val="24"/>
        </w:rPr>
      </w:pPr>
      <w:r w:rsidRPr="009A4A22">
        <w:rPr>
          <w:noProof/>
        </w:rPr>
        <w:t>Wszystkie badania zostaną opublikowane na stronie internetowej Komisji poświęconej ADR:</w:t>
      </w:r>
      <w:r w:rsidRPr="009A4A22">
        <w:rPr>
          <w:noProof/>
        </w:rPr>
        <w:tab/>
        <w:t xml:space="preserve"> </w:t>
      </w:r>
      <w:hyperlink r:id="rId10" w:history="1">
        <w:r w:rsidRPr="009A4A22">
          <w:rPr>
            <w:noProof/>
          </w:rPr>
          <w:t>https://commission.europa.eu/live-work-travel-eu/consumer-rights-and-complaints/resolve-your-consumer-complaint/alternative-dispute-resolution-consumers_pl</w:t>
        </w:r>
      </w:hyperlink>
      <w:r w:rsidRPr="009A4A22">
        <w:rPr>
          <w:noProof/>
        </w:rPr>
        <w:t xml:space="preserve">  </w:t>
      </w:r>
    </w:p>
    <w:p w14:paraId="14FB44AC" w14:textId="7F390EA9" w:rsidR="00D36A0B" w:rsidRPr="009A4A22" w:rsidRDefault="00D36A0B" w:rsidP="00D36A0B">
      <w:pPr>
        <w:pBdr>
          <w:top w:val="nil"/>
          <w:left w:val="nil"/>
          <w:bottom w:val="nil"/>
          <w:right w:val="nil"/>
          <w:between w:val="nil"/>
          <w:bar w:val="nil"/>
        </w:pBdr>
        <w:rPr>
          <w:rFonts w:eastAsia="Calibri"/>
          <w:noProof/>
          <w:szCs w:val="24"/>
        </w:rPr>
      </w:pPr>
      <w:r w:rsidRPr="009A4A22">
        <w:rPr>
          <w:noProof/>
        </w:rPr>
        <w:t>Proponowane ograniczenie obciążenia sprawozdawczego opracowano na podstawie procesu wewnętrznej kontroli istniejących obowiązków sprawozdawczych</w:t>
      </w:r>
      <w:r w:rsidR="00BE6F6D" w:rsidRPr="009A4A22">
        <w:rPr>
          <w:noProof/>
        </w:rPr>
        <w:t xml:space="preserve"> i</w:t>
      </w:r>
      <w:r w:rsidR="00BE6F6D">
        <w:rPr>
          <w:noProof/>
        </w:rPr>
        <w:t> </w:t>
      </w:r>
      <w:r w:rsidR="00BE6F6D" w:rsidRPr="009A4A22">
        <w:rPr>
          <w:noProof/>
        </w:rPr>
        <w:t>w</w:t>
      </w:r>
      <w:r w:rsidR="00BE6F6D">
        <w:rPr>
          <w:noProof/>
        </w:rPr>
        <w:t> </w:t>
      </w:r>
      <w:r w:rsidR="00BE6F6D" w:rsidRPr="009A4A22">
        <w:rPr>
          <w:noProof/>
        </w:rPr>
        <w:t>opa</w:t>
      </w:r>
      <w:r w:rsidRPr="009A4A22">
        <w:rPr>
          <w:noProof/>
        </w:rPr>
        <w:t>rciu</w:t>
      </w:r>
      <w:r w:rsidR="00BE6F6D" w:rsidRPr="009A4A22">
        <w:rPr>
          <w:noProof/>
        </w:rPr>
        <w:t xml:space="preserve"> o</w:t>
      </w:r>
      <w:r w:rsidR="00BE6F6D">
        <w:rPr>
          <w:noProof/>
        </w:rPr>
        <w:t> </w:t>
      </w:r>
      <w:r w:rsidR="00BE6F6D" w:rsidRPr="009A4A22">
        <w:rPr>
          <w:noProof/>
        </w:rPr>
        <w:t>doś</w:t>
      </w:r>
      <w:r w:rsidRPr="009A4A22">
        <w:rPr>
          <w:noProof/>
        </w:rPr>
        <w:t>wiadczenia</w:t>
      </w:r>
      <w:r w:rsidR="00BE6F6D" w:rsidRPr="009A4A22">
        <w:rPr>
          <w:noProof/>
        </w:rPr>
        <w:t xml:space="preserve"> z</w:t>
      </w:r>
      <w:r w:rsidR="00BE6F6D">
        <w:rPr>
          <w:noProof/>
        </w:rPr>
        <w:t> </w:t>
      </w:r>
      <w:r w:rsidR="00BE6F6D" w:rsidRPr="009A4A22">
        <w:rPr>
          <w:noProof/>
        </w:rPr>
        <w:t>wdr</w:t>
      </w:r>
      <w:r w:rsidRPr="009A4A22">
        <w:rPr>
          <w:noProof/>
        </w:rPr>
        <w:t>ażania odnośnych przepisów. Ponieważ jest to jeden</w:t>
      </w:r>
      <w:r w:rsidR="00BE6F6D" w:rsidRPr="009A4A22">
        <w:rPr>
          <w:noProof/>
        </w:rPr>
        <w:t xml:space="preserve"> z</w:t>
      </w:r>
      <w:r w:rsidR="00BE6F6D">
        <w:rPr>
          <w:noProof/>
        </w:rPr>
        <w:t> </w:t>
      </w:r>
      <w:r w:rsidR="00BE6F6D" w:rsidRPr="009A4A22">
        <w:rPr>
          <w:noProof/>
        </w:rPr>
        <w:t>ele</w:t>
      </w:r>
      <w:r w:rsidRPr="009A4A22">
        <w:rPr>
          <w:noProof/>
        </w:rPr>
        <w:t>mentów procesu ciągłej oceny wymogów</w:t>
      </w:r>
      <w:r w:rsidR="00BE6F6D" w:rsidRPr="009A4A22">
        <w:rPr>
          <w:noProof/>
        </w:rPr>
        <w:t xml:space="preserve"> w</w:t>
      </w:r>
      <w:r w:rsidR="00BE6F6D">
        <w:rPr>
          <w:noProof/>
        </w:rPr>
        <w:t> </w:t>
      </w:r>
      <w:r w:rsidR="00BE6F6D" w:rsidRPr="009A4A22">
        <w:rPr>
          <w:noProof/>
        </w:rPr>
        <w:t>zak</w:t>
      </w:r>
      <w:r w:rsidRPr="009A4A22">
        <w:rPr>
          <w:noProof/>
        </w:rPr>
        <w:t>resie sprawozdawczości wynikających</w:t>
      </w:r>
      <w:r w:rsidR="00BE6F6D" w:rsidRPr="009A4A22">
        <w:rPr>
          <w:noProof/>
        </w:rPr>
        <w:t xml:space="preserve"> z</w:t>
      </w:r>
      <w:r w:rsidR="00BE6F6D">
        <w:rPr>
          <w:noProof/>
        </w:rPr>
        <w:t> </w:t>
      </w:r>
      <w:r w:rsidR="00BE6F6D" w:rsidRPr="009A4A22">
        <w:rPr>
          <w:noProof/>
        </w:rPr>
        <w:t>pra</w:t>
      </w:r>
      <w:r w:rsidRPr="009A4A22">
        <w:rPr>
          <w:noProof/>
        </w:rPr>
        <w:t>wodawstwa UE, kontrola takiego obciążenia</w:t>
      </w:r>
      <w:r w:rsidR="00BE6F6D" w:rsidRPr="009A4A22">
        <w:rPr>
          <w:noProof/>
        </w:rPr>
        <w:t xml:space="preserve"> i</w:t>
      </w:r>
      <w:r w:rsidR="00BE6F6D">
        <w:rPr>
          <w:noProof/>
        </w:rPr>
        <w:t> </w:t>
      </w:r>
      <w:r w:rsidR="00BE6F6D" w:rsidRPr="009A4A22">
        <w:rPr>
          <w:noProof/>
        </w:rPr>
        <w:t>jeg</w:t>
      </w:r>
      <w:r w:rsidRPr="009A4A22">
        <w:rPr>
          <w:noProof/>
        </w:rPr>
        <w:t>o wpływu na zainteresowane strony będzie kontynuowana.</w:t>
      </w:r>
    </w:p>
    <w:p w14:paraId="06864052" w14:textId="77777777" w:rsidR="00041A99" w:rsidRPr="009A4A22" w:rsidRDefault="00041A99" w:rsidP="00D36A0B">
      <w:pPr>
        <w:pBdr>
          <w:top w:val="nil"/>
          <w:left w:val="nil"/>
          <w:bottom w:val="nil"/>
          <w:right w:val="nil"/>
          <w:between w:val="nil"/>
          <w:bar w:val="nil"/>
        </w:pBdr>
        <w:rPr>
          <w:rFonts w:eastAsia="Calibri"/>
          <w:noProof/>
          <w:szCs w:val="24"/>
        </w:rPr>
      </w:pPr>
    </w:p>
    <w:p w14:paraId="675E485A" w14:textId="77777777" w:rsidR="00B1743F" w:rsidRPr="009A4A22" w:rsidRDefault="00B1743F" w:rsidP="00A4693B">
      <w:pPr>
        <w:pStyle w:val="ManualHeading2"/>
        <w:rPr>
          <w:rFonts w:eastAsia="Arial Unicode MS"/>
          <w:noProof/>
          <w:u w:color="000000"/>
          <w:bdr w:val="nil"/>
        </w:rPr>
      </w:pPr>
      <w:r w:rsidRPr="009A4A22">
        <w:rPr>
          <w:noProof/>
          <w:u w:color="000000"/>
          <w:bdr w:val="nil"/>
        </w:rPr>
        <w:t>Ocena skutków</w:t>
      </w:r>
    </w:p>
    <w:p w14:paraId="270A983D" w14:textId="77777777" w:rsidR="00D36A0B" w:rsidRPr="009A4A22" w:rsidRDefault="00D36A0B" w:rsidP="00FB0CD7">
      <w:pPr>
        <w:rPr>
          <w:noProof/>
        </w:rPr>
      </w:pPr>
      <w:r w:rsidRPr="009A4A22">
        <w:rPr>
          <w:noProof/>
        </w:rPr>
        <w:t xml:space="preserve">W ramach oceny skutków przeanalizowano 4 różne warianty. Preferowane rozwiązanie polegało na rozszerzeniu przedmiotowego zakresu dyrektywy, uproszczeniu transgranicznego stosowania ADR oraz wprowadzeniu obowiązku udzielania odpowiedzi przez przedsiębiorców. </w:t>
      </w:r>
    </w:p>
    <w:p w14:paraId="5C7F1315" w14:textId="4F3149A3" w:rsidR="007F53B1" w:rsidRPr="009A4A22" w:rsidRDefault="00D36A0B" w:rsidP="00FB0CD7">
      <w:pPr>
        <w:rPr>
          <w:noProof/>
        </w:rPr>
      </w:pPr>
      <w:r w:rsidRPr="009A4A22">
        <w:rPr>
          <w:noProof/>
        </w:rPr>
        <w:t>Wariant ten doprowadziłby do wzrostu liczby potencjalnych sporów ADR</w:t>
      </w:r>
      <w:r w:rsidR="00BE6F6D" w:rsidRPr="009A4A22">
        <w:rPr>
          <w:noProof/>
        </w:rPr>
        <w:t xml:space="preserve"> o</w:t>
      </w:r>
      <w:r w:rsidR="00BE6F6D">
        <w:rPr>
          <w:noProof/>
        </w:rPr>
        <w:t> </w:t>
      </w:r>
      <w:r w:rsidR="00BE6F6D" w:rsidRPr="009A4A22">
        <w:rPr>
          <w:noProof/>
        </w:rPr>
        <w:t>oko</w:t>
      </w:r>
      <w:r w:rsidRPr="009A4A22">
        <w:rPr>
          <w:noProof/>
        </w:rPr>
        <w:t>ło 4,5 %, co byłoby bezpośrednią konsekwencją rozszerzenia zakresu przedmiotowego dyrektywy na spory konsumenckie wykraczające poza wąsko zdefiniowane kwestie umowne, ponieważ</w:t>
      </w:r>
      <w:r w:rsidR="00BE6F6D" w:rsidRPr="009A4A22">
        <w:rPr>
          <w:noProof/>
        </w:rPr>
        <w:t xml:space="preserve"> w</w:t>
      </w:r>
      <w:r w:rsidR="00BE6F6D">
        <w:rPr>
          <w:noProof/>
        </w:rPr>
        <w:t> </w:t>
      </w:r>
      <w:r w:rsidR="00BE6F6D" w:rsidRPr="009A4A22">
        <w:rPr>
          <w:noProof/>
        </w:rPr>
        <w:t>zak</w:t>
      </w:r>
      <w:r w:rsidRPr="009A4A22">
        <w:rPr>
          <w:noProof/>
        </w:rPr>
        <w:t>resie tym znalazłyby się także dodatkowe spory dotyczące praw ustawowych, które nie są wyraźnie wymienione</w:t>
      </w:r>
      <w:r w:rsidR="00BE6F6D" w:rsidRPr="009A4A22">
        <w:rPr>
          <w:noProof/>
        </w:rPr>
        <w:t xml:space="preserve"> w</w:t>
      </w:r>
      <w:r w:rsidR="00BE6F6D">
        <w:rPr>
          <w:noProof/>
        </w:rPr>
        <w:t> </w:t>
      </w:r>
      <w:r w:rsidR="00BE6F6D" w:rsidRPr="009A4A22">
        <w:rPr>
          <w:noProof/>
        </w:rPr>
        <w:t>umo</w:t>
      </w:r>
      <w:r w:rsidRPr="009A4A22">
        <w:rPr>
          <w:noProof/>
        </w:rPr>
        <w:t>wie lub które dotyczą kwestii wynikających</w:t>
      </w:r>
      <w:r w:rsidR="00BE6F6D" w:rsidRPr="009A4A22">
        <w:rPr>
          <w:noProof/>
        </w:rPr>
        <w:t xml:space="preserve"> z</w:t>
      </w:r>
      <w:r w:rsidR="00BE6F6D">
        <w:rPr>
          <w:noProof/>
        </w:rPr>
        <w:t> </w:t>
      </w:r>
      <w:r w:rsidR="00BE6F6D" w:rsidRPr="009A4A22">
        <w:rPr>
          <w:noProof/>
        </w:rPr>
        <w:t>pra</w:t>
      </w:r>
      <w:r w:rsidRPr="009A4A22">
        <w:rPr>
          <w:noProof/>
        </w:rPr>
        <w:t>w konsumentów, takich jak zmiana dostawcy usług, przypadki dyskryminacji, przejrzystość cen</w:t>
      </w:r>
      <w:r w:rsidR="00BE6F6D" w:rsidRPr="009A4A22">
        <w:rPr>
          <w:noProof/>
        </w:rPr>
        <w:t xml:space="preserve"> i</w:t>
      </w:r>
      <w:r w:rsidR="00BE6F6D">
        <w:rPr>
          <w:noProof/>
        </w:rPr>
        <w:t> </w:t>
      </w:r>
      <w:r w:rsidR="00BE6F6D" w:rsidRPr="009A4A22">
        <w:rPr>
          <w:noProof/>
        </w:rPr>
        <w:t>inf</w:t>
      </w:r>
      <w:r w:rsidRPr="009A4A22">
        <w:rPr>
          <w:noProof/>
        </w:rPr>
        <w:t>ormacje udzielane przed zawarciem umowy lub możliwość przenoszenia treści. Jak wynika</w:t>
      </w:r>
      <w:r w:rsidR="00BE6F6D" w:rsidRPr="009A4A22">
        <w:rPr>
          <w:noProof/>
        </w:rPr>
        <w:t xml:space="preserve"> z</w:t>
      </w:r>
      <w:r w:rsidR="00BE6F6D">
        <w:rPr>
          <w:noProof/>
        </w:rPr>
        <w:t> </w:t>
      </w:r>
      <w:r w:rsidR="00BE6F6D" w:rsidRPr="009A4A22">
        <w:rPr>
          <w:noProof/>
        </w:rPr>
        <w:t>def</w:t>
      </w:r>
      <w:r w:rsidRPr="009A4A22">
        <w:rPr>
          <w:noProof/>
        </w:rPr>
        <w:t>inicji problemu przedstawionej</w:t>
      </w:r>
      <w:r w:rsidR="00BE6F6D" w:rsidRPr="009A4A22">
        <w:rPr>
          <w:noProof/>
        </w:rPr>
        <w:t xml:space="preserve"> w</w:t>
      </w:r>
      <w:r w:rsidR="00BE6F6D">
        <w:rPr>
          <w:noProof/>
        </w:rPr>
        <w:t> </w:t>
      </w:r>
      <w:r w:rsidR="00BE6F6D" w:rsidRPr="009A4A22">
        <w:rPr>
          <w:noProof/>
        </w:rPr>
        <w:t>oce</w:t>
      </w:r>
      <w:r w:rsidRPr="009A4A22">
        <w:rPr>
          <w:noProof/>
        </w:rPr>
        <w:t>nie skutków, obecnie około 2,25 mln konsumentów napotyka problemy, które można by potencjalnie rozwiązać przy pomocy mechanizmów ADR. Ta wysoka liczba nie przekłada się jednak na faktyczne składanie wniosków</w:t>
      </w:r>
      <w:r w:rsidR="00BE6F6D" w:rsidRPr="009A4A22">
        <w:rPr>
          <w:noProof/>
        </w:rPr>
        <w:t xml:space="preserve"> o</w:t>
      </w:r>
      <w:r w:rsidR="00BE6F6D">
        <w:rPr>
          <w:noProof/>
        </w:rPr>
        <w:t> </w:t>
      </w:r>
      <w:r w:rsidR="00BE6F6D" w:rsidRPr="009A4A22">
        <w:rPr>
          <w:noProof/>
        </w:rPr>
        <w:t>pos</w:t>
      </w:r>
      <w:r w:rsidRPr="009A4A22">
        <w:rPr>
          <w:noProof/>
        </w:rPr>
        <w:t>tępowanie ADR, których jest znacznie mniej. Wynika to</w:t>
      </w:r>
      <w:r w:rsidR="00BE6F6D" w:rsidRPr="009A4A22">
        <w:rPr>
          <w:noProof/>
        </w:rPr>
        <w:t xml:space="preserve"> z</w:t>
      </w:r>
      <w:r w:rsidR="00BE6F6D">
        <w:rPr>
          <w:noProof/>
        </w:rPr>
        <w:t> </w:t>
      </w:r>
      <w:r w:rsidR="00BE6F6D" w:rsidRPr="009A4A22">
        <w:rPr>
          <w:noProof/>
        </w:rPr>
        <w:t>róż</w:t>
      </w:r>
      <w:r w:rsidRPr="009A4A22">
        <w:rPr>
          <w:noProof/>
        </w:rPr>
        <w:t>nych przyczyn, takich jak brak wiedzy</w:t>
      </w:r>
      <w:r w:rsidR="00BE6F6D" w:rsidRPr="009A4A22">
        <w:rPr>
          <w:noProof/>
        </w:rPr>
        <w:t xml:space="preserve"> o</w:t>
      </w:r>
      <w:r w:rsidR="00BE6F6D">
        <w:rPr>
          <w:noProof/>
        </w:rPr>
        <w:t> </w:t>
      </w:r>
      <w:r w:rsidR="00BE6F6D" w:rsidRPr="009A4A22">
        <w:rPr>
          <w:noProof/>
        </w:rPr>
        <w:t>ist</w:t>
      </w:r>
      <w:r w:rsidRPr="009A4A22">
        <w:rPr>
          <w:noProof/>
        </w:rPr>
        <w:t>nieniu podmiotów ADR, znaczne opóźnienia, których można się spodziewać itp. Konsumenci ważą wysokość strat</w:t>
      </w:r>
      <w:r w:rsidR="00BE6F6D" w:rsidRPr="009A4A22">
        <w:rPr>
          <w:noProof/>
        </w:rPr>
        <w:t xml:space="preserve"> i</w:t>
      </w:r>
      <w:r w:rsidR="00BE6F6D">
        <w:rPr>
          <w:noProof/>
        </w:rPr>
        <w:t> </w:t>
      </w:r>
      <w:r w:rsidR="00BE6F6D" w:rsidRPr="009A4A22">
        <w:rPr>
          <w:noProof/>
        </w:rPr>
        <w:t>prz</w:t>
      </w:r>
      <w:r w:rsidRPr="009A4A22">
        <w:rPr>
          <w:noProof/>
        </w:rPr>
        <w:t>ewidywane obciążenie, wobec czego podejmują decyzję</w:t>
      </w:r>
      <w:r w:rsidR="00BE6F6D" w:rsidRPr="009A4A22">
        <w:rPr>
          <w:noProof/>
        </w:rPr>
        <w:t xml:space="preserve"> o</w:t>
      </w:r>
      <w:r w:rsidR="00BE6F6D">
        <w:rPr>
          <w:noProof/>
        </w:rPr>
        <w:t> </w:t>
      </w:r>
      <w:r w:rsidR="00BE6F6D" w:rsidRPr="009A4A22">
        <w:rPr>
          <w:noProof/>
        </w:rPr>
        <w:t>zło</w:t>
      </w:r>
      <w:r w:rsidRPr="009A4A22">
        <w:rPr>
          <w:noProof/>
        </w:rPr>
        <w:t>żeniu wniosku</w:t>
      </w:r>
      <w:r w:rsidR="00BE6F6D" w:rsidRPr="009A4A22">
        <w:rPr>
          <w:noProof/>
        </w:rPr>
        <w:t xml:space="preserve"> o</w:t>
      </w:r>
      <w:r w:rsidR="00BE6F6D">
        <w:rPr>
          <w:noProof/>
        </w:rPr>
        <w:t> </w:t>
      </w:r>
      <w:r w:rsidR="00BE6F6D" w:rsidRPr="009A4A22">
        <w:rPr>
          <w:noProof/>
        </w:rPr>
        <w:t>wsz</w:t>
      </w:r>
      <w:r w:rsidRPr="009A4A22">
        <w:rPr>
          <w:noProof/>
        </w:rPr>
        <w:t>częcie postępowania ADR tylko wtedy, gdy kwota będąca przedmiotem roszczenia jest stosunkowo wysoka. Podmioty ADR przeprowadzają testy kwalifikowalności, na przykład</w:t>
      </w:r>
      <w:r w:rsidR="00BE6F6D" w:rsidRPr="009A4A22">
        <w:rPr>
          <w:noProof/>
        </w:rPr>
        <w:t xml:space="preserve"> w</w:t>
      </w:r>
      <w:r w:rsidR="00BE6F6D">
        <w:rPr>
          <w:noProof/>
        </w:rPr>
        <w:t> </w:t>
      </w:r>
      <w:r w:rsidR="00BE6F6D" w:rsidRPr="009A4A22">
        <w:rPr>
          <w:noProof/>
        </w:rPr>
        <w:t>odn</w:t>
      </w:r>
      <w:r w:rsidRPr="009A4A22">
        <w:rPr>
          <w:noProof/>
        </w:rPr>
        <w:t>iesieniu do zakresu odnośnych praw oraz rodzaju dowodów, które należy przedłożyć</w:t>
      </w:r>
      <w:r w:rsidR="00BE6F6D" w:rsidRPr="009A4A22">
        <w:rPr>
          <w:noProof/>
        </w:rPr>
        <w:t xml:space="preserve"> w</w:t>
      </w:r>
      <w:r w:rsidR="00BE6F6D">
        <w:rPr>
          <w:noProof/>
        </w:rPr>
        <w:t> </w:t>
      </w:r>
      <w:r w:rsidR="00BE6F6D" w:rsidRPr="009A4A22">
        <w:rPr>
          <w:noProof/>
        </w:rPr>
        <w:t>odn</w:t>
      </w:r>
      <w:r w:rsidRPr="009A4A22">
        <w:rPr>
          <w:noProof/>
        </w:rPr>
        <w:t>iesieniu do wcześniejszych kontaktów</w:t>
      </w:r>
      <w:r w:rsidR="00BE6F6D" w:rsidRPr="009A4A22">
        <w:rPr>
          <w:noProof/>
        </w:rPr>
        <w:t xml:space="preserve"> z</w:t>
      </w:r>
      <w:r w:rsidR="00BE6F6D">
        <w:rPr>
          <w:noProof/>
        </w:rPr>
        <w:t> </w:t>
      </w:r>
      <w:r w:rsidR="00BE6F6D" w:rsidRPr="009A4A22">
        <w:rPr>
          <w:noProof/>
        </w:rPr>
        <w:t>prz</w:t>
      </w:r>
      <w:r w:rsidRPr="009A4A22">
        <w:rPr>
          <w:noProof/>
        </w:rPr>
        <w:t>edsiębiorcą. Testy te jeszcze bardziej zmniejszają liczbę spraw, które ostatecznie są objęte postępowaniem ADR. Zgodnie</w:t>
      </w:r>
      <w:r w:rsidR="00BE6F6D" w:rsidRPr="009A4A22">
        <w:rPr>
          <w:noProof/>
        </w:rPr>
        <w:t xml:space="preserve"> z</w:t>
      </w:r>
      <w:r w:rsidR="00BE6F6D">
        <w:rPr>
          <w:noProof/>
        </w:rPr>
        <w:t> </w:t>
      </w:r>
      <w:r w:rsidR="00BE6F6D" w:rsidRPr="009A4A22">
        <w:rPr>
          <w:noProof/>
        </w:rPr>
        <w:t>dan</w:t>
      </w:r>
      <w:r w:rsidRPr="009A4A22">
        <w:rPr>
          <w:noProof/>
        </w:rPr>
        <w:t>ymi przekazanymi przez 23 właściwe organy krajowe</w:t>
      </w:r>
      <w:r w:rsidR="00BE6F6D" w:rsidRPr="009A4A22">
        <w:rPr>
          <w:noProof/>
        </w:rPr>
        <w:t xml:space="preserve"> w</w:t>
      </w:r>
      <w:r w:rsidR="00BE6F6D">
        <w:rPr>
          <w:noProof/>
        </w:rPr>
        <w:t> </w:t>
      </w:r>
      <w:r w:rsidR="00BE6F6D" w:rsidRPr="009A4A22">
        <w:rPr>
          <w:noProof/>
        </w:rPr>
        <w:t>cał</w:t>
      </w:r>
      <w:r w:rsidRPr="009A4A22">
        <w:rPr>
          <w:noProof/>
        </w:rPr>
        <w:t>ej UE średnio tylko 300 000 spraw rocznie uznaje się za kwalifikujące się do rozstrzygnięcia</w:t>
      </w:r>
      <w:r w:rsidR="00BE6F6D" w:rsidRPr="009A4A22">
        <w:rPr>
          <w:noProof/>
        </w:rPr>
        <w:t xml:space="preserve"> w</w:t>
      </w:r>
      <w:r w:rsidR="00BE6F6D">
        <w:rPr>
          <w:noProof/>
        </w:rPr>
        <w:t> </w:t>
      </w:r>
      <w:r w:rsidR="00BE6F6D" w:rsidRPr="009A4A22">
        <w:rPr>
          <w:noProof/>
        </w:rPr>
        <w:t>ram</w:t>
      </w:r>
      <w:r w:rsidRPr="009A4A22">
        <w:rPr>
          <w:noProof/>
        </w:rPr>
        <w:t>ach postępowania ADR</w:t>
      </w:r>
      <w:r w:rsidRPr="00BE6F6D">
        <w:rPr>
          <w:noProof/>
        </w:rPr>
        <w:t>.</w:t>
      </w:r>
      <w:r w:rsidR="00BE6F6D" w:rsidRPr="00BE6F6D">
        <w:rPr>
          <w:noProof/>
        </w:rPr>
        <w:t xml:space="preserve"> </w:t>
      </w:r>
      <w:r w:rsidRPr="00BE6F6D">
        <w:rPr>
          <w:noProof/>
        </w:rPr>
        <w:t>O</w:t>
      </w:r>
      <w:r w:rsidRPr="009A4A22">
        <w:rPr>
          <w:noProof/>
        </w:rPr>
        <w:t>koło połowa</w:t>
      </w:r>
      <w:r w:rsidR="00BE6F6D" w:rsidRPr="009A4A22">
        <w:rPr>
          <w:noProof/>
        </w:rPr>
        <w:t xml:space="preserve"> z</w:t>
      </w:r>
      <w:r w:rsidR="00BE6F6D">
        <w:rPr>
          <w:noProof/>
        </w:rPr>
        <w:t> </w:t>
      </w:r>
      <w:r w:rsidR="00BE6F6D" w:rsidRPr="009A4A22">
        <w:rPr>
          <w:noProof/>
        </w:rPr>
        <w:t>nic</w:t>
      </w:r>
      <w:r w:rsidRPr="009A4A22">
        <w:rPr>
          <w:noProof/>
        </w:rPr>
        <w:t>h nie jest ostatecznie prowadzona, ponieważ przedsiębiorcy</w:t>
      </w:r>
      <w:r w:rsidR="00BE6F6D" w:rsidRPr="009A4A22">
        <w:rPr>
          <w:noProof/>
        </w:rPr>
        <w:t xml:space="preserve"> w</w:t>
      </w:r>
      <w:r w:rsidR="00BE6F6D">
        <w:rPr>
          <w:noProof/>
        </w:rPr>
        <w:t> </w:t>
      </w:r>
      <w:r w:rsidR="00BE6F6D" w:rsidRPr="009A4A22">
        <w:rPr>
          <w:noProof/>
        </w:rPr>
        <w:t>wię</w:t>
      </w:r>
      <w:r w:rsidRPr="009A4A22">
        <w:rPr>
          <w:noProof/>
        </w:rPr>
        <w:t>kszości przypadków nie są zobowiązani do wyrażenia zgody na uczestnictwo lub przedsiębiorca</w:t>
      </w:r>
      <w:r w:rsidR="00BE6F6D" w:rsidRPr="009A4A22">
        <w:rPr>
          <w:noProof/>
        </w:rPr>
        <w:t xml:space="preserve"> i</w:t>
      </w:r>
      <w:r w:rsidR="00BE6F6D">
        <w:rPr>
          <w:noProof/>
        </w:rPr>
        <w:t> </w:t>
      </w:r>
      <w:r w:rsidR="00BE6F6D" w:rsidRPr="009A4A22">
        <w:rPr>
          <w:noProof/>
        </w:rPr>
        <w:t>kon</w:t>
      </w:r>
      <w:r w:rsidRPr="009A4A22">
        <w:rPr>
          <w:noProof/>
        </w:rPr>
        <w:t>sument rozstrzygają spór przed zakończeniem postępowania ADR lub nie mogą oni znaleźć akceptowalnego rozwiązania</w:t>
      </w:r>
      <w:r w:rsidR="00BE6F6D" w:rsidRPr="009A4A22">
        <w:rPr>
          <w:noProof/>
        </w:rPr>
        <w:t xml:space="preserve"> i</w:t>
      </w:r>
      <w:r w:rsidR="00BE6F6D">
        <w:rPr>
          <w:noProof/>
        </w:rPr>
        <w:t> </w:t>
      </w:r>
      <w:r w:rsidR="00BE6F6D" w:rsidRPr="009A4A22">
        <w:rPr>
          <w:noProof/>
        </w:rPr>
        <w:t>dec</w:t>
      </w:r>
      <w:r w:rsidRPr="009A4A22">
        <w:rPr>
          <w:noProof/>
        </w:rPr>
        <w:t xml:space="preserve">ydują się zarzucić postępowanie ADR. </w:t>
      </w:r>
    </w:p>
    <w:p w14:paraId="120BEBF1" w14:textId="6F1C5FD4" w:rsidR="00D36A0B" w:rsidRPr="009A4A22" w:rsidRDefault="00D36A0B" w:rsidP="00FB0CD7">
      <w:pPr>
        <w:rPr>
          <w:noProof/>
        </w:rPr>
      </w:pPr>
      <w:r w:rsidRPr="009A4A22">
        <w:rPr>
          <w:noProof/>
        </w:rPr>
        <w:t>Około 4,5 %</w:t>
      </w:r>
      <w:r w:rsidR="00BE6F6D" w:rsidRPr="009A4A22">
        <w:rPr>
          <w:noProof/>
        </w:rPr>
        <w:t xml:space="preserve"> z</w:t>
      </w:r>
      <w:r w:rsidR="00BE6F6D">
        <w:rPr>
          <w:noProof/>
        </w:rPr>
        <w:t> </w:t>
      </w:r>
      <w:r w:rsidR="00BE6F6D" w:rsidRPr="009A4A22">
        <w:rPr>
          <w:noProof/>
        </w:rPr>
        <w:t>2</w:t>
      </w:r>
      <w:r w:rsidRPr="009A4A22">
        <w:rPr>
          <w:noProof/>
        </w:rPr>
        <w:t>,25 mln konsumentów zainteresowanych przeprowadzeniem postępowania ADR przedkłada spór, który obecnie wykracza poza zakres dyrektywy ADR</w:t>
      </w:r>
      <w:r w:rsidR="00BE6F6D" w:rsidRPr="009A4A22">
        <w:rPr>
          <w:noProof/>
        </w:rPr>
        <w:t xml:space="preserve"> i</w:t>
      </w:r>
      <w:r w:rsidR="00BE6F6D">
        <w:rPr>
          <w:noProof/>
        </w:rPr>
        <w:t> </w:t>
      </w:r>
      <w:r w:rsidR="00BE6F6D" w:rsidRPr="009A4A22">
        <w:rPr>
          <w:noProof/>
        </w:rPr>
        <w:t>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tym</w:t>
      </w:r>
      <w:r w:rsidRPr="009A4A22">
        <w:rPr>
          <w:noProof/>
        </w:rPr>
        <w:t xml:space="preserve"> nie kwalifikuje się do ADR (100 000 sporów)</w:t>
      </w:r>
      <w:r w:rsidR="00BE6F6D" w:rsidRPr="009A4A22">
        <w:rPr>
          <w:noProof/>
        </w:rPr>
        <w:t>. 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wpr</w:t>
      </w:r>
      <w:r w:rsidRPr="009A4A22">
        <w:rPr>
          <w:noProof/>
        </w:rPr>
        <w:t>owadzeniem omawianego środka faktyczna liczba sporów może wzrosnąć</w:t>
      </w:r>
      <w:r w:rsidR="00BE6F6D" w:rsidRPr="009A4A22">
        <w:rPr>
          <w:noProof/>
        </w:rPr>
        <w:t xml:space="preserve"> z</w:t>
      </w:r>
      <w:r w:rsidR="00BE6F6D">
        <w:rPr>
          <w:noProof/>
        </w:rPr>
        <w:t> </w:t>
      </w:r>
      <w:r w:rsidR="00BE6F6D" w:rsidRPr="009A4A22">
        <w:rPr>
          <w:noProof/>
        </w:rPr>
        <w:t>3</w:t>
      </w:r>
      <w:r w:rsidRPr="009A4A22">
        <w:rPr>
          <w:noProof/>
        </w:rPr>
        <w:t xml:space="preserve">00 000 </w:t>
      </w:r>
      <w:r w:rsidRPr="00BE6F6D">
        <w:rPr>
          <w:noProof/>
        </w:rPr>
        <w:t>do</w:t>
      </w:r>
      <w:r w:rsidR="00BE6F6D" w:rsidRPr="00BE6F6D">
        <w:rPr>
          <w:noProof/>
        </w:rPr>
        <w:t> </w:t>
      </w:r>
      <w:r w:rsidRPr="00BE6F6D">
        <w:rPr>
          <w:noProof/>
        </w:rPr>
        <w:t>4</w:t>
      </w:r>
      <w:r w:rsidRPr="009A4A22">
        <w:rPr>
          <w:noProof/>
        </w:rPr>
        <w:t>00 000</w:t>
      </w:r>
      <w:r w:rsidR="00BE6F6D" w:rsidRPr="009A4A22">
        <w:rPr>
          <w:noProof/>
        </w:rPr>
        <w:t>. W</w:t>
      </w:r>
      <w:r w:rsidR="00BE6F6D">
        <w:rPr>
          <w:noProof/>
        </w:rPr>
        <w:t> </w:t>
      </w:r>
      <w:r w:rsidR="00BE6F6D" w:rsidRPr="009A4A22">
        <w:rPr>
          <w:noProof/>
        </w:rPr>
        <w:t>prz</w:t>
      </w:r>
      <w:r w:rsidRPr="009A4A22">
        <w:rPr>
          <w:noProof/>
        </w:rPr>
        <w:t>ypadku każdego sporu spełniającego odpowiednie kryteria podmiot ADR, który otrzymuje skargę, wysyła danemu przedsiębiorstwu powiadomienie</w:t>
      </w:r>
      <w:r w:rsidR="00BE6F6D" w:rsidRPr="009A4A22">
        <w:rPr>
          <w:noProof/>
        </w:rPr>
        <w:t xml:space="preserve"> o</w:t>
      </w:r>
      <w:r w:rsidR="00BE6F6D">
        <w:rPr>
          <w:noProof/>
        </w:rPr>
        <w:t> </w:t>
      </w:r>
      <w:r w:rsidR="00BE6F6D" w:rsidRPr="009A4A22">
        <w:rPr>
          <w:noProof/>
        </w:rPr>
        <w:t>wsz</w:t>
      </w:r>
      <w:r w:rsidRPr="009A4A22">
        <w:rPr>
          <w:noProof/>
        </w:rPr>
        <w:t>częciu sporu na drodze pozasądowej. Spośród tych 400 000 powiadomień skierowanych do przedsiębiorstw przez podmioty ADR, 240 000 sporów faktycznie by przeprowadzono</w:t>
      </w:r>
      <w:r w:rsidRPr="009A4A22">
        <w:rPr>
          <w:rStyle w:val="FootnoteReference"/>
          <w:noProof/>
        </w:rPr>
        <w:footnoteReference w:id="10"/>
      </w:r>
      <w:r w:rsidRPr="009A4A22">
        <w:rPr>
          <w:noProof/>
        </w:rPr>
        <w:t>,</w:t>
      </w:r>
      <w:r w:rsidR="00BE6F6D" w:rsidRPr="009A4A22">
        <w:rPr>
          <w:noProof/>
        </w:rPr>
        <w:t xml:space="preserve"> a</w:t>
      </w:r>
      <w:r w:rsidR="00BE6F6D">
        <w:rPr>
          <w:noProof/>
        </w:rPr>
        <w:t> </w:t>
      </w:r>
      <w:r w:rsidR="00BE6F6D" w:rsidRPr="009A4A22">
        <w:rPr>
          <w:noProof/>
        </w:rPr>
        <w:t>oko</w:t>
      </w:r>
      <w:r w:rsidRPr="009A4A22">
        <w:rPr>
          <w:noProof/>
        </w:rPr>
        <w:t>ło 128 000 pozostałoby bez odpowiedzi</w:t>
      </w:r>
      <w:r w:rsidRPr="009A4A22">
        <w:rPr>
          <w:rStyle w:val="FootnoteReference"/>
          <w:noProof/>
        </w:rPr>
        <w:footnoteReference w:id="11"/>
      </w:r>
      <w:r w:rsidRPr="009A4A22">
        <w:rPr>
          <w:noProof/>
        </w:rPr>
        <w:t xml:space="preserve">. </w:t>
      </w:r>
    </w:p>
    <w:p w14:paraId="6E6731D3" w14:textId="20511F04" w:rsidR="00D36A0B" w:rsidRPr="009A4A22" w:rsidRDefault="00D36A0B" w:rsidP="00FB0CD7">
      <w:pPr>
        <w:rPr>
          <w:noProof/>
        </w:rPr>
      </w:pPr>
      <w:r w:rsidRPr="009A4A22">
        <w:rPr>
          <w:noProof/>
        </w:rPr>
        <w:t>Jeżeli</w:t>
      </w:r>
      <w:r w:rsidR="00BE6F6D" w:rsidRPr="009A4A22">
        <w:rPr>
          <w:noProof/>
        </w:rPr>
        <w:t xml:space="preserve"> w</w:t>
      </w:r>
      <w:r w:rsidR="00BE6F6D">
        <w:rPr>
          <w:noProof/>
        </w:rPr>
        <w:t> </w:t>
      </w:r>
      <w:r w:rsidR="00BE6F6D" w:rsidRPr="009A4A22">
        <w:rPr>
          <w:noProof/>
        </w:rPr>
        <w:t>dyr</w:t>
      </w:r>
      <w:r w:rsidRPr="009A4A22">
        <w:rPr>
          <w:noProof/>
        </w:rPr>
        <w:t>ektywie zostanie wprowadzony obowiązek udzielenia odpowiedzi, szacuje się, że koszt wysłania odpowiedzi przez przedsiębiorstwo wyniesie około 20 EUR (łącznie</w:t>
      </w:r>
      <w:r w:rsidR="00BE6F6D" w:rsidRPr="009A4A22">
        <w:rPr>
          <w:noProof/>
        </w:rPr>
        <w:t xml:space="preserve"> z</w:t>
      </w:r>
      <w:r w:rsidR="00BE6F6D">
        <w:rPr>
          <w:noProof/>
        </w:rPr>
        <w:t> </w:t>
      </w:r>
      <w:r w:rsidR="00BE6F6D" w:rsidRPr="009A4A22">
        <w:rPr>
          <w:noProof/>
        </w:rPr>
        <w:t>prz</w:t>
      </w:r>
      <w:r w:rsidRPr="009A4A22">
        <w:rPr>
          <w:noProof/>
        </w:rPr>
        <w:t>ygotowaniem, przetworzeniem</w:t>
      </w:r>
      <w:r w:rsidR="00BE6F6D" w:rsidRPr="009A4A22">
        <w:rPr>
          <w:noProof/>
        </w:rPr>
        <w:t xml:space="preserve"> i</w:t>
      </w:r>
      <w:r w:rsidR="00BE6F6D">
        <w:rPr>
          <w:noProof/>
        </w:rPr>
        <w:t> </w:t>
      </w:r>
      <w:r w:rsidR="00BE6F6D" w:rsidRPr="009A4A22">
        <w:rPr>
          <w:noProof/>
        </w:rPr>
        <w:t>wys</w:t>
      </w:r>
      <w:r w:rsidRPr="009A4A22">
        <w:rPr>
          <w:noProof/>
        </w:rPr>
        <w:t>łaniem), co daje przedsiębiorstwom całkowity koszt</w:t>
      </w:r>
      <w:r w:rsidR="00BE6F6D" w:rsidRPr="009A4A22">
        <w:rPr>
          <w:noProof/>
        </w:rPr>
        <w:t xml:space="preserve"> w</w:t>
      </w:r>
      <w:r w:rsidR="00BE6F6D">
        <w:rPr>
          <w:noProof/>
        </w:rPr>
        <w:t> </w:t>
      </w:r>
      <w:r w:rsidR="00BE6F6D" w:rsidRPr="009A4A22">
        <w:rPr>
          <w:noProof/>
        </w:rPr>
        <w:t>wys</w:t>
      </w:r>
      <w:r w:rsidRPr="009A4A22">
        <w:rPr>
          <w:noProof/>
        </w:rPr>
        <w:t xml:space="preserve">okości 2,6 mln EUR rocznie </w:t>
      </w:r>
      <w:r w:rsidRPr="00BE6F6D">
        <w:rPr>
          <w:noProof/>
        </w:rPr>
        <w:t>lub</w:t>
      </w:r>
      <w:r w:rsidR="00BE6F6D" w:rsidRPr="00BE6F6D">
        <w:rPr>
          <w:noProof/>
        </w:rPr>
        <w:t> </w:t>
      </w:r>
      <w:r w:rsidRPr="00BE6F6D">
        <w:rPr>
          <w:noProof/>
        </w:rPr>
        <w:t>2</w:t>
      </w:r>
      <w:r w:rsidRPr="009A4A22">
        <w:rPr>
          <w:noProof/>
        </w:rPr>
        <w:t>3 mln EUR</w:t>
      </w:r>
      <w:r w:rsidR="00BE6F6D" w:rsidRPr="009A4A22">
        <w:rPr>
          <w:noProof/>
        </w:rPr>
        <w:t xml:space="preserve"> w</w:t>
      </w:r>
      <w:r w:rsidR="00BE6F6D">
        <w:rPr>
          <w:noProof/>
        </w:rPr>
        <w:t> </w:t>
      </w:r>
      <w:r w:rsidR="00BE6F6D" w:rsidRPr="009A4A22">
        <w:rPr>
          <w:noProof/>
        </w:rPr>
        <w:t>cią</w:t>
      </w:r>
      <w:r w:rsidRPr="009A4A22">
        <w:rPr>
          <w:noProof/>
        </w:rPr>
        <w:t>gu 10 lat</w:t>
      </w:r>
      <w:r w:rsidRPr="009A4A22">
        <w:rPr>
          <w:rStyle w:val="FootnoteReference"/>
          <w:noProof/>
        </w:rPr>
        <w:footnoteReference w:id="12"/>
      </w:r>
      <w:r w:rsidRPr="009A4A22">
        <w:rPr>
          <w:noProof/>
        </w:rPr>
        <w:t xml:space="preserve">. Część </w:t>
      </w:r>
      <w:r w:rsidRPr="00BE6F6D">
        <w:rPr>
          <w:noProof/>
        </w:rPr>
        <w:t>ze</w:t>
      </w:r>
      <w:r w:rsidR="00BE6F6D" w:rsidRPr="00BE6F6D">
        <w:rPr>
          <w:noProof/>
        </w:rPr>
        <w:t> </w:t>
      </w:r>
      <w:r w:rsidRPr="00BE6F6D">
        <w:rPr>
          <w:noProof/>
        </w:rPr>
        <w:t>1</w:t>
      </w:r>
      <w:r w:rsidRPr="009A4A22">
        <w:rPr>
          <w:noProof/>
        </w:rPr>
        <w:t>28 000 potencjalnych sporów, na które przedsiębiorstwa musiałyby obecnie udzielić odpowiedzi</w:t>
      </w:r>
      <w:r w:rsidRPr="009A4A22">
        <w:rPr>
          <w:rStyle w:val="FootnoteReference"/>
          <w:noProof/>
        </w:rPr>
        <w:footnoteReference w:id="13"/>
      </w:r>
      <w:r w:rsidRPr="009A4A22">
        <w:rPr>
          <w:noProof/>
        </w:rPr>
        <w:t>, mogłaby faktycznie zostać przeprowadzona,</w:t>
      </w:r>
      <w:r w:rsidR="00BE6F6D" w:rsidRPr="009A4A22">
        <w:rPr>
          <w:noProof/>
        </w:rPr>
        <w:t xml:space="preserve"> a</w:t>
      </w:r>
      <w:r w:rsidR="00BE6F6D">
        <w:rPr>
          <w:noProof/>
        </w:rPr>
        <w:t> </w:t>
      </w:r>
      <w:r w:rsidR="00BE6F6D" w:rsidRPr="009A4A22">
        <w:rPr>
          <w:noProof/>
        </w:rPr>
        <w:t>neg</w:t>
      </w:r>
      <w:r w:rsidRPr="009A4A22">
        <w:rPr>
          <w:noProof/>
        </w:rPr>
        <w:t>atywne odpowiedzi przedsiębiorstw zwiększyłyby pewność konsumentów, którzy mogliby zdecydować, czy rozstrzygnąć sprawę</w:t>
      </w:r>
      <w:r w:rsidR="00BE6F6D" w:rsidRPr="009A4A22">
        <w:rPr>
          <w:noProof/>
        </w:rPr>
        <w:t xml:space="preserve"> w</w:t>
      </w:r>
      <w:r w:rsidR="00BE6F6D">
        <w:rPr>
          <w:noProof/>
        </w:rPr>
        <w:t> </w:t>
      </w:r>
      <w:r w:rsidR="00BE6F6D" w:rsidRPr="009A4A22">
        <w:rPr>
          <w:noProof/>
        </w:rPr>
        <w:t>inn</w:t>
      </w:r>
      <w:r w:rsidRPr="009A4A22">
        <w:rPr>
          <w:noProof/>
        </w:rPr>
        <w:t>y sposób. Szacuje się, że spośród 128 000 potencjalnych sporów około 77 000 faktycznie by przeprowadzono</w:t>
      </w:r>
      <w:r w:rsidRPr="009A4A22">
        <w:rPr>
          <w:rStyle w:val="FootnoteReference"/>
          <w:noProof/>
        </w:rPr>
        <w:footnoteReference w:id="14"/>
      </w:r>
      <w:r w:rsidRPr="009A4A22">
        <w:rPr>
          <w:noProof/>
        </w:rPr>
        <w:t xml:space="preserve"> (głównie sprawy dotyczące przedsiębiorstw, które wcześniej nie wiedziały o ADR,</w:t>
      </w:r>
      <w:r w:rsidR="00BE6F6D" w:rsidRPr="009A4A22">
        <w:rPr>
          <w:noProof/>
        </w:rPr>
        <w:t xml:space="preserve"> w</w:t>
      </w:r>
      <w:r w:rsidR="00BE6F6D">
        <w:rPr>
          <w:noProof/>
        </w:rPr>
        <w:t> </w:t>
      </w:r>
      <w:r w:rsidR="00BE6F6D" w:rsidRPr="009A4A22">
        <w:rPr>
          <w:noProof/>
        </w:rPr>
        <w:t>sum</w:t>
      </w:r>
      <w:r w:rsidRPr="009A4A22">
        <w:rPr>
          <w:noProof/>
        </w:rPr>
        <w:t>ie prawie 200 000 nowych sporów</w:t>
      </w:r>
      <w:r w:rsidR="00BE6F6D" w:rsidRPr="009A4A22">
        <w:rPr>
          <w:noProof/>
        </w:rPr>
        <w:t xml:space="preserve"> w</w:t>
      </w:r>
      <w:r w:rsidR="00BE6F6D">
        <w:rPr>
          <w:noProof/>
        </w:rPr>
        <w:t> </w:t>
      </w:r>
      <w:r w:rsidR="00BE6F6D" w:rsidRPr="009A4A22">
        <w:rPr>
          <w:noProof/>
        </w:rPr>
        <w:t>ram</w:t>
      </w:r>
      <w:r w:rsidRPr="009A4A22">
        <w:rPr>
          <w:noProof/>
        </w:rPr>
        <w:t>ach tego wariantu strategicznego</w:t>
      </w:r>
      <w:r w:rsidRPr="009A4A22">
        <w:rPr>
          <w:rStyle w:val="FootnoteReference"/>
          <w:noProof/>
        </w:rPr>
        <w:footnoteReference w:id="15"/>
      </w:r>
      <w:r w:rsidRPr="009A4A22">
        <w:rPr>
          <w:noProof/>
        </w:rPr>
        <w:t>). Gdyby konsumenci wygrywali spory (czyli przedsiębiorstwa zgadzałaby się</w:t>
      </w:r>
      <w:r w:rsidR="00BE6F6D" w:rsidRPr="009A4A22">
        <w:rPr>
          <w:noProof/>
        </w:rPr>
        <w:t xml:space="preserve"> z</w:t>
      </w:r>
      <w:r w:rsidR="00BE6F6D">
        <w:rPr>
          <w:noProof/>
        </w:rPr>
        <w:t> </w:t>
      </w:r>
      <w:r w:rsidR="00BE6F6D" w:rsidRPr="009A4A22">
        <w:rPr>
          <w:noProof/>
        </w:rPr>
        <w:t>wyn</w:t>
      </w:r>
      <w:r w:rsidRPr="009A4A22">
        <w:rPr>
          <w:noProof/>
        </w:rPr>
        <w:t>ikami ADR)</w:t>
      </w:r>
      <w:r w:rsidR="00BE6F6D" w:rsidRPr="009A4A22">
        <w:rPr>
          <w:noProof/>
        </w:rPr>
        <w:t xml:space="preserve"> w</w:t>
      </w:r>
      <w:r w:rsidR="00BE6F6D">
        <w:rPr>
          <w:noProof/>
        </w:rPr>
        <w:t> </w:t>
      </w:r>
      <w:r w:rsidR="00BE6F6D" w:rsidRPr="009A4A22">
        <w:rPr>
          <w:noProof/>
        </w:rPr>
        <w:t>9</w:t>
      </w:r>
      <w:r w:rsidRPr="009A4A22">
        <w:rPr>
          <w:noProof/>
        </w:rPr>
        <w:t>0 % przypadków, zmniejszyłoby to szkody</w:t>
      </w:r>
      <w:r w:rsidR="00BE6F6D" w:rsidRPr="009A4A22">
        <w:rPr>
          <w:noProof/>
        </w:rPr>
        <w:t xml:space="preserve"> o</w:t>
      </w:r>
      <w:r w:rsidR="00BE6F6D">
        <w:rPr>
          <w:noProof/>
        </w:rPr>
        <w:t> </w:t>
      </w:r>
      <w:r w:rsidR="00BE6F6D" w:rsidRPr="009A4A22">
        <w:rPr>
          <w:noProof/>
        </w:rPr>
        <w:t>3</w:t>
      </w:r>
      <w:r w:rsidRPr="009A4A22">
        <w:rPr>
          <w:noProof/>
        </w:rPr>
        <w:t>3 mln EUR rocznie</w:t>
      </w:r>
      <w:r w:rsidRPr="009A4A22">
        <w:rPr>
          <w:rStyle w:val="FootnoteReference"/>
          <w:noProof/>
        </w:rPr>
        <w:footnoteReference w:id="16"/>
      </w:r>
      <w:r w:rsidRPr="009A4A22">
        <w:rPr>
          <w:noProof/>
        </w:rPr>
        <w:t xml:space="preserve">, </w:t>
      </w:r>
      <w:r w:rsidRPr="00BE6F6D">
        <w:rPr>
          <w:noProof/>
        </w:rPr>
        <w:t>tj.</w:t>
      </w:r>
      <w:r w:rsidR="00BE6F6D" w:rsidRPr="00BE6F6D">
        <w:rPr>
          <w:noProof/>
        </w:rPr>
        <w:t> </w:t>
      </w:r>
      <w:r w:rsidRPr="00BE6F6D">
        <w:rPr>
          <w:noProof/>
        </w:rPr>
        <w:t>2</w:t>
      </w:r>
      <w:r w:rsidRPr="009A4A22">
        <w:rPr>
          <w:noProof/>
        </w:rPr>
        <w:t>90 mln EUR</w:t>
      </w:r>
      <w:r w:rsidR="00BE6F6D" w:rsidRPr="009A4A22">
        <w:rPr>
          <w:noProof/>
        </w:rPr>
        <w:t xml:space="preserve"> w</w:t>
      </w:r>
      <w:r w:rsidR="00BE6F6D">
        <w:rPr>
          <w:noProof/>
        </w:rPr>
        <w:t> </w:t>
      </w:r>
      <w:r w:rsidR="00BE6F6D" w:rsidRPr="009A4A22">
        <w:rPr>
          <w:noProof/>
        </w:rPr>
        <w:t>cią</w:t>
      </w:r>
      <w:r w:rsidRPr="009A4A22">
        <w:rPr>
          <w:noProof/>
        </w:rPr>
        <w:t xml:space="preserve">gu 10 lat. Rozpatrzenie tych 200 000 nowych sporów może jednak kosztować podmioty ADR </w:t>
      </w:r>
      <w:r w:rsidRPr="00BE6F6D">
        <w:rPr>
          <w:noProof/>
        </w:rPr>
        <w:t>do</w:t>
      </w:r>
      <w:r w:rsidR="00BE6F6D" w:rsidRPr="00BE6F6D">
        <w:rPr>
          <w:noProof/>
        </w:rPr>
        <w:t> </w:t>
      </w:r>
      <w:r w:rsidRPr="00BE6F6D">
        <w:rPr>
          <w:noProof/>
        </w:rPr>
        <w:t>6</w:t>
      </w:r>
      <w:r w:rsidRPr="009A4A22">
        <w:rPr>
          <w:noProof/>
        </w:rPr>
        <w:t>0 mln EUR rocznie</w:t>
      </w:r>
      <w:r w:rsidRPr="009A4A22">
        <w:rPr>
          <w:rStyle w:val="FootnoteReference"/>
          <w:noProof/>
        </w:rPr>
        <w:footnoteReference w:id="17"/>
      </w:r>
      <w:r w:rsidRPr="009A4A22">
        <w:rPr>
          <w:noProof/>
        </w:rPr>
        <w:t xml:space="preserve"> (527 mln EUR</w:t>
      </w:r>
      <w:r w:rsidR="00BE6F6D" w:rsidRPr="009A4A22">
        <w:rPr>
          <w:noProof/>
        </w:rPr>
        <w:t xml:space="preserve"> w</w:t>
      </w:r>
      <w:r w:rsidR="00BE6F6D">
        <w:rPr>
          <w:noProof/>
        </w:rPr>
        <w:t> </w:t>
      </w:r>
      <w:r w:rsidR="00BE6F6D" w:rsidRPr="009A4A22">
        <w:rPr>
          <w:noProof/>
        </w:rPr>
        <w:t>cią</w:t>
      </w:r>
      <w:r w:rsidRPr="009A4A22">
        <w:rPr>
          <w:noProof/>
        </w:rPr>
        <w:t>gu 10 lat), co można by sfinansować na różne sposoby</w:t>
      </w:r>
      <w:r w:rsidRPr="009A4A22">
        <w:rPr>
          <w:rStyle w:val="FootnoteReference"/>
          <w:noProof/>
        </w:rPr>
        <w:footnoteReference w:id="18"/>
      </w:r>
      <w:r w:rsidRPr="009A4A22">
        <w:rPr>
          <w:noProof/>
        </w:rPr>
        <w:t>. Umożliwienie podmiotom ADR łączenia podobnych spraw przeciwko konkretnemu przedsiębiorcy przyniosłoby im oszczędności (w związku ze skuteczniejszą obsługą), kompensujące ich koszty</w:t>
      </w:r>
      <w:r w:rsidR="00BE6F6D" w:rsidRPr="009A4A22">
        <w:rPr>
          <w:noProof/>
        </w:rPr>
        <w:t xml:space="preserve"> o</w:t>
      </w:r>
      <w:r w:rsidR="00BE6F6D">
        <w:rPr>
          <w:noProof/>
        </w:rPr>
        <w:t> </w:t>
      </w:r>
      <w:r w:rsidR="00BE6F6D" w:rsidRPr="009A4A22">
        <w:rPr>
          <w:noProof/>
        </w:rPr>
        <w:t>1</w:t>
      </w:r>
      <w:r w:rsidRPr="009A4A22">
        <w:rPr>
          <w:noProof/>
        </w:rPr>
        <w:t>1 mln EUR rocznie (</w:t>
      </w:r>
      <w:r w:rsidRPr="00BE6F6D">
        <w:rPr>
          <w:noProof/>
        </w:rPr>
        <w:t>tj.</w:t>
      </w:r>
      <w:r w:rsidR="00BE6F6D" w:rsidRPr="00BE6F6D">
        <w:rPr>
          <w:noProof/>
        </w:rPr>
        <w:t> </w:t>
      </w:r>
      <w:r w:rsidRPr="00BE6F6D">
        <w:rPr>
          <w:noProof/>
        </w:rPr>
        <w:t>9</w:t>
      </w:r>
      <w:r w:rsidRPr="009A4A22">
        <w:rPr>
          <w:noProof/>
        </w:rPr>
        <w:t>7 mln EUR</w:t>
      </w:r>
      <w:r w:rsidR="00BE6F6D" w:rsidRPr="009A4A22">
        <w:rPr>
          <w:noProof/>
        </w:rPr>
        <w:t xml:space="preserve"> w</w:t>
      </w:r>
      <w:r w:rsidR="00BE6F6D">
        <w:rPr>
          <w:noProof/>
        </w:rPr>
        <w:t> </w:t>
      </w:r>
      <w:r w:rsidR="00BE6F6D" w:rsidRPr="009A4A22">
        <w:rPr>
          <w:noProof/>
        </w:rPr>
        <w:t>cią</w:t>
      </w:r>
      <w:r w:rsidRPr="009A4A22">
        <w:rPr>
          <w:noProof/>
        </w:rPr>
        <w:t>gu 10 lat)</w:t>
      </w:r>
      <w:r w:rsidRPr="009A4A22">
        <w:rPr>
          <w:rStyle w:val="FootnoteReference"/>
          <w:noProof/>
        </w:rPr>
        <w:footnoteReference w:id="19"/>
      </w:r>
      <w:r w:rsidRPr="009A4A22">
        <w:rPr>
          <w:noProof/>
        </w:rPr>
        <w:t>. Dodatkowe koszty netto dla podmiotów ADR,</w:t>
      </w:r>
      <w:r w:rsidR="00BE6F6D" w:rsidRPr="009A4A22">
        <w:rPr>
          <w:noProof/>
        </w:rPr>
        <w:t xml:space="preserve"> z</w:t>
      </w:r>
      <w:r w:rsidR="00BE6F6D">
        <w:rPr>
          <w:noProof/>
        </w:rPr>
        <w:t> </w:t>
      </w:r>
      <w:r w:rsidR="00BE6F6D" w:rsidRPr="009A4A22">
        <w:rPr>
          <w:noProof/>
        </w:rPr>
        <w:t>uwz</w:t>
      </w:r>
      <w:r w:rsidRPr="009A4A22">
        <w:rPr>
          <w:noProof/>
        </w:rPr>
        <w:t xml:space="preserve">ględnieniem korzyści skali, mogą wynosić </w:t>
      </w:r>
      <w:r w:rsidRPr="00BE6F6D">
        <w:rPr>
          <w:noProof/>
        </w:rPr>
        <w:t>od</w:t>
      </w:r>
      <w:r w:rsidR="00BE6F6D" w:rsidRPr="00BE6F6D">
        <w:rPr>
          <w:noProof/>
        </w:rPr>
        <w:t> </w:t>
      </w:r>
      <w:r w:rsidRPr="00BE6F6D">
        <w:rPr>
          <w:noProof/>
        </w:rPr>
        <w:t>0</w:t>
      </w:r>
      <w:r w:rsidRPr="009A4A22">
        <w:rPr>
          <w:noProof/>
        </w:rPr>
        <w:t xml:space="preserve"> </w:t>
      </w:r>
      <w:r w:rsidRPr="00BE6F6D">
        <w:rPr>
          <w:noProof/>
        </w:rPr>
        <w:t>do</w:t>
      </w:r>
      <w:r w:rsidR="00BE6F6D" w:rsidRPr="00BE6F6D">
        <w:rPr>
          <w:noProof/>
        </w:rPr>
        <w:t> </w:t>
      </w:r>
      <w:r w:rsidRPr="00BE6F6D">
        <w:rPr>
          <w:noProof/>
        </w:rPr>
        <w:t>4</w:t>
      </w:r>
      <w:r w:rsidRPr="009A4A22">
        <w:rPr>
          <w:noProof/>
        </w:rPr>
        <w:t xml:space="preserve">9 mln EUR rocznie (średnio 25 mln EUR), czyli </w:t>
      </w:r>
      <w:r w:rsidRPr="00BE6F6D">
        <w:rPr>
          <w:noProof/>
        </w:rPr>
        <w:t>od</w:t>
      </w:r>
      <w:r w:rsidR="00BE6F6D" w:rsidRPr="00BE6F6D">
        <w:rPr>
          <w:noProof/>
        </w:rPr>
        <w:t> </w:t>
      </w:r>
      <w:r w:rsidRPr="00BE6F6D">
        <w:rPr>
          <w:noProof/>
        </w:rPr>
        <w:t>0</w:t>
      </w:r>
      <w:r w:rsidRPr="009A4A22">
        <w:rPr>
          <w:noProof/>
        </w:rPr>
        <w:t xml:space="preserve"> </w:t>
      </w:r>
      <w:r w:rsidRPr="00BE6F6D">
        <w:rPr>
          <w:noProof/>
        </w:rPr>
        <w:t>do</w:t>
      </w:r>
      <w:r w:rsidR="00BE6F6D" w:rsidRPr="00BE6F6D">
        <w:rPr>
          <w:noProof/>
        </w:rPr>
        <w:t> </w:t>
      </w:r>
      <w:r w:rsidRPr="00BE6F6D">
        <w:rPr>
          <w:noProof/>
        </w:rPr>
        <w:t>4</w:t>
      </w:r>
      <w:r w:rsidRPr="009A4A22">
        <w:rPr>
          <w:noProof/>
        </w:rPr>
        <w:t>30 mln EUR</w:t>
      </w:r>
      <w:r w:rsidR="00BE6F6D" w:rsidRPr="009A4A22">
        <w:rPr>
          <w:noProof/>
        </w:rPr>
        <w:t xml:space="preserve"> w</w:t>
      </w:r>
      <w:r w:rsidR="00BE6F6D">
        <w:rPr>
          <w:noProof/>
        </w:rPr>
        <w:t> </w:t>
      </w:r>
      <w:r w:rsidR="00BE6F6D" w:rsidRPr="009A4A22">
        <w:rPr>
          <w:noProof/>
        </w:rPr>
        <w:t>cią</w:t>
      </w:r>
      <w:r w:rsidRPr="009A4A22">
        <w:rPr>
          <w:noProof/>
        </w:rPr>
        <w:t>gu 10 lat (średnio 215 mln EUR). Podmioty ADR ponoszące koszty mogą również przenosić je na przedsiębiorców, dla których</w:t>
      </w:r>
      <w:r w:rsidR="00BE6F6D" w:rsidRPr="009A4A22">
        <w:rPr>
          <w:noProof/>
        </w:rPr>
        <w:t xml:space="preserve"> i</w:t>
      </w:r>
      <w:r w:rsidR="00BE6F6D">
        <w:rPr>
          <w:noProof/>
        </w:rPr>
        <w:t> </w:t>
      </w:r>
      <w:r w:rsidR="00BE6F6D" w:rsidRPr="009A4A22">
        <w:rPr>
          <w:noProof/>
        </w:rPr>
        <w:t>tak</w:t>
      </w:r>
      <w:r w:rsidRPr="009A4A22">
        <w:rPr>
          <w:noProof/>
        </w:rPr>
        <w:t xml:space="preserve"> byłaby to oszczędność</w:t>
      </w:r>
      <w:r w:rsidR="00BE6F6D" w:rsidRPr="009A4A22">
        <w:rPr>
          <w:noProof/>
        </w:rPr>
        <w:t xml:space="preserve"> w</w:t>
      </w:r>
      <w:r w:rsidR="00BE6F6D">
        <w:rPr>
          <w:noProof/>
        </w:rPr>
        <w:t> </w:t>
      </w:r>
      <w:r w:rsidR="00BE6F6D" w:rsidRPr="009A4A22">
        <w:rPr>
          <w:noProof/>
        </w:rPr>
        <w:t>por</w:t>
      </w:r>
      <w:r w:rsidRPr="009A4A22">
        <w:rPr>
          <w:noProof/>
        </w:rPr>
        <w:t>ównaniu</w:t>
      </w:r>
      <w:r w:rsidR="00BE6F6D" w:rsidRPr="009A4A22">
        <w:rPr>
          <w:noProof/>
        </w:rPr>
        <w:t xml:space="preserve"> z</w:t>
      </w:r>
      <w:r w:rsidR="00BE6F6D">
        <w:rPr>
          <w:noProof/>
        </w:rPr>
        <w:t> </w:t>
      </w:r>
      <w:r w:rsidR="00BE6F6D" w:rsidRPr="009A4A22">
        <w:rPr>
          <w:noProof/>
        </w:rPr>
        <w:t>kos</w:t>
      </w:r>
      <w:r w:rsidRPr="009A4A22">
        <w:rPr>
          <w:noProof/>
        </w:rPr>
        <w:t>ztami postępowania sądowego. Obowiązek udzielenia odpowiedzi zastąpiłby obecny wymóg podawania informacji o ADR</w:t>
      </w:r>
      <w:r w:rsidR="00BE6F6D" w:rsidRPr="009A4A22">
        <w:rPr>
          <w:noProof/>
        </w:rPr>
        <w:t xml:space="preserve"> w</w:t>
      </w:r>
      <w:r w:rsidR="00BE6F6D">
        <w:rPr>
          <w:noProof/>
        </w:rPr>
        <w:t> </w:t>
      </w:r>
      <w:r w:rsidR="00BE6F6D" w:rsidRPr="009A4A22">
        <w:rPr>
          <w:noProof/>
        </w:rPr>
        <w:t>prz</w:t>
      </w:r>
      <w:r w:rsidRPr="009A4A22">
        <w:rPr>
          <w:noProof/>
        </w:rPr>
        <w:t>ypadku przedsiębiorstw, które nie zamierzają rozstrzygać sporów</w:t>
      </w:r>
      <w:r w:rsidR="00BE6F6D" w:rsidRPr="009A4A22">
        <w:rPr>
          <w:noProof/>
        </w:rPr>
        <w:t xml:space="preserve"> w</w:t>
      </w:r>
      <w:r w:rsidR="00BE6F6D">
        <w:rPr>
          <w:noProof/>
        </w:rPr>
        <w:t> </w:t>
      </w:r>
      <w:r w:rsidR="00BE6F6D" w:rsidRPr="009A4A22">
        <w:rPr>
          <w:noProof/>
        </w:rPr>
        <w:t>ram</w:t>
      </w:r>
      <w:r w:rsidRPr="009A4A22">
        <w:rPr>
          <w:noProof/>
        </w:rPr>
        <w:t>ach ADR ani nie są zobowiązane ich</w:t>
      </w:r>
      <w:r w:rsidR="00BE6F6D" w:rsidRPr="009A4A22">
        <w:rPr>
          <w:noProof/>
        </w:rPr>
        <w:t xml:space="preserve"> w</w:t>
      </w:r>
      <w:r w:rsidR="00BE6F6D">
        <w:rPr>
          <w:noProof/>
        </w:rPr>
        <w:t> </w:t>
      </w:r>
      <w:r w:rsidR="00BE6F6D" w:rsidRPr="009A4A22">
        <w:rPr>
          <w:noProof/>
        </w:rPr>
        <w:t>ten</w:t>
      </w:r>
      <w:r w:rsidRPr="009A4A22">
        <w:rPr>
          <w:noProof/>
        </w:rPr>
        <w:t xml:space="preserve"> sposób rozstrzygać (64 %</w:t>
      </w:r>
      <w:r w:rsidRPr="009A4A22">
        <w:rPr>
          <w:rStyle w:val="FootnoteReference"/>
          <w:noProof/>
        </w:rPr>
        <w:footnoteReference w:id="20"/>
      </w:r>
      <w:r w:rsidRPr="009A4A22">
        <w:rPr>
          <w:noProof/>
        </w:rPr>
        <w:t xml:space="preserve"> przedsiębiorców)</w:t>
      </w:r>
      <w:r w:rsidRPr="009A4A22">
        <w:rPr>
          <w:rStyle w:val="FootnoteReference"/>
          <w:noProof/>
        </w:rPr>
        <w:footnoteReference w:id="21"/>
      </w:r>
      <w:r w:rsidR="00BE6F6D" w:rsidRPr="009A4A22">
        <w:rPr>
          <w:noProof/>
        </w:rPr>
        <w:t>. Z</w:t>
      </w:r>
      <w:r w:rsidR="00BE6F6D">
        <w:rPr>
          <w:noProof/>
        </w:rPr>
        <w:t> </w:t>
      </w:r>
      <w:r w:rsidR="00BE6F6D" w:rsidRPr="009A4A22">
        <w:rPr>
          <w:noProof/>
        </w:rPr>
        <w:t>oce</w:t>
      </w:r>
      <w:r w:rsidRPr="009A4A22">
        <w:rPr>
          <w:noProof/>
        </w:rPr>
        <w:t>ny skutków związanej</w:t>
      </w:r>
      <w:r w:rsidR="00BE6F6D" w:rsidRPr="009A4A22">
        <w:rPr>
          <w:noProof/>
        </w:rPr>
        <w:t xml:space="preserve"> z</w:t>
      </w:r>
      <w:r w:rsidR="00BE6F6D">
        <w:rPr>
          <w:noProof/>
        </w:rPr>
        <w:t> </w:t>
      </w:r>
      <w:r w:rsidR="00BE6F6D" w:rsidRPr="009A4A22">
        <w:rPr>
          <w:noProof/>
        </w:rPr>
        <w:t>obo</w:t>
      </w:r>
      <w:r w:rsidRPr="009A4A22">
        <w:rPr>
          <w:noProof/>
        </w:rPr>
        <w:t>wiązującą dyrektywą ADR</w:t>
      </w:r>
      <w:r w:rsidRPr="009A4A22">
        <w:rPr>
          <w:rStyle w:val="FootnoteReference"/>
          <w:noProof/>
        </w:rPr>
        <w:footnoteReference w:id="22"/>
      </w:r>
      <w:r w:rsidRPr="009A4A22">
        <w:rPr>
          <w:noProof/>
        </w:rPr>
        <w:t xml:space="preserve"> wynika, że koszt informowania konsumentów skorygowany</w:t>
      </w:r>
      <w:r w:rsidR="00BE6F6D" w:rsidRPr="009A4A22">
        <w:rPr>
          <w:noProof/>
        </w:rPr>
        <w:t xml:space="preserve"> o</w:t>
      </w:r>
      <w:r w:rsidR="00BE6F6D">
        <w:rPr>
          <w:noProof/>
        </w:rPr>
        <w:t> </w:t>
      </w:r>
      <w:r w:rsidR="00BE6F6D" w:rsidRPr="009A4A22">
        <w:rPr>
          <w:noProof/>
        </w:rPr>
        <w:t>inf</w:t>
      </w:r>
      <w:r w:rsidRPr="009A4A22">
        <w:rPr>
          <w:noProof/>
        </w:rPr>
        <w:t>lację wynosi około 310 EUR na przedsiębiorstwo</w:t>
      </w:r>
      <w:r w:rsidRPr="009A4A22">
        <w:rPr>
          <w:rStyle w:val="FootnoteReference"/>
          <w:noProof/>
        </w:rPr>
        <w:footnoteReference w:id="23"/>
      </w:r>
      <w:r w:rsidRPr="009A4A22">
        <w:rPr>
          <w:noProof/>
        </w:rPr>
        <w:t>. Jest to</w:t>
      </w:r>
      <w:r w:rsidR="00BE6F6D" w:rsidRPr="009A4A22">
        <w:rPr>
          <w:noProof/>
        </w:rPr>
        <w:t xml:space="preserve"> z</w:t>
      </w:r>
      <w:r w:rsidR="00BE6F6D">
        <w:rPr>
          <w:noProof/>
        </w:rPr>
        <w:t> </w:t>
      </w:r>
      <w:r w:rsidR="00BE6F6D" w:rsidRPr="009A4A22">
        <w:rPr>
          <w:noProof/>
        </w:rPr>
        <w:t>reg</w:t>
      </w:r>
      <w:r w:rsidRPr="009A4A22">
        <w:rPr>
          <w:noProof/>
        </w:rPr>
        <w:t>uły koszt jednorazowy</w:t>
      </w:r>
      <w:r w:rsidR="00BE6F6D" w:rsidRPr="009A4A22">
        <w:rPr>
          <w:noProof/>
        </w:rPr>
        <w:t>. W</w:t>
      </w:r>
      <w:r w:rsidR="00BE6F6D">
        <w:rPr>
          <w:noProof/>
        </w:rPr>
        <w:t> </w:t>
      </w:r>
      <w:r w:rsidR="00BE6F6D" w:rsidRPr="009A4A22">
        <w:rPr>
          <w:noProof/>
        </w:rPr>
        <w:t>prz</w:t>
      </w:r>
      <w:r w:rsidRPr="009A4A22">
        <w:rPr>
          <w:noProof/>
        </w:rPr>
        <w:t>ypadku powstających każdego roku nowych przedsiębiorstw, które nie są podlegają żadnemu podmiotowi ADR</w:t>
      </w:r>
      <w:r w:rsidRPr="009A4A22">
        <w:rPr>
          <w:rStyle w:val="FootnoteReference"/>
          <w:noProof/>
        </w:rPr>
        <w:footnoteReference w:id="24"/>
      </w:r>
      <w:r w:rsidRPr="009A4A22">
        <w:rPr>
          <w:noProof/>
        </w:rPr>
        <w:t>, łączne oszczędności wyniosłyby rocznie 99 mln EUR</w:t>
      </w:r>
      <w:r w:rsidRPr="009A4A22">
        <w:rPr>
          <w:rStyle w:val="FootnoteReference"/>
          <w:noProof/>
        </w:rPr>
        <w:footnoteReference w:id="25"/>
      </w:r>
      <w:r w:rsidRPr="009A4A22">
        <w:rPr>
          <w:noProof/>
        </w:rPr>
        <w:t>, czyli 870 mln EUR</w:t>
      </w:r>
      <w:r w:rsidR="00BE6F6D" w:rsidRPr="009A4A22">
        <w:rPr>
          <w:noProof/>
        </w:rPr>
        <w:t xml:space="preserve"> w</w:t>
      </w:r>
      <w:r w:rsidR="00BE6F6D">
        <w:rPr>
          <w:noProof/>
        </w:rPr>
        <w:t> </w:t>
      </w:r>
      <w:r w:rsidR="00BE6F6D" w:rsidRPr="009A4A22">
        <w:rPr>
          <w:noProof/>
        </w:rPr>
        <w:t>cią</w:t>
      </w:r>
      <w:r w:rsidRPr="009A4A22">
        <w:rPr>
          <w:noProof/>
        </w:rPr>
        <w:t>gu 10 lat; także przedsiębiorstwa już istniejące mogłyby zaoszczędzić część kosztów wynikających z „dodawania informacji o ADR do umów, faktur, rachunków, stron internetowych, broszur, ulotek”</w:t>
      </w:r>
      <w:r w:rsidRPr="009A4A22">
        <w:rPr>
          <w:rStyle w:val="FootnoteReference"/>
          <w:noProof/>
        </w:rPr>
        <w:footnoteReference w:id="26"/>
      </w:r>
      <w:r w:rsidRPr="009A4A22">
        <w:rPr>
          <w:noProof/>
        </w:rPr>
        <w:t xml:space="preserve"> na łączną kwotę 165 mln EUR rocznie, </w:t>
      </w:r>
      <w:r w:rsidRPr="00BE6F6D">
        <w:rPr>
          <w:noProof/>
        </w:rPr>
        <w:t>tj.</w:t>
      </w:r>
      <w:r w:rsidR="00BE6F6D" w:rsidRPr="00BE6F6D">
        <w:rPr>
          <w:noProof/>
        </w:rPr>
        <w:t> </w:t>
      </w:r>
      <w:r w:rsidRPr="00BE6F6D">
        <w:rPr>
          <w:noProof/>
        </w:rPr>
        <w:t>1</w:t>
      </w:r>
      <w:r w:rsidRPr="009A4A22">
        <w:rPr>
          <w:noProof/>
        </w:rPr>
        <w:t>,4 mld EUR</w:t>
      </w:r>
      <w:r w:rsidR="00BE6F6D" w:rsidRPr="009A4A22">
        <w:rPr>
          <w:noProof/>
        </w:rPr>
        <w:t xml:space="preserve"> w</w:t>
      </w:r>
      <w:r w:rsidR="00BE6F6D">
        <w:rPr>
          <w:noProof/>
        </w:rPr>
        <w:t> </w:t>
      </w:r>
      <w:r w:rsidR="00BE6F6D" w:rsidRPr="009A4A22">
        <w:rPr>
          <w:noProof/>
        </w:rPr>
        <w:t>cią</w:t>
      </w:r>
      <w:r w:rsidRPr="009A4A22">
        <w:rPr>
          <w:noProof/>
        </w:rPr>
        <w:t>gu 10 lat (2,3 mld EUR łącznych oszczędności dla przedsiębiorstw</w:t>
      </w:r>
      <w:r w:rsidR="00BE6F6D" w:rsidRPr="009A4A22">
        <w:rPr>
          <w:noProof/>
        </w:rPr>
        <w:t xml:space="preserve"> w</w:t>
      </w:r>
      <w:r w:rsidR="00BE6F6D">
        <w:rPr>
          <w:noProof/>
        </w:rPr>
        <w:t> </w:t>
      </w:r>
      <w:r w:rsidR="00BE6F6D" w:rsidRPr="009A4A22">
        <w:rPr>
          <w:noProof/>
        </w:rPr>
        <w:t>cią</w:t>
      </w:r>
      <w:r w:rsidRPr="009A4A22">
        <w:rPr>
          <w:noProof/>
        </w:rPr>
        <w:t xml:space="preserve">gu 10 lat). </w:t>
      </w:r>
    </w:p>
    <w:p w14:paraId="07EF4B1D" w14:textId="54CB89AE" w:rsidR="00D36A0B" w:rsidRPr="009A4A22" w:rsidRDefault="00D36A0B" w:rsidP="00FB0CD7">
      <w:pPr>
        <w:rPr>
          <w:noProof/>
        </w:rPr>
      </w:pPr>
      <w:r w:rsidRPr="009A4A22">
        <w:rPr>
          <w:noProof/>
        </w:rPr>
        <w:t>Przyznanie Europejskim Centrom Konsumenckim (lub innym organom) roli pomocniczej oznacza, że centra te będą musiały pomagać podmiotom ADR</w:t>
      </w:r>
      <w:r w:rsidR="00BE6F6D" w:rsidRPr="009A4A22">
        <w:rPr>
          <w:noProof/>
        </w:rPr>
        <w:t xml:space="preserve"> w</w:t>
      </w:r>
      <w:r w:rsidR="00BE6F6D">
        <w:rPr>
          <w:noProof/>
        </w:rPr>
        <w:t> </w:t>
      </w:r>
      <w:r w:rsidR="00BE6F6D" w:rsidRPr="009A4A22">
        <w:rPr>
          <w:noProof/>
        </w:rPr>
        <w:t>kwe</w:t>
      </w:r>
      <w:r w:rsidRPr="009A4A22">
        <w:rPr>
          <w:noProof/>
        </w:rPr>
        <w:t>stiach dotyczących prawa właściwego</w:t>
      </w:r>
      <w:r w:rsidR="00BE6F6D" w:rsidRPr="009A4A22">
        <w:rPr>
          <w:noProof/>
        </w:rPr>
        <w:t xml:space="preserve"> w</w:t>
      </w:r>
      <w:r w:rsidR="00BE6F6D">
        <w:rPr>
          <w:noProof/>
        </w:rPr>
        <w:t> </w:t>
      </w:r>
      <w:r w:rsidR="00BE6F6D" w:rsidRPr="009A4A22">
        <w:rPr>
          <w:noProof/>
        </w:rPr>
        <w:t>inn</w:t>
      </w:r>
      <w:r w:rsidRPr="009A4A22">
        <w:rPr>
          <w:noProof/>
        </w:rPr>
        <w:t>ych państwach członkowskich, tłumaczyć korespondencję</w:t>
      </w:r>
      <w:r w:rsidR="00BE6F6D" w:rsidRPr="009A4A22">
        <w:rPr>
          <w:noProof/>
        </w:rPr>
        <w:t xml:space="preserve"> i</w:t>
      </w:r>
      <w:r w:rsidR="00BE6F6D">
        <w:rPr>
          <w:noProof/>
        </w:rPr>
        <w:t> </w:t>
      </w:r>
      <w:r w:rsidR="00BE6F6D" w:rsidRPr="009A4A22">
        <w:rPr>
          <w:noProof/>
        </w:rPr>
        <w:t>dok</w:t>
      </w:r>
      <w:r w:rsidRPr="009A4A22">
        <w:rPr>
          <w:noProof/>
        </w:rPr>
        <w:t>umenty istotne dla danej sprawy itp. Szacuje się, że wymaga to około 50 etatów (ekwiwalentów pełnego czasu pracy)</w:t>
      </w:r>
      <w:r w:rsidR="00BE6F6D" w:rsidRPr="009A4A22">
        <w:rPr>
          <w:noProof/>
        </w:rPr>
        <w:t xml:space="preserve"> w</w:t>
      </w:r>
      <w:r w:rsidR="00BE6F6D">
        <w:rPr>
          <w:noProof/>
        </w:rPr>
        <w:t> </w:t>
      </w:r>
      <w:r w:rsidR="00BE6F6D" w:rsidRPr="009A4A22">
        <w:rPr>
          <w:noProof/>
        </w:rPr>
        <w:t>cał</w:t>
      </w:r>
      <w:r w:rsidRPr="009A4A22">
        <w:rPr>
          <w:noProof/>
        </w:rPr>
        <w:t>ej UE, co oznacza przejęcie równoważnej liczby stanowisk</w:t>
      </w:r>
      <w:r w:rsidR="00BE6F6D" w:rsidRPr="009A4A22">
        <w:rPr>
          <w:noProof/>
        </w:rPr>
        <w:t xml:space="preserve"> z</w:t>
      </w:r>
      <w:r w:rsidR="00BE6F6D">
        <w:rPr>
          <w:noProof/>
        </w:rPr>
        <w:t> </w:t>
      </w:r>
      <w:r w:rsidR="00BE6F6D" w:rsidRPr="009A4A22">
        <w:rPr>
          <w:noProof/>
        </w:rPr>
        <w:t>pun</w:t>
      </w:r>
      <w:r w:rsidRPr="009A4A22">
        <w:rPr>
          <w:noProof/>
        </w:rPr>
        <w:t>któw kontaktowych ODR</w:t>
      </w:r>
      <w:r w:rsidR="00BE6F6D" w:rsidRPr="009A4A22">
        <w:rPr>
          <w:noProof/>
        </w:rPr>
        <w:t xml:space="preserve"> w</w:t>
      </w:r>
      <w:r w:rsidR="00BE6F6D">
        <w:rPr>
          <w:noProof/>
        </w:rPr>
        <w:t> </w:t>
      </w:r>
      <w:r w:rsidR="00BE6F6D" w:rsidRPr="009A4A22">
        <w:rPr>
          <w:noProof/>
        </w:rPr>
        <w:t>pań</w:t>
      </w:r>
      <w:r w:rsidRPr="009A4A22">
        <w:rPr>
          <w:noProof/>
        </w:rPr>
        <w:t>stwach członkowskich. Ten środek</w:t>
      </w:r>
      <w:r w:rsidR="00BE6F6D" w:rsidRPr="009A4A22">
        <w:rPr>
          <w:noProof/>
        </w:rPr>
        <w:t xml:space="preserve"> o</w:t>
      </w:r>
      <w:r w:rsidR="00BE6F6D">
        <w:rPr>
          <w:noProof/>
        </w:rPr>
        <w:t> </w:t>
      </w:r>
      <w:r w:rsidR="00BE6F6D" w:rsidRPr="009A4A22">
        <w:rPr>
          <w:noProof/>
        </w:rPr>
        <w:t>zer</w:t>
      </w:r>
      <w:r w:rsidRPr="009A4A22">
        <w:rPr>
          <w:noProof/>
        </w:rPr>
        <w:t>owych kosztach</w:t>
      </w:r>
      <w:r w:rsidRPr="009A4A22">
        <w:rPr>
          <w:rStyle w:val="FootnoteReference"/>
          <w:noProof/>
        </w:rPr>
        <w:footnoteReference w:id="27"/>
      </w:r>
      <w:r w:rsidRPr="009A4A22">
        <w:rPr>
          <w:noProof/>
        </w:rPr>
        <w:t xml:space="preserve"> przyczyniłby się</w:t>
      </w:r>
      <w:r w:rsidR="00BE6F6D" w:rsidRPr="009A4A22">
        <w:rPr>
          <w:noProof/>
        </w:rPr>
        <w:t xml:space="preserve"> z</w:t>
      </w:r>
      <w:r w:rsidR="00BE6F6D">
        <w:rPr>
          <w:noProof/>
        </w:rPr>
        <w:t> </w:t>
      </w:r>
      <w:r w:rsidR="00BE6F6D" w:rsidRPr="009A4A22">
        <w:rPr>
          <w:noProof/>
        </w:rPr>
        <w:t>kol</w:t>
      </w:r>
      <w:r w:rsidRPr="009A4A22">
        <w:rPr>
          <w:noProof/>
        </w:rPr>
        <w:t xml:space="preserve">ei do dalszego zmniejszenia szkód ponoszonych przez konsumentów i do ograniczenia kosztów ponoszonych przez podmioty ADR. </w:t>
      </w:r>
    </w:p>
    <w:p w14:paraId="02215AE6" w14:textId="390462B8" w:rsidR="00D36A0B" w:rsidRPr="009A4A22" w:rsidRDefault="00D36A0B" w:rsidP="00FB0CD7">
      <w:pPr>
        <w:rPr>
          <w:noProof/>
        </w:rPr>
      </w:pPr>
      <w:r w:rsidRPr="009A4A22">
        <w:rPr>
          <w:b/>
          <w:noProof/>
        </w:rPr>
        <w:t>Skutki społeczne</w:t>
      </w:r>
      <w:r w:rsidRPr="009A4A22">
        <w:rPr>
          <w:noProof/>
        </w:rPr>
        <w:t>: Pewność szybkiego uzyskania odpowiedzi na skargi wniesione</w:t>
      </w:r>
      <w:r w:rsidR="00BE6F6D" w:rsidRPr="009A4A22">
        <w:rPr>
          <w:noProof/>
        </w:rPr>
        <w:t xml:space="preserve"> w</w:t>
      </w:r>
      <w:r w:rsidR="00BE6F6D">
        <w:rPr>
          <w:noProof/>
        </w:rPr>
        <w:t> </w:t>
      </w:r>
      <w:r w:rsidR="00BE6F6D" w:rsidRPr="009A4A22">
        <w:rPr>
          <w:noProof/>
        </w:rPr>
        <w:t>ram</w:t>
      </w:r>
      <w:r w:rsidRPr="009A4A22">
        <w:rPr>
          <w:noProof/>
        </w:rPr>
        <w:t>ach odpowiedniego postępowania ADR zdecydowanie obniżyłaby stres</w:t>
      </w:r>
      <w:r w:rsidR="00BE6F6D" w:rsidRPr="009A4A22">
        <w:rPr>
          <w:noProof/>
        </w:rPr>
        <w:t xml:space="preserve"> u</w:t>
      </w:r>
      <w:r w:rsidR="00BE6F6D">
        <w:rPr>
          <w:noProof/>
        </w:rPr>
        <w:t> </w:t>
      </w:r>
      <w:r w:rsidR="00BE6F6D" w:rsidRPr="009A4A22">
        <w:rPr>
          <w:noProof/>
        </w:rPr>
        <w:t>kon</w:t>
      </w:r>
      <w:r w:rsidRPr="009A4A22">
        <w:rPr>
          <w:noProof/>
        </w:rPr>
        <w:t>sumentów, którzy mogliby również lepiej oceniać praktyczność różnych możliwości rozstrzygania sporów. Rozszerzony zakres stosowania dyrektywy zmniejszyłby również liczbę spraw zalegających</w:t>
      </w:r>
      <w:r w:rsidR="00BE6F6D" w:rsidRPr="009A4A22">
        <w:rPr>
          <w:noProof/>
        </w:rPr>
        <w:t xml:space="preserve"> w</w:t>
      </w:r>
      <w:r w:rsidR="00BE6F6D">
        <w:rPr>
          <w:noProof/>
        </w:rPr>
        <w:t> </w:t>
      </w:r>
      <w:r w:rsidR="00BE6F6D" w:rsidRPr="009A4A22">
        <w:rPr>
          <w:noProof/>
        </w:rPr>
        <w:t>sąd</w:t>
      </w:r>
      <w:r w:rsidRPr="009A4A22">
        <w:rPr>
          <w:noProof/>
        </w:rPr>
        <w:t>ach, ponieważ obecnie konsumenci mogą rozwiązać niektóre sprawy jedynie</w:t>
      </w:r>
      <w:r w:rsidR="00BE6F6D" w:rsidRPr="009A4A22">
        <w:rPr>
          <w:noProof/>
        </w:rPr>
        <w:t xml:space="preserve"> w</w:t>
      </w:r>
      <w:r w:rsidR="00BE6F6D">
        <w:rPr>
          <w:noProof/>
        </w:rPr>
        <w:t> </w:t>
      </w:r>
      <w:r w:rsidR="00BE6F6D" w:rsidRPr="009A4A22">
        <w:rPr>
          <w:noProof/>
        </w:rPr>
        <w:t>sąd</w:t>
      </w:r>
      <w:r w:rsidRPr="009A4A22">
        <w:rPr>
          <w:noProof/>
        </w:rPr>
        <w:t>zie. Zastąpienie platformy ODR nie będzie mieć wpływu społecznego na zatrudnienie, ponieważ punkty kontaktowe</w:t>
      </w:r>
      <w:r w:rsidR="00BE6F6D" w:rsidRPr="009A4A22">
        <w:rPr>
          <w:noProof/>
        </w:rPr>
        <w:t xml:space="preserve"> w</w:t>
      </w:r>
      <w:r w:rsidR="00BE6F6D">
        <w:rPr>
          <w:noProof/>
        </w:rPr>
        <w:t> </w:t>
      </w:r>
      <w:r w:rsidR="00BE6F6D" w:rsidRPr="009A4A22">
        <w:rPr>
          <w:noProof/>
        </w:rPr>
        <w:t>pań</w:t>
      </w:r>
      <w:r w:rsidRPr="009A4A22">
        <w:rPr>
          <w:noProof/>
        </w:rPr>
        <w:t>stwach członkowskich (około 50 etatów</w:t>
      </w:r>
      <w:r w:rsidR="00BE6F6D" w:rsidRPr="009A4A22">
        <w:rPr>
          <w:noProof/>
        </w:rPr>
        <w:t xml:space="preserve"> w</w:t>
      </w:r>
      <w:r w:rsidR="00BE6F6D">
        <w:rPr>
          <w:noProof/>
        </w:rPr>
        <w:t> </w:t>
      </w:r>
      <w:r w:rsidR="00BE6F6D" w:rsidRPr="009A4A22">
        <w:rPr>
          <w:noProof/>
        </w:rPr>
        <w:t>cał</w:t>
      </w:r>
      <w:r w:rsidRPr="009A4A22">
        <w:rPr>
          <w:noProof/>
        </w:rPr>
        <w:t>ej UE) zostałyby przejęte przez Europejskie Centra Konsumenckie</w:t>
      </w:r>
      <w:r w:rsidR="00BE6F6D" w:rsidRPr="009A4A22">
        <w:rPr>
          <w:noProof/>
        </w:rPr>
        <w:t xml:space="preserve"> i</w:t>
      </w:r>
      <w:r w:rsidR="00BE6F6D">
        <w:rPr>
          <w:noProof/>
        </w:rPr>
        <w:t> </w:t>
      </w:r>
      <w:r w:rsidR="00BE6F6D" w:rsidRPr="009A4A22">
        <w:rPr>
          <w:noProof/>
        </w:rPr>
        <w:t>otr</w:t>
      </w:r>
      <w:r w:rsidRPr="009A4A22">
        <w:rPr>
          <w:noProof/>
        </w:rPr>
        <w:t>zymałyby nowe obowiązki</w:t>
      </w:r>
      <w:r w:rsidR="00BE6F6D" w:rsidRPr="009A4A22">
        <w:rPr>
          <w:noProof/>
        </w:rPr>
        <w:t xml:space="preserve"> w</w:t>
      </w:r>
      <w:r w:rsidR="00BE6F6D">
        <w:rPr>
          <w:noProof/>
        </w:rPr>
        <w:t> </w:t>
      </w:r>
      <w:r w:rsidR="00BE6F6D" w:rsidRPr="009A4A22">
        <w:rPr>
          <w:noProof/>
        </w:rPr>
        <w:t>zak</w:t>
      </w:r>
      <w:r w:rsidRPr="009A4A22">
        <w:rPr>
          <w:noProof/>
        </w:rPr>
        <w:t>resie transgranicznych postępowań ADR.</w:t>
      </w:r>
    </w:p>
    <w:p w14:paraId="54A8E858" w14:textId="7FCA5643" w:rsidR="00D36A0B" w:rsidRPr="009A4A22" w:rsidRDefault="00D36A0B" w:rsidP="00FB0CD7">
      <w:pPr>
        <w:rPr>
          <w:noProof/>
        </w:rPr>
      </w:pPr>
      <w:r w:rsidRPr="009A4A22">
        <w:rPr>
          <w:b/>
          <w:noProof/>
        </w:rPr>
        <w:t>Wpływ na środowisko</w:t>
      </w:r>
      <w:r w:rsidRPr="009A4A22">
        <w:rPr>
          <w:noProof/>
        </w:rPr>
        <w:t>: Rozszerzenie zakresu dyrektywy na spory pozaumowne umożliwiłoby konsumentom dochodzenie odszkodowania za szkody wynikające</w:t>
      </w:r>
      <w:r w:rsidR="00BE6F6D" w:rsidRPr="009A4A22">
        <w:rPr>
          <w:noProof/>
        </w:rPr>
        <w:t xml:space="preserve"> z</w:t>
      </w:r>
      <w:r w:rsidR="00BE6F6D">
        <w:rPr>
          <w:noProof/>
        </w:rPr>
        <w:t> </w:t>
      </w:r>
      <w:r w:rsidR="00BE6F6D" w:rsidRPr="009A4A22">
        <w:rPr>
          <w:noProof/>
        </w:rPr>
        <w:t>nie</w:t>
      </w:r>
      <w:r w:rsidRPr="009A4A22">
        <w:rPr>
          <w:noProof/>
        </w:rPr>
        <w:t>uczciwych praktyk handlowych,</w:t>
      </w:r>
      <w:r w:rsidR="00BE6F6D" w:rsidRPr="009A4A22">
        <w:rPr>
          <w:noProof/>
        </w:rPr>
        <w:t xml:space="preserve"> w</w:t>
      </w:r>
      <w:r w:rsidR="00BE6F6D">
        <w:rPr>
          <w:noProof/>
        </w:rPr>
        <w:t> </w:t>
      </w:r>
      <w:r w:rsidR="00BE6F6D" w:rsidRPr="009A4A22">
        <w:rPr>
          <w:noProof/>
        </w:rPr>
        <w:t>tym</w:t>
      </w:r>
      <w:r w:rsidRPr="009A4A22">
        <w:rPr>
          <w:noProof/>
        </w:rPr>
        <w:t xml:space="preserve"> związanych</w:t>
      </w:r>
      <w:r w:rsidR="00BE6F6D" w:rsidRPr="009A4A22">
        <w:rPr>
          <w:noProof/>
        </w:rPr>
        <w:t xml:space="preserve"> z</w:t>
      </w:r>
      <w:r w:rsidR="00BE6F6D">
        <w:rPr>
          <w:noProof/>
        </w:rPr>
        <w:t> </w:t>
      </w:r>
      <w:r w:rsidR="00BE6F6D" w:rsidRPr="009A4A22">
        <w:rPr>
          <w:noProof/>
        </w:rPr>
        <w:t>wpr</w:t>
      </w:r>
      <w:r w:rsidRPr="009A4A22">
        <w:rPr>
          <w:noProof/>
        </w:rPr>
        <w:t>owadzającymi</w:t>
      </w:r>
      <w:r w:rsidR="00BE6F6D" w:rsidRPr="009A4A22">
        <w:rPr>
          <w:noProof/>
        </w:rPr>
        <w:t xml:space="preserve"> w</w:t>
      </w:r>
      <w:r w:rsidR="00BE6F6D">
        <w:rPr>
          <w:noProof/>
        </w:rPr>
        <w:t> </w:t>
      </w:r>
      <w:r w:rsidR="00BE6F6D" w:rsidRPr="009A4A22">
        <w:rPr>
          <w:noProof/>
        </w:rPr>
        <w:t>błą</w:t>
      </w:r>
      <w:r w:rsidRPr="009A4A22">
        <w:rPr>
          <w:noProof/>
        </w:rPr>
        <w:t>d twierdzeniami dotyczącymi ekologiczności. Możliwość dochodzenia za pośrednictwem ADR roszczeń</w:t>
      </w:r>
      <w:r w:rsidR="00BE6F6D" w:rsidRPr="009A4A22">
        <w:rPr>
          <w:noProof/>
        </w:rPr>
        <w:t xml:space="preserve"> 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pse</w:t>
      </w:r>
      <w:r w:rsidRPr="009A4A22">
        <w:rPr>
          <w:noProof/>
        </w:rPr>
        <w:t>udoekologicznym marketingiem wzmocniłaby wysiłki publicznych organów ochrony konsumentów</w:t>
      </w:r>
      <w:r w:rsidR="00BE6F6D" w:rsidRPr="009A4A22">
        <w:rPr>
          <w:noProof/>
        </w:rPr>
        <w:t xml:space="preserve"> i</w:t>
      </w:r>
      <w:r w:rsidR="00BE6F6D">
        <w:rPr>
          <w:noProof/>
        </w:rPr>
        <w:t> </w:t>
      </w:r>
      <w:r w:rsidR="00BE6F6D" w:rsidRPr="009A4A22">
        <w:rPr>
          <w:noProof/>
        </w:rPr>
        <w:t>prz</w:t>
      </w:r>
      <w:r w:rsidRPr="009A4A22">
        <w:rPr>
          <w:noProof/>
        </w:rPr>
        <w:t>yczyniłaby się do osiągnięcia celów strategii Europejskiego Zielonego Ładu</w:t>
      </w:r>
      <w:r w:rsidR="00BE6F6D" w:rsidRPr="009A4A22">
        <w:rPr>
          <w:noProof/>
        </w:rPr>
        <w:t>. W</w:t>
      </w:r>
      <w:r w:rsidR="00BE6F6D">
        <w:rPr>
          <w:noProof/>
        </w:rPr>
        <w:t> </w:t>
      </w:r>
      <w:r w:rsidR="00BE6F6D" w:rsidRPr="009A4A22">
        <w:rPr>
          <w:noProof/>
        </w:rPr>
        <w:t>tym</w:t>
      </w:r>
      <w:r w:rsidRPr="009A4A22">
        <w:rPr>
          <w:noProof/>
        </w:rPr>
        <w:t xml:space="preserve"> samym kontekście konsumenci mogliby również składać skargi</w:t>
      </w:r>
      <w:r w:rsidR="00BE6F6D" w:rsidRPr="009A4A22">
        <w:rPr>
          <w:noProof/>
        </w:rPr>
        <w:t xml:space="preserve"> w</w:t>
      </w:r>
      <w:r w:rsidR="00BE6F6D">
        <w:rPr>
          <w:noProof/>
        </w:rPr>
        <w:t> </w:t>
      </w:r>
      <w:r w:rsidR="00BE6F6D" w:rsidRPr="009A4A22">
        <w:rPr>
          <w:noProof/>
        </w:rPr>
        <w:t>ram</w:t>
      </w:r>
      <w:r w:rsidRPr="009A4A22">
        <w:rPr>
          <w:noProof/>
        </w:rPr>
        <w:t>ach ADR</w:t>
      </w:r>
      <w:r w:rsidR="00BE6F6D" w:rsidRPr="009A4A22">
        <w:rPr>
          <w:noProof/>
        </w:rPr>
        <w:t xml:space="preserve"> w</w:t>
      </w:r>
      <w:r w:rsidR="00BE6F6D">
        <w:rPr>
          <w:noProof/>
        </w:rPr>
        <w:t> </w:t>
      </w:r>
      <w:r w:rsidR="00BE6F6D" w:rsidRPr="009A4A22">
        <w:rPr>
          <w:noProof/>
        </w:rPr>
        <w:t>inn</w:t>
      </w:r>
      <w:r w:rsidRPr="009A4A22">
        <w:rPr>
          <w:noProof/>
        </w:rPr>
        <w:t>ych sprawach mających wpływ na środowisko, takich jak wprowadzające</w:t>
      </w:r>
      <w:r w:rsidR="00BE6F6D" w:rsidRPr="009A4A22">
        <w:rPr>
          <w:noProof/>
        </w:rPr>
        <w:t xml:space="preserve"> w</w:t>
      </w:r>
      <w:r w:rsidR="00BE6F6D">
        <w:rPr>
          <w:noProof/>
        </w:rPr>
        <w:t> </w:t>
      </w:r>
      <w:r w:rsidR="00BE6F6D" w:rsidRPr="009A4A22">
        <w:rPr>
          <w:noProof/>
        </w:rPr>
        <w:t>błą</w:t>
      </w:r>
      <w:r w:rsidRPr="009A4A22">
        <w:rPr>
          <w:noProof/>
        </w:rPr>
        <w:t>d informacje przekazywane przed zawarciem umowy</w:t>
      </w:r>
      <w:r w:rsidR="00BE6F6D" w:rsidRPr="009A4A22">
        <w:rPr>
          <w:noProof/>
        </w:rPr>
        <w:t xml:space="preserve"> w</w:t>
      </w:r>
      <w:r w:rsidR="00BE6F6D">
        <w:rPr>
          <w:noProof/>
        </w:rPr>
        <w:t> </w:t>
      </w:r>
      <w:r w:rsidR="00BE6F6D" w:rsidRPr="009A4A22">
        <w:rPr>
          <w:noProof/>
        </w:rPr>
        <w:t>odn</w:t>
      </w:r>
      <w:r w:rsidRPr="009A4A22">
        <w:rPr>
          <w:noProof/>
        </w:rPr>
        <w:t>iesieniu do umów dotyczących energii lub</w:t>
      </w:r>
      <w:r w:rsidR="00BE6F6D" w:rsidRPr="009A4A22">
        <w:rPr>
          <w:noProof/>
        </w:rPr>
        <w:t xml:space="preserve"> w</w:t>
      </w:r>
      <w:r w:rsidR="00BE6F6D">
        <w:rPr>
          <w:noProof/>
        </w:rPr>
        <w:t> </w:t>
      </w:r>
      <w:r w:rsidR="00BE6F6D" w:rsidRPr="009A4A22">
        <w:rPr>
          <w:noProof/>
        </w:rPr>
        <w:t>odn</w:t>
      </w:r>
      <w:r w:rsidRPr="009A4A22">
        <w:rPr>
          <w:noProof/>
        </w:rPr>
        <w:t xml:space="preserve">iesieniu do ekologiczności. </w:t>
      </w:r>
    </w:p>
    <w:p w14:paraId="6EE65A0D" w14:textId="3FDB968B" w:rsidR="00D36A0B" w:rsidRPr="009A4A22" w:rsidRDefault="00D36A0B" w:rsidP="00D36A0B">
      <w:pPr>
        <w:pBdr>
          <w:top w:val="nil"/>
          <w:left w:val="nil"/>
          <w:bottom w:val="nil"/>
          <w:right w:val="nil"/>
          <w:between w:val="nil"/>
          <w:bar w:val="nil"/>
        </w:pBdr>
        <w:rPr>
          <w:rFonts w:eastAsia="Calibri"/>
          <w:noProof/>
          <w:szCs w:val="24"/>
        </w:rPr>
      </w:pPr>
      <w:r w:rsidRPr="009A4A22">
        <w:rPr>
          <w:noProof/>
        </w:rPr>
        <w:t>Wniosek dotyczy ograniczonych</w:t>
      </w:r>
      <w:r w:rsidR="00BE6F6D" w:rsidRPr="009A4A22">
        <w:rPr>
          <w:noProof/>
        </w:rPr>
        <w:t xml:space="preserve"> i</w:t>
      </w:r>
      <w:r w:rsidR="00BE6F6D">
        <w:rPr>
          <w:noProof/>
        </w:rPr>
        <w:t> </w:t>
      </w:r>
      <w:r w:rsidR="00BE6F6D" w:rsidRPr="009A4A22">
        <w:rPr>
          <w:noProof/>
        </w:rPr>
        <w:t>uki</w:t>
      </w:r>
      <w:r w:rsidRPr="009A4A22">
        <w:rPr>
          <w:noProof/>
        </w:rPr>
        <w:t>erunkowanych zmian</w:t>
      </w:r>
      <w:r w:rsidR="00BE6F6D" w:rsidRPr="009A4A22">
        <w:rPr>
          <w:noProof/>
        </w:rPr>
        <w:t xml:space="preserve"> w</w:t>
      </w:r>
      <w:r w:rsidR="00BE6F6D">
        <w:rPr>
          <w:noProof/>
        </w:rPr>
        <w:t> </w:t>
      </w:r>
      <w:r w:rsidR="00BE6F6D" w:rsidRPr="009A4A22">
        <w:rPr>
          <w:noProof/>
        </w:rPr>
        <w:t>pra</w:t>
      </w:r>
      <w:r w:rsidRPr="009A4A22">
        <w:rPr>
          <w:noProof/>
        </w:rPr>
        <w:t>wodawstwie mających na celu racjonalizację wymogów</w:t>
      </w:r>
      <w:r w:rsidR="00BE6F6D" w:rsidRPr="009A4A22">
        <w:rPr>
          <w:noProof/>
        </w:rPr>
        <w:t xml:space="preserve"> w</w:t>
      </w:r>
      <w:r w:rsidR="00BE6F6D">
        <w:rPr>
          <w:noProof/>
        </w:rPr>
        <w:t> </w:t>
      </w:r>
      <w:r w:rsidR="00BE6F6D" w:rsidRPr="009A4A22">
        <w:rPr>
          <w:noProof/>
        </w:rPr>
        <w:t>zak</w:t>
      </w:r>
      <w:r w:rsidRPr="009A4A22">
        <w:rPr>
          <w:noProof/>
        </w:rPr>
        <w:t>resie sprawozdawczości. Wynikają one</w:t>
      </w:r>
      <w:r w:rsidR="00BE6F6D" w:rsidRPr="009A4A22">
        <w:rPr>
          <w:noProof/>
        </w:rPr>
        <w:t xml:space="preserve"> z</w:t>
      </w:r>
      <w:r w:rsidR="00BE6F6D">
        <w:rPr>
          <w:noProof/>
        </w:rPr>
        <w:t> </w:t>
      </w:r>
      <w:r w:rsidR="00BE6F6D" w:rsidRPr="009A4A22">
        <w:rPr>
          <w:noProof/>
        </w:rPr>
        <w:t>doś</w:t>
      </w:r>
      <w:r w:rsidRPr="009A4A22">
        <w:rPr>
          <w:noProof/>
        </w:rPr>
        <w:t>wiadczeń zgromadzonych przy wdrażaniu przepisów. Zmiany te nie mają znaczącego wpływu na politykę,</w:t>
      </w:r>
      <w:r w:rsidR="00BE6F6D" w:rsidRPr="009A4A22">
        <w:rPr>
          <w:noProof/>
        </w:rPr>
        <w:t xml:space="preserve"> a</w:t>
      </w:r>
      <w:r w:rsidR="00BE6F6D">
        <w:rPr>
          <w:noProof/>
        </w:rPr>
        <w:t> </w:t>
      </w:r>
      <w:r w:rsidR="00BE6F6D" w:rsidRPr="009A4A22">
        <w:rPr>
          <w:noProof/>
        </w:rPr>
        <w:t>jed</w:t>
      </w:r>
      <w:r w:rsidRPr="009A4A22">
        <w:rPr>
          <w:noProof/>
        </w:rPr>
        <w:t>ynie zapewniają bardziej efektywne</w:t>
      </w:r>
      <w:r w:rsidR="00BE6F6D" w:rsidRPr="009A4A22">
        <w:rPr>
          <w:noProof/>
        </w:rPr>
        <w:t xml:space="preserve"> i</w:t>
      </w:r>
      <w:r w:rsidR="00BE6F6D">
        <w:rPr>
          <w:noProof/>
        </w:rPr>
        <w:t> </w:t>
      </w:r>
      <w:r w:rsidR="00BE6F6D" w:rsidRPr="009A4A22">
        <w:rPr>
          <w:noProof/>
        </w:rPr>
        <w:t>sku</w:t>
      </w:r>
      <w:r w:rsidRPr="009A4A22">
        <w:rPr>
          <w:noProof/>
        </w:rPr>
        <w:t>teczne jej wdrażanie. Ich ukierunkowany charakter</w:t>
      </w:r>
      <w:r w:rsidR="00BE6F6D" w:rsidRPr="009A4A22">
        <w:rPr>
          <w:noProof/>
        </w:rPr>
        <w:t xml:space="preserve"> i</w:t>
      </w:r>
      <w:r w:rsidR="00BE6F6D">
        <w:rPr>
          <w:noProof/>
        </w:rPr>
        <w:t> </w:t>
      </w:r>
      <w:r w:rsidR="00BE6F6D" w:rsidRPr="009A4A22">
        <w:rPr>
          <w:noProof/>
        </w:rPr>
        <w:t>bra</w:t>
      </w:r>
      <w:r w:rsidRPr="009A4A22">
        <w:rPr>
          <w:noProof/>
        </w:rPr>
        <w:t>k ewentualnych wariantów strategicznych sprawiają, że ocena skutków nie jest konieczna.</w:t>
      </w:r>
    </w:p>
    <w:p w14:paraId="16198CA7" w14:textId="77777777" w:rsidR="00041A99" w:rsidRPr="009A4A22" w:rsidRDefault="00041A99" w:rsidP="00D36A0B">
      <w:pPr>
        <w:pBdr>
          <w:top w:val="nil"/>
          <w:left w:val="nil"/>
          <w:bottom w:val="nil"/>
          <w:right w:val="nil"/>
          <w:between w:val="nil"/>
          <w:bar w:val="nil"/>
        </w:pBdr>
        <w:rPr>
          <w:noProof/>
        </w:rPr>
      </w:pPr>
    </w:p>
    <w:p w14:paraId="6D3593BE" w14:textId="55D8A257" w:rsidR="00B1743F" w:rsidRPr="009A4A22" w:rsidRDefault="00B1743F" w:rsidP="00A4693B">
      <w:pPr>
        <w:pStyle w:val="ManualHeading2"/>
        <w:rPr>
          <w:rFonts w:eastAsia="Arial Unicode MS"/>
          <w:noProof/>
          <w:u w:color="000000"/>
          <w:bdr w:val="nil"/>
        </w:rPr>
      </w:pPr>
      <w:r w:rsidRPr="009A4A22">
        <w:rPr>
          <w:noProof/>
          <w:u w:color="000000"/>
          <w:bdr w:val="nil"/>
        </w:rPr>
        <w:t>Sprawność regulacyjna</w:t>
      </w:r>
      <w:r w:rsidR="00BE6F6D" w:rsidRPr="009A4A22">
        <w:rPr>
          <w:noProof/>
          <w:u w:color="000000"/>
          <w:bdr w:val="nil"/>
        </w:rPr>
        <w:t xml:space="preserve"> i</w:t>
      </w:r>
      <w:r w:rsidR="00BE6F6D">
        <w:rPr>
          <w:noProof/>
          <w:u w:color="000000"/>
          <w:bdr w:val="nil"/>
        </w:rPr>
        <w:t> </w:t>
      </w:r>
      <w:r w:rsidR="00BE6F6D" w:rsidRPr="009A4A22">
        <w:rPr>
          <w:noProof/>
          <w:u w:color="000000"/>
          <w:bdr w:val="nil"/>
        </w:rPr>
        <w:t>upr</w:t>
      </w:r>
      <w:r w:rsidRPr="009A4A22">
        <w:rPr>
          <w:noProof/>
          <w:u w:color="000000"/>
          <w:bdr w:val="nil"/>
        </w:rPr>
        <w:t>oszczenie</w:t>
      </w:r>
    </w:p>
    <w:p w14:paraId="3B71DF41" w14:textId="5B23868F" w:rsidR="00D36A0B" w:rsidRPr="009A4A22" w:rsidRDefault="00D36A0B" w:rsidP="00041A99">
      <w:pPr>
        <w:rPr>
          <w:noProof/>
        </w:rPr>
      </w:pPr>
      <w:r w:rsidRPr="009A4A22">
        <w:rPr>
          <w:noProof/>
        </w:rPr>
        <w:t>Środki przewidziane</w:t>
      </w:r>
      <w:r w:rsidR="00BE6F6D" w:rsidRPr="009A4A22">
        <w:rPr>
          <w:noProof/>
        </w:rPr>
        <w:t xml:space="preserve"> w</w:t>
      </w:r>
      <w:r w:rsidR="00BE6F6D">
        <w:rPr>
          <w:noProof/>
        </w:rPr>
        <w:t> </w:t>
      </w:r>
      <w:r w:rsidR="00BE6F6D" w:rsidRPr="009A4A22">
        <w:rPr>
          <w:noProof/>
        </w:rPr>
        <w:t>pro</w:t>
      </w:r>
      <w:r w:rsidRPr="009A4A22">
        <w:rPr>
          <w:noProof/>
        </w:rPr>
        <w:t>ponowanych zmianach zapewniają następujące możliwości poprawy efektywności, obliczone</w:t>
      </w:r>
      <w:r w:rsidR="00BE6F6D" w:rsidRPr="009A4A22">
        <w:rPr>
          <w:noProof/>
        </w:rPr>
        <w:t xml:space="preserve"> w</w:t>
      </w:r>
      <w:r w:rsidR="00BE6F6D">
        <w:rPr>
          <w:noProof/>
        </w:rPr>
        <w:t> </w:t>
      </w:r>
      <w:r w:rsidR="00BE6F6D" w:rsidRPr="009A4A22">
        <w:rPr>
          <w:noProof/>
        </w:rPr>
        <w:t>ska</w:t>
      </w:r>
      <w:r w:rsidRPr="009A4A22">
        <w:rPr>
          <w:noProof/>
        </w:rPr>
        <w:t>li roku:</w:t>
      </w:r>
    </w:p>
    <w:p w14:paraId="1A8E8493" w14:textId="77777777" w:rsidR="00D36A0B" w:rsidRPr="009A4A22" w:rsidRDefault="00D36A0B" w:rsidP="00FE74FE">
      <w:pPr>
        <w:pStyle w:val="Bullet0"/>
        <w:numPr>
          <w:ilvl w:val="0"/>
          <w:numId w:val="8"/>
        </w:numPr>
        <w:rPr>
          <w:noProof/>
        </w:rPr>
      </w:pPr>
      <w:r w:rsidRPr="009A4A22">
        <w:rPr>
          <w:noProof/>
        </w:rPr>
        <w:t>370 mln EUR oszczędności kosztów dostosowania dla przedsiębiorstw (zastąpienie unijnej platformy ODR);</w:t>
      </w:r>
    </w:p>
    <w:p w14:paraId="6880CB93" w14:textId="3635770C" w:rsidR="00D36A0B" w:rsidRPr="009A4A22" w:rsidRDefault="00D36A0B" w:rsidP="00FE74FE">
      <w:pPr>
        <w:pStyle w:val="Bullet0"/>
        <w:numPr>
          <w:ilvl w:val="0"/>
          <w:numId w:val="8"/>
        </w:numPr>
        <w:rPr>
          <w:noProof/>
        </w:rPr>
      </w:pPr>
      <w:r w:rsidRPr="009A4A22">
        <w:rPr>
          <w:noProof/>
        </w:rPr>
        <w:t>264 mln EUR oszczędności kosztów dostosowania dla przedsiębiorstw (rezygnacja</w:t>
      </w:r>
      <w:r w:rsidR="00BE6F6D" w:rsidRPr="009A4A22">
        <w:rPr>
          <w:noProof/>
        </w:rPr>
        <w:t xml:space="preserve"> z</w:t>
      </w:r>
      <w:r w:rsidR="00BE6F6D">
        <w:rPr>
          <w:noProof/>
        </w:rPr>
        <w:t> </w:t>
      </w:r>
      <w:r w:rsidR="00BE6F6D" w:rsidRPr="009A4A22">
        <w:rPr>
          <w:noProof/>
        </w:rPr>
        <w:t>obo</w:t>
      </w:r>
      <w:r w:rsidRPr="009A4A22">
        <w:rPr>
          <w:noProof/>
        </w:rPr>
        <w:t>wiązku informowania o ADR);</w:t>
      </w:r>
    </w:p>
    <w:p w14:paraId="300EADE1" w14:textId="6128A041" w:rsidR="00D36A0B" w:rsidRPr="009A4A22" w:rsidRDefault="00D36A0B" w:rsidP="0051357E">
      <w:pPr>
        <w:rPr>
          <w:noProof/>
        </w:rPr>
      </w:pPr>
      <w:r w:rsidRPr="009A4A22">
        <w:rPr>
          <w:noProof/>
        </w:rPr>
        <w:t>Preferowany wariant wiąże się</w:t>
      </w:r>
      <w:r w:rsidR="00BE6F6D" w:rsidRPr="009A4A22">
        <w:rPr>
          <w:noProof/>
        </w:rPr>
        <w:t xml:space="preserve"> z</w:t>
      </w:r>
      <w:r w:rsidR="00BE6F6D">
        <w:rPr>
          <w:noProof/>
        </w:rPr>
        <w:t> </w:t>
      </w:r>
      <w:r w:rsidR="00BE6F6D" w:rsidRPr="009A4A22">
        <w:rPr>
          <w:noProof/>
        </w:rPr>
        <w:t>nas</w:t>
      </w:r>
      <w:r w:rsidRPr="009A4A22">
        <w:rPr>
          <w:noProof/>
        </w:rPr>
        <w:t>tępującymi niewielkimi rocznymi kosztami dostosowania:</w:t>
      </w:r>
    </w:p>
    <w:p w14:paraId="3E3164A9" w14:textId="77777777" w:rsidR="00D36A0B" w:rsidRPr="009A4A22" w:rsidRDefault="00D36A0B" w:rsidP="00FE74FE">
      <w:pPr>
        <w:pStyle w:val="Bullet0"/>
        <w:numPr>
          <w:ilvl w:val="0"/>
          <w:numId w:val="9"/>
        </w:numPr>
        <w:rPr>
          <w:noProof/>
        </w:rPr>
      </w:pPr>
      <w:r w:rsidRPr="009A4A22">
        <w:rPr>
          <w:noProof/>
        </w:rPr>
        <w:t>2,6 mln EUR bieżących kosztów dostosowania dla przedsiębiorstw (obowiązek udzielenia odpowiedzi);</w:t>
      </w:r>
    </w:p>
    <w:p w14:paraId="07EF6BA8" w14:textId="77777777" w:rsidR="00D36A0B" w:rsidRPr="009A4A22" w:rsidRDefault="00D36A0B" w:rsidP="00FE74FE">
      <w:pPr>
        <w:pStyle w:val="Bullet0"/>
        <w:numPr>
          <w:ilvl w:val="0"/>
          <w:numId w:val="9"/>
        </w:numPr>
        <w:rPr>
          <w:noProof/>
        </w:rPr>
      </w:pPr>
      <w:r w:rsidRPr="009A4A22">
        <w:rPr>
          <w:noProof/>
        </w:rPr>
        <w:t xml:space="preserve">25 mln EUR bieżących kosztów dostosowania dla podmiotów ADR (rozpatrywanie dodatkowych sporów); </w:t>
      </w:r>
    </w:p>
    <w:p w14:paraId="0701D1B8" w14:textId="77777777" w:rsidR="00D36A0B" w:rsidRPr="009A4A22" w:rsidRDefault="00D36A0B" w:rsidP="00FE74FE">
      <w:pPr>
        <w:pStyle w:val="Bullet0"/>
        <w:numPr>
          <w:ilvl w:val="0"/>
          <w:numId w:val="9"/>
        </w:numPr>
        <w:rPr>
          <w:noProof/>
        </w:rPr>
      </w:pPr>
      <w:r w:rsidRPr="009A4A22">
        <w:rPr>
          <w:noProof/>
        </w:rPr>
        <w:t>11 mln EUR kosztów dostosowania się do nowych przepisów przez prywatnych dostawców platform ODR.</w:t>
      </w:r>
    </w:p>
    <w:p w14:paraId="6BD73078" w14:textId="5AAC2F34" w:rsidR="00D36A0B" w:rsidRPr="009A4A22" w:rsidRDefault="00D36A0B" w:rsidP="00D36A0B">
      <w:pPr>
        <w:rPr>
          <w:noProof/>
        </w:rPr>
      </w:pPr>
      <w:r w:rsidRPr="009A4A22">
        <w:rPr>
          <w:noProof/>
        </w:rPr>
        <w:t>Roczne oszczędności</w:t>
      </w:r>
      <w:r w:rsidR="00BE6F6D" w:rsidRPr="009A4A22">
        <w:rPr>
          <w:noProof/>
        </w:rPr>
        <w:t xml:space="preserve"> w</w:t>
      </w:r>
      <w:r w:rsidR="00BE6F6D">
        <w:rPr>
          <w:noProof/>
        </w:rPr>
        <w:t> </w:t>
      </w:r>
      <w:r w:rsidR="00BE6F6D" w:rsidRPr="009A4A22">
        <w:rPr>
          <w:noProof/>
        </w:rPr>
        <w:t>wys</w:t>
      </w:r>
      <w:r w:rsidRPr="009A4A22">
        <w:rPr>
          <w:noProof/>
        </w:rPr>
        <w:t>okości 634 mln EUR wynikające</w:t>
      </w:r>
      <w:r w:rsidR="00BE6F6D" w:rsidRPr="009A4A22">
        <w:rPr>
          <w:noProof/>
        </w:rPr>
        <w:t xml:space="preserve"> z</w:t>
      </w:r>
      <w:r w:rsidR="00BE6F6D">
        <w:rPr>
          <w:noProof/>
        </w:rPr>
        <w:t> </w:t>
      </w:r>
      <w:r w:rsidR="00BE6F6D" w:rsidRPr="009A4A22">
        <w:rPr>
          <w:noProof/>
        </w:rPr>
        <w:t>upr</w:t>
      </w:r>
      <w:r w:rsidRPr="009A4A22">
        <w:rPr>
          <w:noProof/>
        </w:rPr>
        <w:t>oszczenia</w:t>
      </w:r>
      <w:r w:rsidR="00BE6F6D" w:rsidRPr="009A4A22">
        <w:rPr>
          <w:noProof/>
        </w:rPr>
        <w:t xml:space="preserve"> z</w:t>
      </w:r>
      <w:r w:rsidR="00BE6F6D">
        <w:rPr>
          <w:noProof/>
        </w:rPr>
        <w:t> </w:t>
      </w:r>
      <w:r w:rsidR="00BE6F6D" w:rsidRPr="009A4A22">
        <w:rPr>
          <w:noProof/>
        </w:rPr>
        <w:t>naw</w:t>
      </w:r>
      <w:r w:rsidRPr="009A4A22">
        <w:rPr>
          <w:noProof/>
        </w:rPr>
        <w:t>iązką kompensują łączne koszty</w:t>
      </w:r>
      <w:r w:rsidR="00BE6F6D" w:rsidRPr="009A4A22">
        <w:rPr>
          <w:noProof/>
        </w:rPr>
        <w:t xml:space="preserve"> w</w:t>
      </w:r>
      <w:r w:rsidR="00BE6F6D">
        <w:rPr>
          <w:noProof/>
        </w:rPr>
        <w:t> </w:t>
      </w:r>
      <w:r w:rsidR="00BE6F6D" w:rsidRPr="009A4A22">
        <w:rPr>
          <w:noProof/>
        </w:rPr>
        <w:t>kwo</w:t>
      </w:r>
      <w:r w:rsidRPr="009A4A22">
        <w:rPr>
          <w:noProof/>
        </w:rPr>
        <w:t xml:space="preserve">cie 39 mln EUR rocznie. </w:t>
      </w:r>
    </w:p>
    <w:p w14:paraId="396B6760" w14:textId="5B11B298" w:rsidR="00D36A0B" w:rsidRPr="009A4A22" w:rsidRDefault="00D36A0B" w:rsidP="00D36A0B">
      <w:pPr>
        <w:rPr>
          <w:b/>
          <w:bCs/>
          <w:noProof/>
        </w:rPr>
      </w:pPr>
      <w:r w:rsidRPr="009A4A22">
        <w:rPr>
          <w:noProof/>
        </w:rPr>
        <w:t>Nie wiadomo, ile</w:t>
      </w:r>
      <w:r w:rsidR="00BE6F6D" w:rsidRPr="009A4A22">
        <w:rPr>
          <w:noProof/>
        </w:rPr>
        <w:t xml:space="preserve"> z</w:t>
      </w:r>
      <w:r w:rsidR="00BE6F6D">
        <w:rPr>
          <w:noProof/>
        </w:rPr>
        <w:t> </w:t>
      </w:r>
      <w:r w:rsidR="00BE6F6D" w:rsidRPr="009A4A22">
        <w:rPr>
          <w:noProof/>
        </w:rPr>
        <w:t>toc</w:t>
      </w:r>
      <w:r w:rsidRPr="009A4A22">
        <w:rPr>
          <w:noProof/>
        </w:rPr>
        <w:t>zących się sporów dotyczy MŚP,</w:t>
      </w:r>
      <w:r w:rsidR="00BE6F6D" w:rsidRPr="009A4A22">
        <w:rPr>
          <w:noProof/>
        </w:rPr>
        <w:t xml:space="preserve"> a</w:t>
      </w:r>
      <w:r w:rsidR="00BE6F6D">
        <w:rPr>
          <w:noProof/>
        </w:rPr>
        <w:t> </w:t>
      </w:r>
      <w:r w:rsidR="00BE6F6D" w:rsidRPr="009A4A22">
        <w:rPr>
          <w:noProof/>
        </w:rPr>
        <w:t>ile</w:t>
      </w:r>
      <w:r w:rsidRPr="009A4A22">
        <w:rPr>
          <w:noProof/>
        </w:rPr>
        <w:t xml:space="preserve"> – dużych przedsiębiorstw,</w:t>
      </w:r>
      <w:r w:rsidR="00BE6F6D" w:rsidRPr="009A4A22">
        <w:rPr>
          <w:noProof/>
        </w:rPr>
        <w:t xml:space="preserve"> 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czy</w:t>
      </w:r>
      <w:r w:rsidRPr="009A4A22">
        <w:rPr>
          <w:noProof/>
        </w:rPr>
        <w:t>m trudno ustalić wysokość kosztów związanych</w:t>
      </w:r>
      <w:r w:rsidR="00BE6F6D" w:rsidRPr="009A4A22">
        <w:rPr>
          <w:noProof/>
        </w:rPr>
        <w:t xml:space="preserve"> z</w:t>
      </w:r>
      <w:r w:rsidR="00BE6F6D">
        <w:rPr>
          <w:noProof/>
        </w:rPr>
        <w:t> </w:t>
      </w:r>
      <w:r w:rsidR="00BE6F6D" w:rsidRPr="009A4A22">
        <w:rPr>
          <w:noProof/>
        </w:rPr>
        <w:t>obo</w:t>
      </w:r>
      <w:r w:rsidRPr="009A4A22">
        <w:rPr>
          <w:noProof/>
        </w:rPr>
        <w:t>wiązkiem odpowiedzi oddzielnie dla MŚP. Jednakże – skoro MŚP stanowią znaczną większość przedsiębiorstw – będą one również głównymi beneficjentami oszczędności kosztów wynikających</w:t>
      </w:r>
      <w:r w:rsidR="00BE6F6D" w:rsidRPr="009A4A22">
        <w:rPr>
          <w:noProof/>
        </w:rPr>
        <w:t xml:space="preserve"> z</w:t>
      </w:r>
      <w:r w:rsidR="00BE6F6D">
        <w:rPr>
          <w:noProof/>
        </w:rPr>
        <w:t> </w:t>
      </w:r>
      <w:r w:rsidR="00BE6F6D" w:rsidRPr="009A4A22">
        <w:rPr>
          <w:noProof/>
        </w:rPr>
        <w:t>obo</w:t>
      </w:r>
      <w:r w:rsidRPr="009A4A22">
        <w:rPr>
          <w:noProof/>
        </w:rPr>
        <w:t>wiązku podawania informacji, zarówno</w:t>
      </w:r>
      <w:r w:rsidR="00BE6F6D" w:rsidRPr="009A4A22">
        <w:rPr>
          <w:noProof/>
        </w:rPr>
        <w:t xml:space="preserve"> 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zas</w:t>
      </w:r>
      <w:r w:rsidRPr="009A4A22">
        <w:rPr>
          <w:noProof/>
        </w:rPr>
        <w:t>tąpieniem platformy ODR, jak</w:t>
      </w:r>
      <w:r w:rsidR="00BE6F6D" w:rsidRPr="009A4A22">
        <w:rPr>
          <w:noProof/>
        </w:rPr>
        <w:t xml:space="preserve"> i</w:t>
      </w:r>
      <w:r w:rsidR="00BE6F6D">
        <w:rPr>
          <w:noProof/>
        </w:rPr>
        <w:t> </w:t>
      </w:r>
      <w:r w:rsidR="00BE6F6D" w:rsidRPr="009A4A22">
        <w:rPr>
          <w:noProof/>
        </w:rPr>
        <w:t>ogó</w:t>
      </w:r>
      <w:r w:rsidRPr="009A4A22">
        <w:rPr>
          <w:noProof/>
        </w:rPr>
        <w:t>lnie</w:t>
      </w:r>
      <w:r w:rsidR="00BE6F6D" w:rsidRPr="009A4A22">
        <w:rPr>
          <w:noProof/>
        </w:rPr>
        <w:t xml:space="preserve"> w</w:t>
      </w:r>
      <w:r w:rsidR="00BE6F6D">
        <w:rPr>
          <w:noProof/>
        </w:rPr>
        <w:t> </w:t>
      </w:r>
      <w:r w:rsidR="00BE6F6D" w:rsidRPr="009A4A22">
        <w:rPr>
          <w:noProof/>
        </w:rPr>
        <w:t>zwi</w:t>
      </w:r>
      <w:r w:rsidRPr="009A4A22">
        <w:rPr>
          <w:noProof/>
        </w:rPr>
        <w:t>ązku z ADR. Preferowany wariant będzie miał pozytywny wpływ na konkurencyjność unijnych MŚP, ponieważ oszczędności będzie można wykorzystać do zwiększenia atrakcyjności cen oferowanych przez MŚP</w:t>
      </w:r>
      <w:r w:rsidR="00BE6F6D" w:rsidRPr="009A4A22">
        <w:rPr>
          <w:noProof/>
        </w:rPr>
        <w:t xml:space="preserve"> i</w:t>
      </w:r>
      <w:r w:rsidR="00BE6F6D">
        <w:rPr>
          <w:noProof/>
        </w:rPr>
        <w:t> </w:t>
      </w:r>
      <w:r w:rsidR="00BE6F6D" w:rsidRPr="009A4A22">
        <w:rPr>
          <w:noProof/>
        </w:rPr>
        <w:t>ewe</w:t>
      </w:r>
      <w:r w:rsidRPr="009A4A22">
        <w:rPr>
          <w:noProof/>
        </w:rPr>
        <w:t>ntualnie do wspierania innowacji.</w:t>
      </w:r>
    </w:p>
    <w:p w14:paraId="6869AA69" w14:textId="67C8D2A9" w:rsidR="00D36A0B" w:rsidRPr="009A4A22" w:rsidRDefault="00D36A0B" w:rsidP="00D36A0B">
      <w:pPr>
        <w:rPr>
          <w:noProof/>
        </w:rPr>
      </w:pPr>
      <w:r w:rsidRPr="009A4A22">
        <w:rPr>
          <w:noProof/>
        </w:rPr>
        <w:t>Badanie behawioralne dotyczące wymogów informacyjnych</w:t>
      </w:r>
      <w:r w:rsidR="00BE6F6D" w:rsidRPr="009A4A22">
        <w:rPr>
          <w:noProof/>
        </w:rPr>
        <w:t xml:space="preserve"> w</w:t>
      </w:r>
      <w:r w:rsidR="00BE6F6D">
        <w:rPr>
          <w:noProof/>
        </w:rPr>
        <w:t> </w:t>
      </w:r>
      <w:r w:rsidR="00BE6F6D" w:rsidRPr="009A4A22">
        <w:rPr>
          <w:noProof/>
        </w:rPr>
        <w:t>zak</w:t>
      </w:r>
      <w:r w:rsidRPr="009A4A22">
        <w:rPr>
          <w:noProof/>
        </w:rPr>
        <w:t>resie ADR wykazało, że obecny wymóg, zgodnie</w:t>
      </w:r>
      <w:r w:rsidR="00BE6F6D" w:rsidRPr="009A4A22">
        <w:rPr>
          <w:noProof/>
        </w:rPr>
        <w:t xml:space="preserve"> z</w:t>
      </w:r>
      <w:r w:rsidR="00BE6F6D">
        <w:rPr>
          <w:noProof/>
        </w:rPr>
        <w:t> </w:t>
      </w:r>
      <w:r w:rsidR="00BE6F6D" w:rsidRPr="009A4A22">
        <w:rPr>
          <w:noProof/>
        </w:rPr>
        <w:t>któ</w:t>
      </w:r>
      <w:r w:rsidRPr="009A4A22">
        <w:rPr>
          <w:noProof/>
        </w:rPr>
        <w:t>rym przedsiębiorcy muszą udostępniać link ODR</w:t>
      </w:r>
      <w:r w:rsidR="00BE6F6D" w:rsidRPr="009A4A22">
        <w:rPr>
          <w:noProof/>
        </w:rPr>
        <w:t xml:space="preserve"> w</w:t>
      </w:r>
      <w:r w:rsidR="00BE6F6D">
        <w:rPr>
          <w:noProof/>
        </w:rPr>
        <w:t> </w:t>
      </w:r>
      <w:r w:rsidR="00BE6F6D" w:rsidRPr="009A4A22">
        <w:rPr>
          <w:noProof/>
        </w:rPr>
        <w:t>wid</w:t>
      </w:r>
      <w:r w:rsidRPr="009A4A22">
        <w:rPr>
          <w:noProof/>
        </w:rPr>
        <w:t>ocznym miejscu na swojej stronie internetowej, nie stanowi zachęty dla konsumenta do skorzystania</w:t>
      </w:r>
      <w:r w:rsidR="00BE6F6D" w:rsidRPr="009A4A22">
        <w:rPr>
          <w:noProof/>
        </w:rPr>
        <w:t xml:space="preserve"> z</w:t>
      </w:r>
      <w:r w:rsidR="00BE6F6D">
        <w:rPr>
          <w:noProof/>
        </w:rPr>
        <w:t> </w:t>
      </w:r>
      <w:r w:rsidR="00BE6F6D" w:rsidRPr="009A4A22">
        <w:rPr>
          <w:noProof/>
        </w:rPr>
        <w:t>pos</w:t>
      </w:r>
      <w:r w:rsidRPr="009A4A22">
        <w:rPr>
          <w:noProof/>
        </w:rPr>
        <w:t xml:space="preserve">tępowań ADR. Usunięcie tego wymogu nie powinno zatem negatywnie wpłynąć na korzystanie z ADR przez konsumentów. Przedsiębiorstwa działające online nie będą musiały utrzymywać adresu e-mail na potrzeby korespondencji ODR, co pozwoli im zaoszczędzić 100 EUR rocznie. Łączne </w:t>
      </w:r>
      <w:r w:rsidRPr="009A4A22">
        <w:rPr>
          <w:b/>
          <w:noProof/>
        </w:rPr>
        <w:t>korzyści dla przedsiębiorstw</w:t>
      </w:r>
      <w:r w:rsidRPr="009A4A22">
        <w:rPr>
          <w:noProof/>
        </w:rPr>
        <w:t xml:space="preserve"> wyniosłyby wówczas 370 mln oszczędności EUR rocznie, </w:t>
      </w:r>
      <w:r w:rsidRPr="00BE6F6D">
        <w:rPr>
          <w:noProof/>
        </w:rPr>
        <w:t>tj.</w:t>
      </w:r>
      <w:r w:rsidR="00BE6F6D" w:rsidRPr="00BE6F6D">
        <w:rPr>
          <w:noProof/>
        </w:rPr>
        <w:t> </w:t>
      </w:r>
      <w:r w:rsidRPr="00BE6F6D">
        <w:rPr>
          <w:b/>
          <w:noProof/>
        </w:rPr>
        <w:t>3</w:t>
      </w:r>
      <w:r w:rsidRPr="009A4A22">
        <w:rPr>
          <w:b/>
          <w:noProof/>
        </w:rPr>
        <w:t>,3 mld EUR</w:t>
      </w:r>
      <w:r w:rsidR="00BE6F6D" w:rsidRPr="009A4A22">
        <w:rPr>
          <w:b/>
          <w:noProof/>
        </w:rPr>
        <w:t xml:space="preserve"> w</w:t>
      </w:r>
      <w:r w:rsidR="00BE6F6D">
        <w:rPr>
          <w:b/>
          <w:noProof/>
        </w:rPr>
        <w:t> </w:t>
      </w:r>
      <w:r w:rsidR="00BE6F6D" w:rsidRPr="009A4A22">
        <w:rPr>
          <w:b/>
          <w:noProof/>
        </w:rPr>
        <w:t>cią</w:t>
      </w:r>
      <w:r w:rsidRPr="009A4A22">
        <w:rPr>
          <w:b/>
          <w:noProof/>
        </w:rPr>
        <w:t>gu 10 lat</w:t>
      </w:r>
      <w:r w:rsidRPr="009A4A22">
        <w:rPr>
          <w:noProof/>
        </w:rPr>
        <w:t>. Ponadto przedsiębiorstwa nowo utworzone w UE</w:t>
      </w:r>
      <w:r w:rsidR="00BE6F6D" w:rsidRPr="009A4A22">
        <w:rPr>
          <w:noProof/>
        </w:rPr>
        <w:t xml:space="preserve"> w</w:t>
      </w:r>
      <w:r w:rsidR="00BE6F6D">
        <w:rPr>
          <w:noProof/>
        </w:rPr>
        <w:t> </w:t>
      </w:r>
      <w:r w:rsidR="00BE6F6D" w:rsidRPr="009A4A22">
        <w:rPr>
          <w:noProof/>
        </w:rPr>
        <w:t>cią</w:t>
      </w:r>
      <w:r w:rsidRPr="009A4A22">
        <w:rPr>
          <w:noProof/>
        </w:rPr>
        <w:t>gu najbliższych 10 lat nie poniosłyby kosztów związanych</w:t>
      </w:r>
      <w:r w:rsidR="00BE6F6D" w:rsidRPr="009A4A22">
        <w:rPr>
          <w:noProof/>
        </w:rPr>
        <w:t xml:space="preserve"> z</w:t>
      </w:r>
      <w:r w:rsidR="00BE6F6D">
        <w:rPr>
          <w:noProof/>
        </w:rPr>
        <w:t> </w:t>
      </w:r>
      <w:r w:rsidR="00BE6F6D" w:rsidRPr="009A4A22">
        <w:rPr>
          <w:noProof/>
        </w:rPr>
        <w:t>udo</w:t>
      </w:r>
      <w:r w:rsidRPr="009A4A22">
        <w:rPr>
          <w:noProof/>
        </w:rPr>
        <w:t>stępnianiem informacji dotyczących ODR na swojej stronie internetowej. Szacunki te zostały już jednak uwzględnione</w:t>
      </w:r>
      <w:r w:rsidR="00BE6F6D" w:rsidRPr="009A4A22">
        <w:rPr>
          <w:noProof/>
        </w:rPr>
        <w:t xml:space="preserve"> w</w:t>
      </w:r>
      <w:r w:rsidR="00BE6F6D">
        <w:rPr>
          <w:noProof/>
        </w:rPr>
        <w:t> </w:t>
      </w:r>
      <w:r w:rsidR="00BE6F6D" w:rsidRPr="009A4A22">
        <w:rPr>
          <w:noProof/>
        </w:rPr>
        <w:t>obl</w:t>
      </w:r>
      <w:r w:rsidRPr="009A4A22">
        <w:rPr>
          <w:noProof/>
        </w:rPr>
        <w:t>iczeniach związanych</w:t>
      </w:r>
      <w:r w:rsidR="00BE6F6D" w:rsidRPr="009A4A22">
        <w:rPr>
          <w:noProof/>
        </w:rPr>
        <w:t xml:space="preserve"> z</w:t>
      </w:r>
      <w:r w:rsidR="00BE6F6D">
        <w:rPr>
          <w:noProof/>
        </w:rPr>
        <w:t> </w:t>
      </w:r>
      <w:r w:rsidR="00BE6F6D" w:rsidRPr="009A4A22">
        <w:rPr>
          <w:noProof/>
        </w:rPr>
        <w:t>usu</w:t>
      </w:r>
      <w:r w:rsidRPr="009A4A22">
        <w:rPr>
          <w:noProof/>
        </w:rPr>
        <w:t xml:space="preserve">nięciem informacji o ADR. </w:t>
      </w:r>
    </w:p>
    <w:p w14:paraId="38BB647F" w14:textId="77777777" w:rsidR="00041A99" w:rsidRPr="009A4A22" w:rsidRDefault="00041A99" w:rsidP="00D36A0B">
      <w:pPr>
        <w:rPr>
          <w:noProof/>
        </w:rPr>
      </w:pPr>
    </w:p>
    <w:p w14:paraId="080B3AA0" w14:textId="77777777" w:rsidR="00B1743F" w:rsidRPr="009A4A22" w:rsidRDefault="00B1743F" w:rsidP="00D36A0B">
      <w:pPr>
        <w:pStyle w:val="ManualHeading2"/>
        <w:rPr>
          <w:rFonts w:eastAsia="Arial Unicode MS"/>
          <w:noProof/>
          <w:szCs w:val="24"/>
          <w:u w:color="000000"/>
          <w:bdr w:val="nil"/>
        </w:rPr>
      </w:pPr>
      <w:r w:rsidRPr="009A4A22">
        <w:rPr>
          <w:noProof/>
          <w:u w:color="000000"/>
          <w:bdr w:val="nil"/>
        </w:rPr>
        <w:t>Prawa podstawowe</w:t>
      </w:r>
    </w:p>
    <w:p w14:paraId="31D4C17A" w14:textId="2C65C193" w:rsidR="00D36A0B" w:rsidRPr="009A4A22" w:rsidRDefault="00D36A0B" w:rsidP="00D36A0B">
      <w:pPr>
        <w:pStyle w:val="ListParagraph"/>
        <w:spacing w:after="240" w:line="240" w:lineRule="auto"/>
        <w:ind w:left="0"/>
        <w:jc w:val="both"/>
        <w:rPr>
          <w:rFonts w:ascii="Times New Roman" w:eastAsia="Arial Unicode MS" w:hAnsi="Times New Roman"/>
          <w:noProof/>
          <w:sz w:val="24"/>
          <w:szCs w:val="24"/>
        </w:rPr>
      </w:pPr>
      <w:r w:rsidRPr="009A4A22">
        <w:rPr>
          <w:rFonts w:ascii="Times New Roman" w:hAnsi="Times New Roman"/>
          <w:noProof/>
          <w:sz w:val="24"/>
        </w:rPr>
        <w:t>Wniosek Komisji ma ogólnie pozytywny wpływ na prawa podstawowe. Rozszerzony zakres przedmiotowy</w:t>
      </w:r>
      <w:r w:rsidR="00BE6F6D" w:rsidRPr="009A4A22">
        <w:rPr>
          <w:rFonts w:ascii="Times New Roman" w:hAnsi="Times New Roman"/>
          <w:noProof/>
          <w:sz w:val="24"/>
        </w:rPr>
        <w:t xml:space="preserve"> i</w:t>
      </w:r>
      <w:r w:rsidR="00BE6F6D">
        <w:rPr>
          <w:rFonts w:ascii="Times New Roman" w:hAnsi="Times New Roman"/>
          <w:noProof/>
          <w:sz w:val="24"/>
        </w:rPr>
        <w:t> </w:t>
      </w:r>
      <w:r w:rsidR="00BE6F6D" w:rsidRPr="009A4A22">
        <w:rPr>
          <w:rFonts w:ascii="Times New Roman" w:hAnsi="Times New Roman"/>
          <w:noProof/>
          <w:sz w:val="24"/>
        </w:rPr>
        <w:t>geo</w:t>
      </w:r>
      <w:r w:rsidRPr="009A4A22">
        <w:rPr>
          <w:rFonts w:ascii="Times New Roman" w:hAnsi="Times New Roman"/>
          <w:noProof/>
          <w:sz w:val="24"/>
        </w:rPr>
        <w:t>graficzny dyrektywy zapewni konsumentom dostęp do prywatnych środków dochodzenia roszczeń</w:t>
      </w:r>
      <w:r w:rsidR="00BE6F6D" w:rsidRPr="009A4A22">
        <w:rPr>
          <w:rFonts w:ascii="Times New Roman" w:hAnsi="Times New Roman"/>
          <w:noProof/>
          <w:sz w:val="24"/>
        </w:rPr>
        <w:t xml:space="preserve"> w</w:t>
      </w:r>
      <w:r w:rsidR="00BE6F6D">
        <w:rPr>
          <w:rFonts w:ascii="Times New Roman" w:hAnsi="Times New Roman"/>
          <w:noProof/>
          <w:sz w:val="24"/>
        </w:rPr>
        <w:t> </w:t>
      </w:r>
      <w:r w:rsidR="00BE6F6D" w:rsidRPr="009A4A22">
        <w:rPr>
          <w:rFonts w:ascii="Times New Roman" w:hAnsi="Times New Roman"/>
          <w:noProof/>
          <w:sz w:val="24"/>
        </w:rPr>
        <w:t>wię</w:t>
      </w:r>
      <w:r w:rsidRPr="009A4A22">
        <w:rPr>
          <w:rFonts w:ascii="Times New Roman" w:hAnsi="Times New Roman"/>
          <w:noProof/>
          <w:sz w:val="24"/>
        </w:rPr>
        <w:t>kszej liczbie sporów, co wzmocni prawo konsumentów do skutecznego środka prawnego, określone</w:t>
      </w:r>
      <w:r w:rsidR="00BE6F6D" w:rsidRPr="009A4A22">
        <w:rPr>
          <w:rFonts w:ascii="Times New Roman" w:hAnsi="Times New Roman"/>
          <w:noProof/>
          <w:sz w:val="24"/>
        </w:rPr>
        <w:t xml:space="preserve"> w</w:t>
      </w:r>
      <w:r w:rsidR="00BE6F6D">
        <w:rPr>
          <w:rFonts w:ascii="Times New Roman" w:hAnsi="Times New Roman"/>
          <w:noProof/>
          <w:sz w:val="24"/>
        </w:rPr>
        <w:t> </w:t>
      </w:r>
      <w:r w:rsidR="00BE6F6D" w:rsidRPr="00BE6F6D">
        <w:rPr>
          <w:rFonts w:ascii="Times New Roman" w:hAnsi="Times New Roman"/>
          <w:noProof/>
          <w:sz w:val="24"/>
        </w:rPr>
        <w:t>art</w:t>
      </w:r>
      <w:r w:rsidRPr="00BE6F6D">
        <w:rPr>
          <w:rFonts w:ascii="Times New Roman" w:hAnsi="Times New Roman"/>
          <w:noProof/>
          <w:sz w:val="24"/>
        </w:rPr>
        <w:t>.</w:t>
      </w:r>
      <w:r w:rsidR="00BE6F6D" w:rsidRPr="00BE6F6D">
        <w:rPr>
          <w:rFonts w:ascii="Times New Roman" w:hAnsi="Times New Roman"/>
          <w:noProof/>
          <w:sz w:val="24"/>
        </w:rPr>
        <w:t> </w:t>
      </w:r>
      <w:r w:rsidRPr="00BE6F6D">
        <w:rPr>
          <w:rFonts w:ascii="Times New Roman" w:hAnsi="Times New Roman"/>
          <w:noProof/>
          <w:sz w:val="24"/>
        </w:rPr>
        <w:t>4</w:t>
      </w:r>
      <w:r w:rsidRPr="009A4A22">
        <w:rPr>
          <w:rFonts w:ascii="Times New Roman" w:hAnsi="Times New Roman"/>
          <w:noProof/>
          <w:sz w:val="24"/>
        </w:rPr>
        <w:t>7 Karty praw podstawowych Unii Europejskiej. Pomimo że wprowadzenie obowiązku udzielenia odpowiedzi zobowiązuje przedsiębiorców do zbadania wszelkich potencjalnych sporów przekazanych im przez podmioty ADR, fakt, że dyrektywa nie zobowiązuje przedsiębiorstw do udziału</w:t>
      </w:r>
      <w:r w:rsidR="00BE6F6D" w:rsidRPr="009A4A22">
        <w:rPr>
          <w:rFonts w:ascii="Times New Roman" w:hAnsi="Times New Roman"/>
          <w:noProof/>
          <w:sz w:val="24"/>
        </w:rPr>
        <w:t xml:space="preserve"> w</w:t>
      </w:r>
      <w:r w:rsidR="00BE6F6D">
        <w:rPr>
          <w:rFonts w:ascii="Times New Roman" w:hAnsi="Times New Roman"/>
          <w:noProof/>
          <w:sz w:val="24"/>
        </w:rPr>
        <w:t> </w:t>
      </w:r>
      <w:r w:rsidR="00BE6F6D" w:rsidRPr="009A4A22">
        <w:rPr>
          <w:rFonts w:ascii="Times New Roman" w:hAnsi="Times New Roman"/>
          <w:noProof/>
          <w:sz w:val="24"/>
        </w:rPr>
        <w:t>pos</w:t>
      </w:r>
      <w:r w:rsidRPr="009A4A22">
        <w:rPr>
          <w:rFonts w:ascii="Times New Roman" w:hAnsi="Times New Roman"/>
          <w:noProof/>
          <w:sz w:val="24"/>
        </w:rPr>
        <w:t>tępowaniach ADR, zapewnia poszanowanie ich wolności prowadzenia działalności gospodarczej.</w:t>
      </w:r>
    </w:p>
    <w:p w14:paraId="4A0F2562" w14:textId="77777777" w:rsidR="00041A99" w:rsidRPr="009A4A22" w:rsidRDefault="00B1743F" w:rsidP="008A5747">
      <w:pPr>
        <w:pStyle w:val="ManualHeading1"/>
        <w:rPr>
          <w:noProof/>
        </w:rPr>
      </w:pPr>
      <w:r w:rsidRPr="009A4A22">
        <w:rPr>
          <w:noProof/>
        </w:rPr>
        <w:t>4.</w:t>
      </w:r>
      <w:r w:rsidRPr="009A4A22">
        <w:rPr>
          <w:noProof/>
        </w:rPr>
        <w:tab/>
        <w:t>WPŁYW NA BUDŻET</w:t>
      </w:r>
    </w:p>
    <w:p w14:paraId="421A060E" w14:textId="77777777" w:rsidR="008A5747" w:rsidRPr="009A4A22" w:rsidRDefault="008A5747" w:rsidP="008A5747">
      <w:pPr>
        <w:rPr>
          <w:noProof/>
        </w:rPr>
      </w:pPr>
    </w:p>
    <w:p w14:paraId="7B671EAC" w14:textId="484851FA" w:rsidR="00D36A0B" w:rsidRPr="009A4A22" w:rsidRDefault="00D36A0B" w:rsidP="00D36A0B">
      <w:pPr>
        <w:pBdr>
          <w:top w:val="nil"/>
          <w:left w:val="nil"/>
          <w:bottom w:val="nil"/>
          <w:right w:val="nil"/>
          <w:between w:val="nil"/>
          <w:bar w:val="nil"/>
        </w:pBdr>
        <w:spacing w:before="0" w:after="240"/>
        <w:rPr>
          <w:rFonts w:eastAsia="Arial Unicode MS"/>
          <w:noProof/>
        </w:rPr>
      </w:pPr>
      <w:r w:rsidRPr="009A4A22">
        <w:rPr>
          <w:noProof/>
        </w:rPr>
        <w:t>Zmiany</w:t>
      </w:r>
      <w:r w:rsidR="00BE6F6D" w:rsidRPr="009A4A22">
        <w:rPr>
          <w:noProof/>
        </w:rPr>
        <w:t xml:space="preserve"> w</w:t>
      </w:r>
      <w:r w:rsidR="00BE6F6D">
        <w:rPr>
          <w:noProof/>
        </w:rPr>
        <w:t> </w:t>
      </w:r>
      <w:r w:rsidR="00BE6F6D" w:rsidRPr="009A4A22">
        <w:rPr>
          <w:noProof/>
        </w:rPr>
        <w:t>dyr</w:t>
      </w:r>
      <w:r w:rsidRPr="009A4A22">
        <w:rPr>
          <w:noProof/>
        </w:rPr>
        <w:t>ektywie ADR nie wiążą się</w:t>
      </w:r>
      <w:r w:rsidR="00BE6F6D" w:rsidRPr="009A4A22">
        <w:rPr>
          <w:noProof/>
        </w:rPr>
        <w:t xml:space="preserve"> z</w:t>
      </w:r>
      <w:r w:rsidR="00BE6F6D">
        <w:rPr>
          <w:noProof/>
        </w:rPr>
        <w:t> </w:t>
      </w:r>
      <w:r w:rsidR="00BE6F6D" w:rsidRPr="009A4A22">
        <w:rPr>
          <w:noProof/>
        </w:rPr>
        <w:t>now</w:t>
      </w:r>
      <w:r w:rsidRPr="009A4A22">
        <w:rPr>
          <w:noProof/>
        </w:rPr>
        <w:t>ymi zobowiązaniami finansowymi dla Komisji,</w:t>
      </w:r>
      <w:r w:rsidR="00BE6F6D" w:rsidRPr="009A4A22">
        <w:rPr>
          <w:noProof/>
        </w:rPr>
        <w:t xml:space="preserve"> 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czy</w:t>
      </w:r>
      <w:r w:rsidRPr="009A4A22">
        <w:rPr>
          <w:noProof/>
        </w:rPr>
        <w:t>m nie są wymagane dodatkowe zasoby ludzkie ani administracyjne. Aby wesprzeć nowe przepisy dodane do dyrektywy ADR, istniejące środki przeznaczone na wsparcie dochodzenia roszczeń konsumenckich</w:t>
      </w:r>
      <w:r w:rsidR="00BE6F6D" w:rsidRPr="009A4A22">
        <w:rPr>
          <w:noProof/>
        </w:rPr>
        <w:t xml:space="preserve"> w</w:t>
      </w:r>
      <w:r w:rsidR="00BE6F6D">
        <w:rPr>
          <w:noProof/>
        </w:rPr>
        <w:t> </w:t>
      </w:r>
      <w:r w:rsidR="00BE6F6D" w:rsidRPr="009A4A22">
        <w:rPr>
          <w:noProof/>
        </w:rPr>
        <w:t>ram</w:t>
      </w:r>
      <w:r w:rsidRPr="009A4A22">
        <w:rPr>
          <w:noProof/>
        </w:rPr>
        <w:t>ach Programu na rzecz jednolitego rynku 2021–2027</w:t>
      </w:r>
      <w:r w:rsidR="008F6F0D" w:rsidRPr="009A4A22">
        <w:rPr>
          <w:rStyle w:val="FootnoteReference"/>
          <w:rFonts w:eastAsia="Arial Unicode MS"/>
          <w:noProof/>
        </w:rPr>
        <w:footnoteReference w:id="28"/>
      </w:r>
      <w:r w:rsidRPr="009A4A22">
        <w:rPr>
          <w:noProof/>
        </w:rPr>
        <w:t xml:space="preserve"> zostaną wykorzystane na potrzeby poprawy dostępu do wykazu podmiotów ADR, który jest już publikowany przez Komisję na platformie ODR, lub na potrzeby wsparcia Europejskich Centrów Konsumenckich</w:t>
      </w:r>
      <w:r w:rsidR="00BE6F6D" w:rsidRPr="009A4A22">
        <w:rPr>
          <w:noProof/>
        </w:rPr>
        <w:t xml:space="preserve"> w</w:t>
      </w:r>
      <w:r w:rsidR="00BE6F6D">
        <w:rPr>
          <w:noProof/>
        </w:rPr>
        <w:t> </w:t>
      </w:r>
      <w:r w:rsidR="00BE6F6D" w:rsidRPr="009A4A22">
        <w:rPr>
          <w:noProof/>
        </w:rPr>
        <w:t>lep</w:t>
      </w:r>
      <w:r w:rsidRPr="009A4A22">
        <w:rPr>
          <w:noProof/>
        </w:rPr>
        <w:t>szym udzielaniu pomocy konsumentom, którzy potrzebują porady</w:t>
      </w:r>
      <w:r w:rsidR="00BE6F6D" w:rsidRPr="009A4A22">
        <w:rPr>
          <w:noProof/>
        </w:rPr>
        <w:t xml:space="preserve"> w</w:t>
      </w:r>
      <w:r w:rsidR="00BE6F6D">
        <w:rPr>
          <w:noProof/>
        </w:rPr>
        <w:t> </w:t>
      </w:r>
      <w:r w:rsidR="00BE6F6D" w:rsidRPr="009A4A22">
        <w:rPr>
          <w:noProof/>
        </w:rPr>
        <w:t>zak</w:t>
      </w:r>
      <w:r w:rsidRPr="009A4A22">
        <w:rPr>
          <w:noProof/>
        </w:rPr>
        <w:t xml:space="preserve">resie transgranicznego dochodzenia roszczeń. Program na rzecz jednolitego rynku umożliwia również przyznawanie dotacji podmiotom ADR na potrzeby poprawy ich efektywności kosztowej, na przykład przez cyfryzację lub szkolenie pracowników. </w:t>
      </w:r>
    </w:p>
    <w:p w14:paraId="3E10B9A6" w14:textId="77777777" w:rsidR="00B1743F" w:rsidRPr="009A4A22" w:rsidRDefault="00B1743F" w:rsidP="00550536">
      <w:pPr>
        <w:pStyle w:val="ManualHeading1"/>
        <w:rPr>
          <w:noProof/>
        </w:rPr>
      </w:pPr>
      <w:r w:rsidRPr="009A4A22">
        <w:rPr>
          <w:noProof/>
        </w:rPr>
        <w:t>5.</w:t>
      </w:r>
      <w:r w:rsidRPr="009A4A22">
        <w:rPr>
          <w:noProof/>
        </w:rPr>
        <w:tab/>
        <w:t>ELEMENTY FAKULTATYWNE</w:t>
      </w:r>
    </w:p>
    <w:p w14:paraId="22AEF73D" w14:textId="77777777" w:rsidR="00041A99" w:rsidRPr="009A4A22" w:rsidRDefault="00041A99" w:rsidP="008A5747">
      <w:pPr>
        <w:rPr>
          <w:noProof/>
        </w:rPr>
      </w:pPr>
    </w:p>
    <w:p w14:paraId="2D4FA226" w14:textId="2F54EA87" w:rsidR="00B1743F" w:rsidRPr="009A4A22" w:rsidRDefault="00B1743F" w:rsidP="00A4693B">
      <w:pPr>
        <w:pStyle w:val="ManualHeading2"/>
        <w:rPr>
          <w:rFonts w:eastAsia="Arial Unicode MS"/>
          <w:noProof/>
          <w:u w:color="000000"/>
          <w:bdr w:val="nil"/>
        </w:rPr>
      </w:pPr>
      <w:r w:rsidRPr="009A4A22">
        <w:rPr>
          <w:noProof/>
          <w:u w:color="000000"/>
          <w:bdr w:val="nil"/>
        </w:rPr>
        <w:t>Plany wdrożenia</w:t>
      </w:r>
      <w:r w:rsidR="00BE6F6D" w:rsidRPr="009A4A22">
        <w:rPr>
          <w:noProof/>
          <w:u w:color="000000"/>
          <w:bdr w:val="nil"/>
        </w:rPr>
        <w:t xml:space="preserve"> i</w:t>
      </w:r>
      <w:r w:rsidR="00BE6F6D">
        <w:rPr>
          <w:noProof/>
          <w:u w:color="000000"/>
          <w:bdr w:val="nil"/>
        </w:rPr>
        <w:t> </w:t>
      </w:r>
      <w:r w:rsidR="00BE6F6D" w:rsidRPr="009A4A22">
        <w:rPr>
          <w:noProof/>
          <w:u w:color="000000"/>
          <w:bdr w:val="nil"/>
        </w:rPr>
        <w:t>mon</w:t>
      </w:r>
      <w:r w:rsidRPr="009A4A22">
        <w:rPr>
          <w:noProof/>
          <w:u w:color="000000"/>
          <w:bdr w:val="nil"/>
        </w:rPr>
        <w:t>itorowanie, ocena</w:t>
      </w:r>
      <w:r w:rsidR="00BE6F6D" w:rsidRPr="009A4A22">
        <w:rPr>
          <w:noProof/>
          <w:u w:color="000000"/>
          <w:bdr w:val="nil"/>
        </w:rPr>
        <w:t xml:space="preserve"> i</w:t>
      </w:r>
      <w:r w:rsidR="00BE6F6D">
        <w:rPr>
          <w:noProof/>
          <w:u w:color="000000"/>
          <w:bdr w:val="nil"/>
        </w:rPr>
        <w:t> </w:t>
      </w:r>
      <w:r w:rsidR="00BE6F6D" w:rsidRPr="009A4A22">
        <w:rPr>
          <w:noProof/>
          <w:u w:color="000000"/>
          <w:bdr w:val="nil"/>
        </w:rPr>
        <w:t>spr</w:t>
      </w:r>
      <w:r w:rsidRPr="009A4A22">
        <w:rPr>
          <w:noProof/>
          <w:u w:color="000000"/>
          <w:bdr w:val="nil"/>
        </w:rPr>
        <w:t>awozdania</w:t>
      </w:r>
    </w:p>
    <w:p w14:paraId="630C4E1D" w14:textId="6B6D6730" w:rsidR="00041A99" w:rsidRPr="009A4A22" w:rsidRDefault="00D36A0B" w:rsidP="00D36A0B">
      <w:pPr>
        <w:pBdr>
          <w:top w:val="nil"/>
          <w:left w:val="nil"/>
          <w:bottom w:val="nil"/>
          <w:right w:val="nil"/>
          <w:between w:val="nil"/>
          <w:bar w:val="nil"/>
        </w:pBdr>
        <w:spacing w:before="0" w:after="240"/>
        <w:rPr>
          <w:noProof/>
          <w:szCs w:val="24"/>
        </w:rPr>
      </w:pPr>
      <w:r w:rsidRPr="009A4A22">
        <w:rPr>
          <w:noProof/>
        </w:rPr>
        <w:t>Zmieniana dyrektywa nie zmienia obowiązków Komisji</w:t>
      </w:r>
      <w:r w:rsidR="00BE6F6D" w:rsidRPr="009A4A22">
        <w:rPr>
          <w:noProof/>
        </w:rPr>
        <w:t xml:space="preserve"> w</w:t>
      </w:r>
      <w:r w:rsidR="00BE6F6D">
        <w:rPr>
          <w:noProof/>
        </w:rPr>
        <w:t> </w:t>
      </w:r>
      <w:r w:rsidR="00BE6F6D" w:rsidRPr="009A4A22">
        <w:rPr>
          <w:noProof/>
        </w:rPr>
        <w:t>zak</w:t>
      </w:r>
      <w:r w:rsidRPr="009A4A22">
        <w:rPr>
          <w:noProof/>
        </w:rPr>
        <w:t>resie monitorowania, określonych</w:t>
      </w:r>
      <w:r w:rsidR="00BE6F6D" w:rsidRPr="009A4A22">
        <w:rPr>
          <w:noProof/>
        </w:rPr>
        <w:t xml:space="preserve"> w</w:t>
      </w:r>
      <w:r w:rsidR="00BE6F6D">
        <w:rPr>
          <w:noProof/>
        </w:rPr>
        <w:t> </w:t>
      </w:r>
      <w:r w:rsidR="00BE6F6D" w:rsidRPr="00BE6F6D">
        <w:rPr>
          <w:noProof/>
        </w:rPr>
        <w:t>art</w:t>
      </w:r>
      <w:r w:rsidRPr="00BE6F6D">
        <w:rPr>
          <w:noProof/>
        </w:rPr>
        <w:t>.</w:t>
      </w:r>
      <w:r w:rsidR="00BE6F6D" w:rsidRPr="00BE6F6D">
        <w:rPr>
          <w:noProof/>
        </w:rPr>
        <w:t> </w:t>
      </w:r>
      <w:r w:rsidRPr="00BE6F6D">
        <w:rPr>
          <w:noProof/>
        </w:rPr>
        <w:t>2</w:t>
      </w:r>
      <w:r w:rsidRPr="009A4A22">
        <w:rPr>
          <w:noProof/>
        </w:rPr>
        <w:t>6 dyrektywy ADR, tj. Komisja będzie nadal co cztery lata przedkładać sprawozdanie oceniające skuteczność (zmienionej) dyrektywy ADR</w:t>
      </w:r>
      <w:r w:rsidR="00BE6F6D" w:rsidRPr="009A4A22">
        <w:rPr>
          <w:noProof/>
        </w:rPr>
        <w:t xml:space="preserve"> w</w:t>
      </w:r>
      <w:r w:rsidR="00BE6F6D">
        <w:rPr>
          <w:noProof/>
        </w:rPr>
        <w:t> </w:t>
      </w:r>
      <w:r w:rsidR="00BE6F6D" w:rsidRPr="009A4A22">
        <w:rPr>
          <w:noProof/>
        </w:rPr>
        <w:t>opa</w:t>
      </w:r>
      <w:r w:rsidRPr="009A4A22">
        <w:rPr>
          <w:noProof/>
        </w:rPr>
        <w:t>rciu</w:t>
      </w:r>
      <w:r w:rsidR="00BE6F6D" w:rsidRPr="009A4A22">
        <w:rPr>
          <w:noProof/>
        </w:rPr>
        <w:t xml:space="preserve"> o</w:t>
      </w:r>
      <w:r w:rsidR="00BE6F6D">
        <w:rPr>
          <w:noProof/>
        </w:rPr>
        <w:t> </w:t>
      </w:r>
      <w:r w:rsidR="00BE6F6D" w:rsidRPr="009A4A22">
        <w:rPr>
          <w:noProof/>
        </w:rPr>
        <w:t>ist</w:t>
      </w:r>
      <w:r w:rsidRPr="009A4A22">
        <w:rPr>
          <w:noProof/>
        </w:rPr>
        <w:t>niejące źródła danych,</w:t>
      </w:r>
      <w:r w:rsidR="00BE6F6D" w:rsidRPr="009A4A22">
        <w:rPr>
          <w:noProof/>
        </w:rPr>
        <w:t xml:space="preserve"> w</w:t>
      </w:r>
      <w:r w:rsidR="00BE6F6D">
        <w:rPr>
          <w:noProof/>
        </w:rPr>
        <w:t> </w:t>
      </w:r>
      <w:r w:rsidR="00BE6F6D" w:rsidRPr="009A4A22">
        <w:rPr>
          <w:noProof/>
        </w:rPr>
        <w:t>tym</w:t>
      </w:r>
      <w:r w:rsidRPr="009A4A22">
        <w:rPr>
          <w:noProof/>
        </w:rPr>
        <w:t xml:space="preserve"> krajowe sprawozdania przygotowywane dla Komisji co cztery lata przez właściwe organy. </w:t>
      </w:r>
    </w:p>
    <w:p w14:paraId="6A1DA538" w14:textId="77777777" w:rsidR="00041A99" w:rsidRPr="009A4A22" w:rsidRDefault="00041A99" w:rsidP="00D36A0B">
      <w:pPr>
        <w:pBdr>
          <w:top w:val="nil"/>
          <w:left w:val="nil"/>
          <w:bottom w:val="nil"/>
          <w:right w:val="nil"/>
          <w:between w:val="nil"/>
          <w:bar w:val="nil"/>
        </w:pBdr>
        <w:spacing w:before="0" w:after="240"/>
        <w:rPr>
          <w:noProof/>
          <w:szCs w:val="24"/>
        </w:rPr>
      </w:pPr>
    </w:p>
    <w:p w14:paraId="0E584AC2" w14:textId="77777777" w:rsidR="00B1743F" w:rsidRPr="009A4A22" w:rsidRDefault="00B1743F" w:rsidP="00A4693B">
      <w:pPr>
        <w:pStyle w:val="ManualHeading2"/>
        <w:rPr>
          <w:rFonts w:eastAsia="Arial Unicode MS"/>
          <w:noProof/>
          <w:u w:color="000000"/>
          <w:bdr w:val="nil"/>
        </w:rPr>
      </w:pPr>
      <w:r w:rsidRPr="009A4A22">
        <w:rPr>
          <w:noProof/>
          <w:u w:color="000000"/>
          <w:bdr w:val="nil"/>
        </w:rPr>
        <w:t>Szczegółowe objaśnienia poszczególnych przepisów wniosku</w:t>
      </w:r>
    </w:p>
    <w:p w14:paraId="6C38C027" w14:textId="167A4B2A" w:rsidR="00196D05" w:rsidRPr="009A4A22" w:rsidRDefault="00196D05" w:rsidP="00D36A0B">
      <w:pPr>
        <w:pBdr>
          <w:top w:val="nil"/>
          <w:left w:val="nil"/>
          <w:bottom w:val="nil"/>
          <w:right w:val="nil"/>
          <w:between w:val="nil"/>
          <w:bar w:val="nil"/>
        </w:pBdr>
        <w:spacing w:before="0" w:after="240"/>
        <w:rPr>
          <w:noProof/>
          <w:szCs w:val="24"/>
        </w:rPr>
      </w:pPr>
      <w:r w:rsidRPr="009A4A22">
        <w:rPr>
          <w:noProof/>
        </w:rPr>
        <w:t>Niniejsza dyrektywa jest dyrektywą zmieniającą,</w:t>
      </w:r>
      <w:r w:rsidR="00BE6F6D" w:rsidRPr="009A4A22">
        <w:rPr>
          <w:noProof/>
        </w:rPr>
        <w:t xml:space="preserve"> 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czy</w:t>
      </w:r>
      <w:r w:rsidRPr="009A4A22">
        <w:rPr>
          <w:noProof/>
        </w:rPr>
        <w:t>m poniższe objaśnienia odnoszą się do zmienionych artykułów dyrektywy ADR.</w:t>
      </w:r>
    </w:p>
    <w:p w14:paraId="5830838A" w14:textId="77777777"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Artykuł 2 – Zakres zastosowania</w:t>
      </w:r>
    </w:p>
    <w:p w14:paraId="58332A36" w14:textId="566F0922" w:rsidR="00D36A0B" w:rsidRPr="009A4A22" w:rsidRDefault="00196D05" w:rsidP="00D36A0B">
      <w:pPr>
        <w:pBdr>
          <w:top w:val="nil"/>
          <w:left w:val="nil"/>
          <w:bottom w:val="nil"/>
          <w:right w:val="nil"/>
          <w:between w:val="nil"/>
          <w:bar w:val="nil"/>
        </w:pBdr>
        <w:spacing w:before="0" w:after="240"/>
        <w:rPr>
          <w:noProof/>
          <w:szCs w:val="24"/>
        </w:rPr>
      </w:pPr>
      <w:r w:rsidRPr="009A4A22">
        <w:rPr>
          <w:noProof/>
        </w:rPr>
        <w:t>Obecny zakres stosowania dyrektywy ADR ogranicza się do sporów wynikających ze zobowiązań umownych dotyczących sprzedaży towarów lub usług</w:t>
      </w:r>
      <w:r w:rsidR="00BE6F6D" w:rsidRPr="009A4A22">
        <w:rPr>
          <w:noProof/>
        </w:rPr>
        <w:t>. W</w:t>
      </w:r>
      <w:r w:rsidR="00BE6F6D">
        <w:rPr>
          <w:noProof/>
        </w:rPr>
        <w:t> </w:t>
      </w:r>
      <w:r w:rsidR="00BE6F6D" w:rsidRPr="009A4A22">
        <w:rPr>
          <w:noProof/>
        </w:rPr>
        <w:t>ram</w:t>
      </w:r>
      <w:r w:rsidRPr="009A4A22">
        <w:rPr>
          <w:noProof/>
        </w:rPr>
        <w:t xml:space="preserve">ach przeglądu Komisja proponuje rozszerzenie zakresu stosowania tej dyrektywy na dobrowolne postępowania ADR przeciwko wszystkim przedsiębiorcom </w:t>
      </w:r>
      <w:bookmarkStart w:id="1" w:name="_Hlk147516808"/>
      <w:r w:rsidRPr="009A4A22">
        <w:rPr>
          <w:noProof/>
        </w:rPr>
        <w:t>sprzedającym konsumentom zamieszkałym w UE towary lub usługi,</w:t>
      </w:r>
      <w:r w:rsidR="00BE6F6D" w:rsidRPr="009A4A22">
        <w:rPr>
          <w:noProof/>
        </w:rPr>
        <w:t xml:space="preserve"> w</w:t>
      </w:r>
      <w:r w:rsidR="00BE6F6D">
        <w:rPr>
          <w:noProof/>
        </w:rPr>
        <w:t> </w:t>
      </w:r>
      <w:r w:rsidR="00BE6F6D" w:rsidRPr="009A4A22">
        <w:rPr>
          <w:noProof/>
        </w:rPr>
        <w:t>tym</w:t>
      </w:r>
      <w:r w:rsidRPr="009A4A22">
        <w:rPr>
          <w:noProof/>
        </w:rPr>
        <w:t xml:space="preserve"> treści</w:t>
      </w:r>
      <w:r w:rsidR="00BE6F6D" w:rsidRPr="009A4A22">
        <w:rPr>
          <w:noProof/>
        </w:rPr>
        <w:t xml:space="preserve"> i</w:t>
      </w:r>
      <w:r w:rsidR="00BE6F6D">
        <w:rPr>
          <w:noProof/>
        </w:rPr>
        <w:t> </w:t>
      </w:r>
      <w:r w:rsidR="00BE6F6D" w:rsidRPr="009A4A22">
        <w:rPr>
          <w:noProof/>
        </w:rPr>
        <w:t>usł</w:t>
      </w:r>
      <w:r w:rsidRPr="009A4A22">
        <w:rPr>
          <w:noProof/>
        </w:rPr>
        <w:t>ugi cyfrowe,</w:t>
      </w:r>
      <w:bookmarkEnd w:id="1"/>
      <w:r w:rsidRPr="009A4A22">
        <w:rPr>
          <w:noProof/>
        </w:rPr>
        <w:t xml:space="preserve"> jak również objęcie zakresem dyrektywy sporów związanych</w:t>
      </w:r>
      <w:r w:rsidR="00BE6F6D" w:rsidRPr="009A4A22">
        <w:rPr>
          <w:noProof/>
        </w:rPr>
        <w:t xml:space="preserve"> z</w:t>
      </w:r>
      <w:r w:rsidR="00BE6F6D">
        <w:rPr>
          <w:noProof/>
        </w:rPr>
        <w:t> </w:t>
      </w:r>
      <w:r w:rsidR="00BE6F6D" w:rsidRPr="009A4A22">
        <w:rPr>
          <w:noProof/>
        </w:rPr>
        <w:t>pra</w:t>
      </w:r>
      <w:r w:rsidRPr="009A4A22">
        <w:rPr>
          <w:noProof/>
        </w:rPr>
        <w:t>wami konsumentów</w:t>
      </w:r>
      <w:r w:rsidR="00BE6F6D" w:rsidRPr="009A4A22">
        <w:rPr>
          <w:noProof/>
        </w:rPr>
        <w:t xml:space="preserve"> w</w:t>
      </w:r>
      <w:r w:rsidR="00BE6F6D">
        <w:rPr>
          <w:noProof/>
        </w:rPr>
        <w:t> </w:t>
      </w:r>
      <w:r w:rsidR="00BE6F6D" w:rsidRPr="009A4A22">
        <w:rPr>
          <w:noProof/>
        </w:rPr>
        <w:t>syt</w:t>
      </w:r>
      <w:r w:rsidRPr="009A4A22">
        <w:rPr>
          <w:noProof/>
        </w:rPr>
        <w:t>uacjach przedumownych, niezależnie od tego, czy konsument ostatecznie zawiera umowę. Dotyczy to na przykład reklamy wprowadzającej</w:t>
      </w:r>
      <w:r w:rsidR="00BE6F6D" w:rsidRPr="009A4A22">
        <w:rPr>
          <w:noProof/>
        </w:rPr>
        <w:t xml:space="preserve"> w</w:t>
      </w:r>
      <w:r w:rsidR="00BE6F6D">
        <w:rPr>
          <w:noProof/>
        </w:rPr>
        <w:t> </w:t>
      </w:r>
      <w:r w:rsidR="00BE6F6D" w:rsidRPr="009A4A22">
        <w:rPr>
          <w:noProof/>
        </w:rPr>
        <w:t>błą</w:t>
      </w:r>
      <w:r w:rsidRPr="009A4A22">
        <w:rPr>
          <w:noProof/>
        </w:rPr>
        <w:t>d, brakujących, niejasnych lub wprowadzających</w:t>
      </w:r>
      <w:r w:rsidR="00BE6F6D" w:rsidRPr="009A4A22">
        <w:rPr>
          <w:noProof/>
        </w:rPr>
        <w:t xml:space="preserve"> w</w:t>
      </w:r>
      <w:r w:rsidR="00BE6F6D">
        <w:rPr>
          <w:noProof/>
        </w:rPr>
        <w:t> </w:t>
      </w:r>
      <w:r w:rsidR="00BE6F6D" w:rsidRPr="009A4A22">
        <w:rPr>
          <w:noProof/>
        </w:rPr>
        <w:t>błą</w:t>
      </w:r>
      <w:r w:rsidRPr="009A4A22">
        <w:rPr>
          <w:noProof/>
        </w:rPr>
        <w:t>d informacji, nieuczciwych warunków lub praw gwarancyjnych. Ponadto rozszerzony zakres stosowania dyrektywy ma obejmować spory związane</w:t>
      </w:r>
      <w:r w:rsidR="00BE6F6D" w:rsidRPr="009A4A22">
        <w:rPr>
          <w:noProof/>
        </w:rPr>
        <w:t xml:space="preserve"> z</w:t>
      </w:r>
      <w:r w:rsidR="00BE6F6D">
        <w:rPr>
          <w:noProof/>
        </w:rPr>
        <w:t> </w:t>
      </w:r>
      <w:r w:rsidR="00BE6F6D" w:rsidRPr="009A4A22">
        <w:rPr>
          <w:noProof/>
        </w:rPr>
        <w:t>inn</w:t>
      </w:r>
      <w:r w:rsidRPr="009A4A22">
        <w:rPr>
          <w:noProof/>
        </w:rPr>
        <w:t xml:space="preserve">ymi ważnymi prawami ustawowymi konsumentów, takimi jak prawo do niepodlegania praktykom blokowania geograficznego, prawo do zmiany dostawcy usług telekomunikacyjnych lub prawo dostępu do podstawowych usług finansowych. </w:t>
      </w:r>
    </w:p>
    <w:p w14:paraId="3DE734BB" w14:textId="77777777" w:rsidR="000245AE" w:rsidRPr="009A4A22" w:rsidRDefault="000245AE" w:rsidP="00D36A0B">
      <w:pPr>
        <w:pBdr>
          <w:top w:val="nil"/>
          <w:left w:val="nil"/>
          <w:bottom w:val="nil"/>
          <w:right w:val="nil"/>
          <w:between w:val="nil"/>
          <w:bar w:val="nil"/>
        </w:pBdr>
        <w:spacing w:before="0" w:after="240"/>
        <w:rPr>
          <w:noProof/>
          <w:szCs w:val="24"/>
        </w:rPr>
      </w:pPr>
      <w:bookmarkStart w:id="2" w:name="_Hlk147753735"/>
      <w:r w:rsidRPr="009A4A22">
        <w:rPr>
          <w:noProof/>
        </w:rPr>
        <w:t>Artykuł 4 – Definicje</w:t>
      </w:r>
    </w:p>
    <w:p w14:paraId="69DEBEFA" w14:textId="720C970D" w:rsidR="00CF7998" w:rsidRPr="009A4A22" w:rsidRDefault="00CF7998" w:rsidP="00D36A0B">
      <w:pPr>
        <w:pBdr>
          <w:top w:val="nil"/>
          <w:left w:val="nil"/>
          <w:bottom w:val="nil"/>
          <w:right w:val="nil"/>
          <w:between w:val="nil"/>
          <w:bar w:val="nil"/>
        </w:pBdr>
        <w:spacing w:before="0" w:after="240"/>
        <w:rPr>
          <w:noProof/>
          <w:szCs w:val="24"/>
        </w:rPr>
      </w:pPr>
      <w:r w:rsidRPr="009A4A22">
        <w:rPr>
          <w:noProof/>
        </w:rPr>
        <w:t>Definicje „sporów krajowych” i „sporów transgranicznych” zawarte</w:t>
      </w:r>
      <w:r w:rsidR="00BE6F6D" w:rsidRPr="009A4A22">
        <w:rPr>
          <w:noProof/>
        </w:rPr>
        <w:t xml:space="preserve"> w</w:t>
      </w:r>
      <w:r w:rsidR="00BE6F6D">
        <w:rPr>
          <w:noProof/>
        </w:rPr>
        <w:t> </w:t>
      </w:r>
      <w:r w:rsidR="00BE6F6D" w:rsidRPr="009A4A22">
        <w:rPr>
          <w:noProof/>
        </w:rPr>
        <w:t>dyr</w:t>
      </w:r>
      <w:r w:rsidRPr="009A4A22">
        <w:rPr>
          <w:noProof/>
        </w:rPr>
        <w:t>ektywie ADR są zgodne</w:t>
      </w:r>
      <w:r w:rsidR="00BE6F6D" w:rsidRPr="009A4A22">
        <w:rPr>
          <w:noProof/>
        </w:rPr>
        <w:t xml:space="preserve"> z</w:t>
      </w:r>
      <w:r w:rsidR="00BE6F6D">
        <w:rPr>
          <w:noProof/>
        </w:rPr>
        <w:t> </w:t>
      </w:r>
      <w:r w:rsidR="00BE6F6D" w:rsidRPr="009A4A22">
        <w:rPr>
          <w:noProof/>
        </w:rPr>
        <w:t>obe</w:t>
      </w:r>
      <w:r w:rsidRPr="009A4A22">
        <w:rPr>
          <w:noProof/>
        </w:rPr>
        <w:t>cnym zakresem stosowania</w:t>
      </w:r>
      <w:r w:rsidR="00BE6F6D" w:rsidRPr="009A4A22">
        <w:rPr>
          <w:noProof/>
        </w:rPr>
        <w:t xml:space="preserve"> i</w:t>
      </w:r>
      <w:r w:rsidR="00BE6F6D">
        <w:rPr>
          <w:noProof/>
        </w:rPr>
        <w:t> </w:t>
      </w:r>
      <w:r w:rsidR="00BE6F6D" w:rsidRPr="009A4A22">
        <w:rPr>
          <w:noProof/>
        </w:rPr>
        <w:t>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tym</w:t>
      </w:r>
      <w:r w:rsidRPr="009A4A22">
        <w:rPr>
          <w:noProof/>
        </w:rPr>
        <w:t xml:space="preserve"> odnoszą się wyłącznie do sporów umownych</w:t>
      </w:r>
      <w:r w:rsidR="00BE6F6D" w:rsidRPr="009A4A22">
        <w:rPr>
          <w:noProof/>
        </w:rPr>
        <w:t xml:space="preserve"> z</w:t>
      </w:r>
      <w:r w:rsidR="00BE6F6D">
        <w:rPr>
          <w:noProof/>
        </w:rPr>
        <w:t> </w:t>
      </w:r>
      <w:r w:rsidR="00BE6F6D" w:rsidRPr="009A4A22">
        <w:rPr>
          <w:noProof/>
        </w:rPr>
        <w:t>prz</w:t>
      </w:r>
      <w:r w:rsidRPr="009A4A22">
        <w:rPr>
          <w:noProof/>
        </w:rPr>
        <w:t>edsiębiorcami mającymi siedzibę</w:t>
      </w:r>
      <w:r w:rsidR="00BE6F6D" w:rsidRPr="009A4A22">
        <w:rPr>
          <w:noProof/>
        </w:rPr>
        <w:t xml:space="preserve"> w</w:t>
      </w:r>
      <w:r w:rsidR="00BE6F6D">
        <w:rPr>
          <w:noProof/>
        </w:rPr>
        <w:t> </w:t>
      </w:r>
      <w:r w:rsidR="00BE6F6D" w:rsidRPr="009A4A22">
        <w:rPr>
          <w:noProof/>
        </w:rPr>
        <w:t>Uni</w:t>
      </w:r>
      <w:r w:rsidRPr="009A4A22">
        <w:rPr>
          <w:noProof/>
        </w:rPr>
        <w:t>i. Komisja proponuje zmianę tych definicji</w:t>
      </w:r>
      <w:r w:rsidR="00BE6F6D" w:rsidRPr="009A4A22">
        <w:rPr>
          <w:noProof/>
        </w:rPr>
        <w:t xml:space="preserve"> w</w:t>
      </w:r>
      <w:r w:rsidR="00BE6F6D">
        <w:rPr>
          <w:noProof/>
        </w:rPr>
        <w:t> </w:t>
      </w:r>
      <w:r w:rsidR="00BE6F6D" w:rsidRPr="009A4A22">
        <w:rPr>
          <w:noProof/>
        </w:rPr>
        <w:t>cel</w:t>
      </w:r>
      <w:r w:rsidRPr="009A4A22">
        <w:rPr>
          <w:noProof/>
        </w:rPr>
        <w:t>u uwzględnienia</w:t>
      </w:r>
      <w:r w:rsidR="00BE6F6D" w:rsidRPr="009A4A22">
        <w:rPr>
          <w:noProof/>
        </w:rPr>
        <w:t xml:space="preserve"> w</w:t>
      </w:r>
      <w:r w:rsidR="00BE6F6D">
        <w:rPr>
          <w:noProof/>
        </w:rPr>
        <w:t> </w:t>
      </w:r>
      <w:r w:rsidR="00BE6F6D" w:rsidRPr="009A4A22">
        <w:rPr>
          <w:noProof/>
        </w:rPr>
        <w:t>nic</w:t>
      </w:r>
      <w:r w:rsidRPr="009A4A22">
        <w:rPr>
          <w:noProof/>
        </w:rPr>
        <w:t>h wszystkich sporów dotyczących podstawowych praw konsumentów. Ponadto nowa definicja „sporu transgranicznego” ma obejmować również przypadki,</w:t>
      </w:r>
      <w:r w:rsidR="00BE6F6D" w:rsidRPr="009A4A22">
        <w:rPr>
          <w:noProof/>
        </w:rPr>
        <w:t xml:space="preserve"> w</w:t>
      </w:r>
      <w:r w:rsidR="00BE6F6D">
        <w:rPr>
          <w:noProof/>
        </w:rPr>
        <w:t> </w:t>
      </w:r>
      <w:r w:rsidR="00BE6F6D" w:rsidRPr="009A4A22">
        <w:rPr>
          <w:noProof/>
        </w:rPr>
        <w:t>któ</w:t>
      </w:r>
      <w:r w:rsidRPr="009A4A22">
        <w:rPr>
          <w:noProof/>
        </w:rPr>
        <w:t>rych przedsiębiorca ma siedzibę poza Unią.</w:t>
      </w:r>
    </w:p>
    <w:p w14:paraId="21515CE1" w14:textId="1C2C686F"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Artykuł 5 – Dostępność podmiotów ADR</w:t>
      </w:r>
      <w:r w:rsidR="00BE6F6D" w:rsidRPr="009A4A22">
        <w:rPr>
          <w:noProof/>
        </w:rPr>
        <w:t xml:space="preserve"> i</w:t>
      </w:r>
      <w:r w:rsidR="00BE6F6D">
        <w:rPr>
          <w:noProof/>
        </w:rPr>
        <w:t> </w:t>
      </w:r>
      <w:r w:rsidR="00BE6F6D" w:rsidRPr="009A4A22">
        <w:rPr>
          <w:noProof/>
        </w:rPr>
        <w:t>pos</w:t>
      </w:r>
      <w:r w:rsidRPr="009A4A22">
        <w:rPr>
          <w:noProof/>
        </w:rPr>
        <w:t>tępowań ADR</w:t>
      </w:r>
    </w:p>
    <w:p w14:paraId="4964F855" w14:textId="6F67F962" w:rsidR="00C80E7E" w:rsidRPr="009A4A22" w:rsidRDefault="00C80E7E" w:rsidP="00D36A0B">
      <w:pPr>
        <w:pBdr>
          <w:top w:val="nil"/>
          <w:left w:val="nil"/>
          <w:bottom w:val="nil"/>
          <w:right w:val="nil"/>
          <w:between w:val="nil"/>
          <w:bar w:val="nil"/>
        </w:pBdr>
        <w:spacing w:before="0" w:after="240"/>
        <w:rPr>
          <w:noProof/>
          <w:szCs w:val="24"/>
        </w:rPr>
      </w:pPr>
      <w:r w:rsidRPr="009A4A22">
        <w:rPr>
          <w:noProof/>
        </w:rPr>
        <w:t xml:space="preserve">W obecnym brzmieniu </w:t>
      </w:r>
      <w:r w:rsidRPr="00BE6F6D">
        <w:rPr>
          <w:noProof/>
        </w:rPr>
        <w:t>art.</w:t>
      </w:r>
      <w:r w:rsidR="00BE6F6D" w:rsidRPr="00BE6F6D">
        <w:rPr>
          <w:noProof/>
        </w:rPr>
        <w:t> </w:t>
      </w:r>
      <w:r w:rsidRPr="00BE6F6D">
        <w:rPr>
          <w:noProof/>
        </w:rPr>
        <w:t>5</w:t>
      </w:r>
      <w:r w:rsidRPr="009A4A22">
        <w:rPr>
          <w:noProof/>
        </w:rPr>
        <w:t xml:space="preserve"> </w:t>
      </w:r>
      <w:r w:rsidRPr="00BE6F6D">
        <w:rPr>
          <w:noProof/>
        </w:rPr>
        <w:t>ust.</w:t>
      </w:r>
      <w:r w:rsidR="00BE6F6D" w:rsidRPr="00BE6F6D">
        <w:rPr>
          <w:noProof/>
        </w:rPr>
        <w:t> </w:t>
      </w:r>
      <w:r w:rsidRPr="00BE6F6D">
        <w:rPr>
          <w:noProof/>
        </w:rPr>
        <w:t>1</w:t>
      </w:r>
      <w:r w:rsidRPr="009A4A22">
        <w:rPr>
          <w:noProof/>
        </w:rPr>
        <w:t xml:space="preserve"> wymaga, aby państwa członkowskie zapewniły obecność podmiotów ADR spełniających wymogi dyrektywy ADR, które zajmują się sporami między konsumentami</w:t>
      </w:r>
      <w:r w:rsidR="00BE6F6D" w:rsidRPr="009A4A22">
        <w:rPr>
          <w:noProof/>
        </w:rPr>
        <w:t xml:space="preserve"> a</w:t>
      </w:r>
      <w:r w:rsidR="00BE6F6D">
        <w:rPr>
          <w:noProof/>
        </w:rPr>
        <w:t> </w:t>
      </w:r>
      <w:r w:rsidR="00BE6F6D" w:rsidRPr="009A4A22">
        <w:rPr>
          <w:noProof/>
        </w:rPr>
        <w:t>prz</w:t>
      </w:r>
      <w:r w:rsidRPr="009A4A22">
        <w:rPr>
          <w:noProof/>
        </w:rPr>
        <w:t>edsiębiorcami mającymi siedzibę na terytorium tych państw członkowskich</w:t>
      </w:r>
      <w:r w:rsidR="00BE6F6D" w:rsidRPr="009A4A22">
        <w:rPr>
          <w:noProof/>
        </w:rPr>
        <w:t>. W</w:t>
      </w:r>
      <w:r w:rsidR="00BE6F6D">
        <w:rPr>
          <w:noProof/>
        </w:rPr>
        <w:t> </w:t>
      </w:r>
      <w:r w:rsidR="00BE6F6D" w:rsidRPr="009A4A22">
        <w:rPr>
          <w:noProof/>
        </w:rPr>
        <w:t>pro</w:t>
      </w:r>
      <w:r w:rsidRPr="009A4A22">
        <w:rPr>
          <w:noProof/>
        </w:rPr>
        <w:t>ponowanym rozszerzeniu zakresu stosowania dyrektywy także przedsiębiorcy mający siedzibę poza UE będą mogli uczestniczyć (na zasadzie dobrowolności)</w:t>
      </w:r>
      <w:r w:rsidR="00BE6F6D" w:rsidRPr="009A4A22">
        <w:rPr>
          <w:noProof/>
        </w:rPr>
        <w:t xml:space="preserve"> w</w:t>
      </w:r>
      <w:r w:rsidR="00BE6F6D">
        <w:rPr>
          <w:noProof/>
        </w:rPr>
        <w:t> </w:t>
      </w:r>
      <w:r w:rsidR="00BE6F6D" w:rsidRPr="009A4A22">
        <w:rPr>
          <w:noProof/>
        </w:rPr>
        <w:t>pos</w:t>
      </w:r>
      <w:r w:rsidRPr="009A4A22">
        <w:rPr>
          <w:noProof/>
        </w:rPr>
        <w:t>tępowaniach ADR</w:t>
      </w:r>
      <w:r w:rsidR="00BE6F6D" w:rsidRPr="009A4A22">
        <w:rPr>
          <w:noProof/>
        </w:rPr>
        <w:t>. 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tym</w:t>
      </w:r>
      <w:r w:rsidRPr="009A4A22">
        <w:rPr>
          <w:noProof/>
        </w:rPr>
        <w:t xml:space="preserve"> Komisja proponuje nałożenie na państwa członkowskie obowiązku powołania podmiotów ADR, które będą właściwe do rozstrzygania takich sporów między konsumentami</w:t>
      </w:r>
      <w:r w:rsidR="00BE6F6D" w:rsidRPr="009A4A22">
        <w:rPr>
          <w:noProof/>
        </w:rPr>
        <w:t xml:space="preserve"> a</w:t>
      </w:r>
      <w:r w:rsidR="00BE6F6D">
        <w:rPr>
          <w:noProof/>
        </w:rPr>
        <w:t> </w:t>
      </w:r>
      <w:r w:rsidR="00BE6F6D" w:rsidRPr="009A4A22">
        <w:rPr>
          <w:noProof/>
        </w:rPr>
        <w:t>prz</w:t>
      </w:r>
      <w:r w:rsidRPr="009A4A22">
        <w:rPr>
          <w:noProof/>
        </w:rPr>
        <w:t xml:space="preserve">edsiębiorcami spoza UE. </w:t>
      </w:r>
    </w:p>
    <w:bookmarkEnd w:id="2"/>
    <w:p w14:paraId="4197B17E" w14:textId="57247A63" w:rsidR="00D36A0B" w:rsidRPr="009A4A22" w:rsidRDefault="00BA0D97" w:rsidP="00D36A0B">
      <w:pPr>
        <w:pBdr>
          <w:top w:val="nil"/>
          <w:left w:val="nil"/>
          <w:bottom w:val="nil"/>
          <w:right w:val="nil"/>
          <w:between w:val="nil"/>
          <w:bar w:val="nil"/>
        </w:pBdr>
        <w:spacing w:before="0" w:after="240"/>
        <w:rPr>
          <w:noProof/>
          <w:szCs w:val="24"/>
        </w:rPr>
      </w:pPr>
      <w:r w:rsidRPr="009A4A22">
        <w:rPr>
          <w:noProof/>
        </w:rPr>
        <w:t>Aby chronić konsumentów</w:t>
      </w:r>
      <w:r w:rsidR="00BE6F6D" w:rsidRPr="009A4A22">
        <w:rPr>
          <w:noProof/>
        </w:rPr>
        <w:t xml:space="preserve"> o</w:t>
      </w:r>
      <w:r w:rsidR="00BE6F6D">
        <w:rPr>
          <w:noProof/>
        </w:rPr>
        <w:t> </w:t>
      </w:r>
      <w:r w:rsidR="00BE6F6D" w:rsidRPr="009A4A22">
        <w:rPr>
          <w:noProof/>
        </w:rPr>
        <w:t>ogr</w:t>
      </w:r>
      <w:r w:rsidRPr="009A4A22">
        <w:rPr>
          <w:noProof/>
        </w:rPr>
        <w:t xml:space="preserve">aniczonych umiejętnościach cyfrowych, </w:t>
      </w:r>
      <w:r w:rsidRPr="00BE6F6D">
        <w:rPr>
          <w:noProof/>
        </w:rPr>
        <w:t>art.</w:t>
      </w:r>
      <w:r w:rsidR="00BE6F6D" w:rsidRPr="00BE6F6D">
        <w:rPr>
          <w:noProof/>
        </w:rPr>
        <w:t> </w:t>
      </w:r>
      <w:r w:rsidRPr="00BE6F6D">
        <w:rPr>
          <w:noProof/>
        </w:rPr>
        <w:t>5</w:t>
      </w:r>
      <w:r w:rsidRPr="009A4A22">
        <w:rPr>
          <w:noProof/>
        </w:rPr>
        <w:t xml:space="preserve"> </w:t>
      </w:r>
      <w:r w:rsidRPr="00BE6F6D">
        <w:rPr>
          <w:noProof/>
        </w:rPr>
        <w:t>ust.</w:t>
      </w:r>
      <w:r w:rsidR="00BE6F6D" w:rsidRPr="00BE6F6D">
        <w:rPr>
          <w:noProof/>
        </w:rPr>
        <w:t> </w:t>
      </w:r>
      <w:r w:rsidRPr="00BE6F6D">
        <w:rPr>
          <w:noProof/>
        </w:rPr>
        <w:t>2</w:t>
      </w:r>
      <w:r w:rsidRPr="009A4A22">
        <w:rPr>
          <w:noProof/>
        </w:rPr>
        <w:t xml:space="preserve"> </w:t>
      </w:r>
      <w:r w:rsidRPr="00BE6F6D">
        <w:rPr>
          <w:noProof/>
        </w:rPr>
        <w:t>lit.</w:t>
      </w:r>
      <w:r w:rsidR="00BE6F6D" w:rsidRPr="00BE6F6D">
        <w:rPr>
          <w:noProof/>
        </w:rPr>
        <w:t> </w:t>
      </w:r>
      <w:r w:rsidRPr="00BE6F6D">
        <w:rPr>
          <w:noProof/>
        </w:rPr>
        <w:t>a)</w:t>
      </w:r>
      <w:r w:rsidRPr="009A4A22">
        <w:rPr>
          <w:noProof/>
        </w:rPr>
        <w:t xml:space="preserve"> przewiduje dla konsumentów podatnych na zagrożenia możliwość – na żądanie – wysyłania dokumentów</w:t>
      </w:r>
      <w:r w:rsidR="00BE6F6D" w:rsidRPr="009A4A22">
        <w:rPr>
          <w:noProof/>
        </w:rPr>
        <w:t xml:space="preserve"> i</w:t>
      </w:r>
      <w:r w:rsidR="00BE6F6D">
        <w:rPr>
          <w:noProof/>
        </w:rPr>
        <w:t> </w:t>
      </w:r>
      <w:r w:rsidR="00BE6F6D" w:rsidRPr="009A4A22">
        <w:rPr>
          <w:noProof/>
        </w:rPr>
        <w:t>dos</w:t>
      </w:r>
      <w:r w:rsidRPr="009A4A22">
        <w:rPr>
          <w:noProof/>
        </w:rPr>
        <w:t>tępu do nich</w:t>
      </w:r>
      <w:r w:rsidR="00BE6F6D" w:rsidRPr="009A4A22">
        <w:rPr>
          <w:noProof/>
        </w:rPr>
        <w:t xml:space="preserve"> w</w:t>
      </w:r>
      <w:r w:rsidR="00BE6F6D">
        <w:rPr>
          <w:noProof/>
        </w:rPr>
        <w:t> </w:t>
      </w:r>
      <w:r w:rsidR="00BE6F6D" w:rsidRPr="009A4A22">
        <w:rPr>
          <w:noProof/>
        </w:rPr>
        <w:t>for</w:t>
      </w:r>
      <w:r w:rsidRPr="009A4A22">
        <w:rPr>
          <w:noProof/>
        </w:rPr>
        <w:t>macie niecyfrowym</w:t>
      </w:r>
      <w:r w:rsidR="00BE6F6D" w:rsidRPr="009A4A22">
        <w:rPr>
          <w:noProof/>
        </w:rPr>
        <w:t>. W</w:t>
      </w:r>
      <w:r w:rsidR="00BE6F6D">
        <w:rPr>
          <w:noProof/>
        </w:rPr>
        <w:t> </w:t>
      </w:r>
      <w:r w:rsidR="00BE6F6D" w:rsidRPr="00BE6F6D">
        <w:rPr>
          <w:noProof/>
        </w:rPr>
        <w:t>art</w:t>
      </w:r>
      <w:r w:rsidRPr="00BE6F6D">
        <w:rPr>
          <w:noProof/>
        </w:rPr>
        <w:t>.</w:t>
      </w:r>
      <w:r w:rsidR="00BE6F6D" w:rsidRPr="00BE6F6D">
        <w:rPr>
          <w:noProof/>
        </w:rPr>
        <w:t> </w:t>
      </w:r>
      <w:r w:rsidRPr="00BE6F6D">
        <w:rPr>
          <w:noProof/>
        </w:rPr>
        <w:t>5</w:t>
      </w:r>
      <w:r w:rsidRPr="009A4A22">
        <w:rPr>
          <w:noProof/>
        </w:rPr>
        <w:t xml:space="preserve"> </w:t>
      </w:r>
      <w:r w:rsidRPr="00BE6F6D">
        <w:rPr>
          <w:noProof/>
        </w:rPr>
        <w:t>ust.</w:t>
      </w:r>
      <w:r w:rsidR="00BE6F6D" w:rsidRPr="00BE6F6D">
        <w:rPr>
          <w:noProof/>
        </w:rPr>
        <w:t> </w:t>
      </w:r>
      <w:r w:rsidRPr="00BE6F6D">
        <w:rPr>
          <w:noProof/>
        </w:rPr>
        <w:t>2</w:t>
      </w:r>
      <w:r w:rsidRPr="009A4A22">
        <w:rPr>
          <w:noProof/>
        </w:rPr>
        <w:t xml:space="preserve"> </w:t>
      </w:r>
      <w:r w:rsidRPr="00BE6F6D">
        <w:rPr>
          <w:noProof/>
        </w:rPr>
        <w:t>lit.</w:t>
      </w:r>
      <w:r w:rsidR="00BE6F6D" w:rsidRPr="00BE6F6D">
        <w:rPr>
          <w:noProof/>
        </w:rPr>
        <w:t> </w:t>
      </w:r>
      <w:r w:rsidRPr="00BE6F6D">
        <w:rPr>
          <w:noProof/>
        </w:rPr>
        <w:t>b)</w:t>
      </w:r>
      <w:r w:rsidRPr="009A4A22">
        <w:rPr>
          <w:noProof/>
        </w:rPr>
        <w:t xml:space="preserve"> podkreślono potrzebę, aby konsumenci podatni na zagrożenia mieli łatwy dostęp do postępowań ADR za pomocą inkluzywnych narzędzi, natomiast </w:t>
      </w:r>
      <w:r w:rsidRPr="00BE6F6D">
        <w:rPr>
          <w:noProof/>
        </w:rPr>
        <w:t>art.</w:t>
      </w:r>
      <w:r w:rsidR="00BE6F6D" w:rsidRPr="00BE6F6D">
        <w:rPr>
          <w:noProof/>
        </w:rPr>
        <w:t> </w:t>
      </w:r>
      <w:r w:rsidRPr="00BE6F6D">
        <w:rPr>
          <w:noProof/>
        </w:rPr>
        <w:t>5</w:t>
      </w:r>
      <w:r w:rsidRPr="009A4A22">
        <w:rPr>
          <w:noProof/>
        </w:rPr>
        <w:t xml:space="preserve"> </w:t>
      </w:r>
      <w:r w:rsidRPr="00BE6F6D">
        <w:rPr>
          <w:noProof/>
        </w:rPr>
        <w:t>ust.</w:t>
      </w:r>
      <w:r w:rsidR="00BE6F6D" w:rsidRPr="00BE6F6D">
        <w:rPr>
          <w:noProof/>
        </w:rPr>
        <w:t> </w:t>
      </w:r>
      <w:r w:rsidRPr="00BE6F6D">
        <w:rPr>
          <w:noProof/>
        </w:rPr>
        <w:t>2</w:t>
      </w:r>
      <w:r w:rsidRPr="009A4A22">
        <w:rPr>
          <w:noProof/>
        </w:rPr>
        <w:t xml:space="preserve"> </w:t>
      </w:r>
      <w:r w:rsidRPr="00BE6F6D">
        <w:rPr>
          <w:noProof/>
        </w:rPr>
        <w:t>lit.</w:t>
      </w:r>
      <w:r w:rsidR="00BE6F6D" w:rsidRPr="00BE6F6D">
        <w:rPr>
          <w:noProof/>
        </w:rPr>
        <w:t> </w:t>
      </w:r>
      <w:r w:rsidRPr="00BE6F6D">
        <w:rPr>
          <w:noProof/>
        </w:rPr>
        <w:t>c)</w:t>
      </w:r>
      <w:r w:rsidRPr="009A4A22">
        <w:rPr>
          <w:noProof/>
        </w:rPr>
        <w:t xml:space="preserve"> zapewnia prawo do kontroli wyniku zautomatyzowanej procedury przez osobę fizyczną. Art. 5 </w:t>
      </w:r>
      <w:r w:rsidRPr="00BE6F6D">
        <w:rPr>
          <w:noProof/>
        </w:rPr>
        <w:t>ust.</w:t>
      </w:r>
      <w:r w:rsidR="00BE6F6D" w:rsidRPr="00BE6F6D">
        <w:rPr>
          <w:noProof/>
        </w:rPr>
        <w:t> </w:t>
      </w:r>
      <w:r w:rsidRPr="00BE6F6D">
        <w:rPr>
          <w:noProof/>
        </w:rPr>
        <w:t>2</w:t>
      </w:r>
      <w:r w:rsidRPr="009A4A22">
        <w:rPr>
          <w:noProof/>
        </w:rPr>
        <w:t xml:space="preserve"> </w:t>
      </w:r>
      <w:r w:rsidRPr="00BE6F6D">
        <w:rPr>
          <w:noProof/>
        </w:rPr>
        <w:t>lit.</w:t>
      </w:r>
      <w:r w:rsidR="00BE6F6D" w:rsidRPr="00BE6F6D">
        <w:rPr>
          <w:noProof/>
        </w:rPr>
        <w:t> </w:t>
      </w:r>
      <w:r w:rsidRPr="00BE6F6D">
        <w:rPr>
          <w:noProof/>
        </w:rPr>
        <w:t>d)</w:t>
      </w:r>
      <w:r w:rsidRPr="009A4A22">
        <w:rPr>
          <w:noProof/>
        </w:rPr>
        <w:t xml:space="preserve"> zwiększa istniejące już</w:t>
      </w:r>
      <w:r w:rsidR="00BE6F6D" w:rsidRPr="009A4A22">
        <w:rPr>
          <w:noProof/>
        </w:rPr>
        <w:t xml:space="preserve"> w</w:t>
      </w:r>
      <w:r w:rsidR="00BE6F6D">
        <w:rPr>
          <w:noProof/>
        </w:rPr>
        <w:t> </w:t>
      </w:r>
      <w:r w:rsidR="00BE6F6D" w:rsidRPr="009A4A22">
        <w:rPr>
          <w:noProof/>
        </w:rPr>
        <w:t>nie</w:t>
      </w:r>
      <w:r w:rsidRPr="009A4A22">
        <w:rPr>
          <w:noProof/>
        </w:rPr>
        <w:t>których państwach członkowskich możliwości łączenia podobnych spraw przeciwko jednemu przedsiębiorcy</w:t>
      </w:r>
      <w:r w:rsidR="00BE6F6D" w:rsidRPr="009A4A22">
        <w:rPr>
          <w:noProof/>
        </w:rPr>
        <w:t xml:space="preserve"> w</w:t>
      </w:r>
      <w:r w:rsidR="00BE6F6D">
        <w:rPr>
          <w:noProof/>
        </w:rPr>
        <w:t> </w:t>
      </w:r>
      <w:r w:rsidR="00BE6F6D" w:rsidRPr="009A4A22">
        <w:rPr>
          <w:noProof/>
        </w:rPr>
        <w:t>cel</w:t>
      </w:r>
      <w:r w:rsidRPr="009A4A22">
        <w:rPr>
          <w:noProof/>
        </w:rPr>
        <w:t>u zaoszczędzenia zasobów podmiotu ADR</w:t>
      </w:r>
      <w:r w:rsidR="00BE6F6D" w:rsidRPr="009A4A22">
        <w:rPr>
          <w:noProof/>
        </w:rPr>
        <w:t xml:space="preserve"> i</w:t>
      </w:r>
      <w:r w:rsidR="00BE6F6D">
        <w:rPr>
          <w:noProof/>
        </w:rPr>
        <w:t> </w:t>
      </w:r>
      <w:r w:rsidR="00BE6F6D" w:rsidRPr="009A4A22">
        <w:rPr>
          <w:noProof/>
        </w:rPr>
        <w:t>cza</w:t>
      </w:r>
      <w:r w:rsidRPr="009A4A22">
        <w:rPr>
          <w:noProof/>
        </w:rPr>
        <w:t>su przedsiębiorców</w:t>
      </w:r>
      <w:r w:rsidR="00BE6F6D" w:rsidRPr="009A4A22">
        <w:rPr>
          <w:noProof/>
        </w:rPr>
        <w:t xml:space="preserve"> i</w:t>
      </w:r>
      <w:r w:rsidR="00BE6F6D">
        <w:rPr>
          <w:noProof/>
        </w:rPr>
        <w:t> </w:t>
      </w:r>
      <w:r w:rsidR="00BE6F6D" w:rsidRPr="009A4A22">
        <w:rPr>
          <w:noProof/>
        </w:rPr>
        <w:t>kon</w:t>
      </w:r>
      <w:r w:rsidRPr="009A4A22">
        <w:rPr>
          <w:noProof/>
        </w:rPr>
        <w:t>sumentów. Równocześnie zainteresowany konsument ma prawo nie zgodzić się na połączenie jego sprawy</w:t>
      </w:r>
      <w:r w:rsidR="00BE6F6D" w:rsidRPr="009A4A22">
        <w:rPr>
          <w:noProof/>
        </w:rPr>
        <w:t xml:space="preserve"> z</w:t>
      </w:r>
      <w:r w:rsidR="00BE6F6D">
        <w:rPr>
          <w:noProof/>
        </w:rPr>
        <w:t> </w:t>
      </w:r>
      <w:r w:rsidR="00BE6F6D" w:rsidRPr="009A4A22">
        <w:rPr>
          <w:noProof/>
        </w:rPr>
        <w:t>inn</w:t>
      </w:r>
      <w:r w:rsidRPr="009A4A22">
        <w:rPr>
          <w:noProof/>
        </w:rPr>
        <w:t xml:space="preserve">ymi. </w:t>
      </w:r>
    </w:p>
    <w:p w14:paraId="7380F5BA" w14:textId="14AFD76F" w:rsidR="005A542F" w:rsidRPr="009A4A22" w:rsidRDefault="00D36A0B" w:rsidP="00D36A0B">
      <w:pPr>
        <w:pBdr>
          <w:top w:val="nil"/>
          <w:left w:val="nil"/>
          <w:bottom w:val="nil"/>
          <w:right w:val="nil"/>
          <w:between w:val="nil"/>
          <w:bar w:val="nil"/>
        </w:pBdr>
        <w:spacing w:before="0" w:after="240"/>
        <w:rPr>
          <w:noProof/>
          <w:szCs w:val="24"/>
        </w:rPr>
      </w:pPr>
      <w:r w:rsidRPr="009A4A22">
        <w:rPr>
          <w:noProof/>
        </w:rPr>
        <w:t xml:space="preserve">W </w:t>
      </w:r>
      <w:r w:rsidRPr="00BE6F6D">
        <w:rPr>
          <w:noProof/>
        </w:rPr>
        <w:t>art.</w:t>
      </w:r>
      <w:r w:rsidR="00BE6F6D" w:rsidRPr="00BE6F6D">
        <w:rPr>
          <w:noProof/>
        </w:rPr>
        <w:t> </w:t>
      </w:r>
      <w:r w:rsidRPr="00BE6F6D">
        <w:rPr>
          <w:noProof/>
        </w:rPr>
        <w:t>5</w:t>
      </w:r>
      <w:r w:rsidRPr="009A4A22">
        <w:rPr>
          <w:noProof/>
        </w:rPr>
        <w:t xml:space="preserve"> </w:t>
      </w:r>
      <w:r w:rsidRPr="00BE6F6D">
        <w:rPr>
          <w:noProof/>
        </w:rPr>
        <w:t>ust.</w:t>
      </w:r>
      <w:r w:rsidR="00BE6F6D" w:rsidRPr="00BE6F6D">
        <w:rPr>
          <w:noProof/>
        </w:rPr>
        <w:t> </w:t>
      </w:r>
      <w:r w:rsidRPr="00BE6F6D">
        <w:rPr>
          <w:noProof/>
        </w:rPr>
        <w:t>4</w:t>
      </w:r>
      <w:r w:rsidRPr="009A4A22">
        <w:rPr>
          <w:noProof/>
        </w:rPr>
        <w:t xml:space="preserve"> </w:t>
      </w:r>
      <w:r w:rsidRPr="00BE6F6D">
        <w:rPr>
          <w:noProof/>
        </w:rPr>
        <w:t>lit.</w:t>
      </w:r>
      <w:r w:rsidR="00BE6F6D" w:rsidRPr="00BE6F6D">
        <w:rPr>
          <w:noProof/>
        </w:rPr>
        <w:t> </w:t>
      </w:r>
      <w:r w:rsidRPr="00BE6F6D">
        <w:rPr>
          <w:noProof/>
        </w:rPr>
        <w:t>a)</w:t>
      </w:r>
      <w:r w:rsidRPr="009A4A22">
        <w:rPr>
          <w:noProof/>
        </w:rPr>
        <w:t xml:space="preserve"> doprecyzowano, że chociaż konsumenci są zobowiązani do podjęcia próby dwustronnego rozstrzygnięcia sporu</w:t>
      </w:r>
      <w:r w:rsidR="00BE6F6D" w:rsidRPr="009A4A22">
        <w:rPr>
          <w:noProof/>
        </w:rPr>
        <w:t xml:space="preserve"> z</w:t>
      </w:r>
      <w:r w:rsidR="00BE6F6D">
        <w:rPr>
          <w:noProof/>
        </w:rPr>
        <w:t> </w:t>
      </w:r>
      <w:r w:rsidR="00BE6F6D" w:rsidRPr="009A4A22">
        <w:rPr>
          <w:noProof/>
        </w:rPr>
        <w:t>prz</w:t>
      </w:r>
      <w:r w:rsidRPr="009A4A22">
        <w:rPr>
          <w:noProof/>
        </w:rPr>
        <w:t>edsiębiorcą, podmioty ADR nie powinny wprowadzać nieproporcjonalnych zasad dotyczących sposobu kontaktowania się</w:t>
      </w:r>
      <w:r w:rsidR="00BE6F6D" w:rsidRPr="009A4A22">
        <w:rPr>
          <w:noProof/>
        </w:rPr>
        <w:t xml:space="preserve"> z</w:t>
      </w:r>
      <w:r w:rsidR="00BE6F6D">
        <w:rPr>
          <w:noProof/>
        </w:rPr>
        <w:t> </w:t>
      </w:r>
      <w:r w:rsidR="00BE6F6D" w:rsidRPr="009A4A22">
        <w:rPr>
          <w:noProof/>
        </w:rPr>
        <w:t>prz</w:t>
      </w:r>
      <w:r w:rsidRPr="009A4A22">
        <w:rPr>
          <w:noProof/>
        </w:rPr>
        <w:t xml:space="preserve">edsiębiorcą jako warunku wszczęcia postępowania ADR. </w:t>
      </w:r>
    </w:p>
    <w:p w14:paraId="355FE14C" w14:textId="00419739"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 xml:space="preserve">Art. 5 </w:t>
      </w:r>
      <w:r w:rsidRPr="00BE6F6D">
        <w:rPr>
          <w:noProof/>
        </w:rPr>
        <w:t>ust.</w:t>
      </w:r>
      <w:r w:rsidR="00BE6F6D" w:rsidRPr="00BE6F6D">
        <w:rPr>
          <w:noProof/>
        </w:rPr>
        <w:t> </w:t>
      </w:r>
      <w:r w:rsidRPr="00BE6F6D">
        <w:rPr>
          <w:noProof/>
        </w:rPr>
        <w:t>8</w:t>
      </w:r>
      <w:r w:rsidRPr="009A4A22">
        <w:rPr>
          <w:noProof/>
        </w:rPr>
        <w:t xml:space="preserve"> nakłada na przedsiębiorców obowiązek udzielenia odpowiedzi, który ma zachęcać ich do udziału</w:t>
      </w:r>
      <w:r w:rsidR="00BE6F6D" w:rsidRPr="009A4A22">
        <w:rPr>
          <w:noProof/>
        </w:rPr>
        <w:t xml:space="preserve"> w</w:t>
      </w:r>
      <w:r w:rsidR="00BE6F6D">
        <w:rPr>
          <w:noProof/>
        </w:rPr>
        <w:t> </w:t>
      </w:r>
      <w:r w:rsidR="00BE6F6D" w:rsidRPr="009A4A22">
        <w:rPr>
          <w:noProof/>
        </w:rPr>
        <w:t>pos</w:t>
      </w:r>
      <w:r w:rsidRPr="009A4A22">
        <w:rPr>
          <w:noProof/>
        </w:rPr>
        <w:t>tępowaniach ADR. Mimo, że nie są oni zobowiązani do udziału w ADR,</w:t>
      </w:r>
      <w:r w:rsidR="00BE6F6D" w:rsidRPr="009A4A22">
        <w:rPr>
          <w:noProof/>
        </w:rPr>
        <w:t xml:space="preserve"> o</w:t>
      </w:r>
      <w:r w:rsidR="00BE6F6D">
        <w:rPr>
          <w:noProof/>
        </w:rPr>
        <w:t> </w:t>
      </w:r>
      <w:r w:rsidR="00BE6F6D" w:rsidRPr="009A4A22">
        <w:rPr>
          <w:noProof/>
        </w:rPr>
        <w:t>ile</w:t>
      </w:r>
      <w:r w:rsidRPr="009A4A22">
        <w:rPr>
          <w:noProof/>
        </w:rPr>
        <w:t xml:space="preserve"> nie wymagają tego przepisy krajowe lub sektorowe przepisy UE, proponuje się, aby przedsiębiorcy byli zobowiązani do udzielenia podmiotowi ADR</w:t>
      </w:r>
      <w:r w:rsidR="00BE6F6D" w:rsidRPr="009A4A22">
        <w:rPr>
          <w:noProof/>
        </w:rPr>
        <w:t xml:space="preserve"> w</w:t>
      </w:r>
      <w:r w:rsidR="00BE6F6D">
        <w:rPr>
          <w:noProof/>
        </w:rPr>
        <w:t> </w:t>
      </w:r>
      <w:r w:rsidR="00BE6F6D" w:rsidRPr="009A4A22">
        <w:rPr>
          <w:noProof/>
        </w:rPr>
        <w:t>ter</w:t>
      </w:r>
      <w:r w:rsidRPr="009A4A22">
        <w:rPr>
          <w:noProof/>
        </w:rPr>
        <w:t>minie nieprzekraczającym 20 dni roboczych odpowiedzi na pytanie, czy zamierzają oni wziąć udział</w:t>
      </w:r>
      <w:r w:rsidR="00BE6F6D" w:rsidRPr="009A4A22">
        <w:rPr>
          <w:noProof/>
        </w:rPr>
        <w:t xml:space="preserve"> w</w:t>
      </w:r>
      <w:r w:rsidR="00BE6F6D">
        <w:rPr>
          <w:noProof/>
        </w:rPr>
        <w:t> </w:t>
      </w:r>
      <w:r w:rsidR="00BE6F6D" w:rsidRPr="009A4A22">
        <w:rPr>
          <w:noProof/>
        </w:rPr>
        <w:t>wyt</w:t>
      </w:r>
      <w:r w:rsidRPr="009A4A22">
        <w:rPr>
          <w:noProof/>
        </w:rPr>
        <w:t>oczonym przeciwko nim postępowaniu ADR.</w:t>
      </w:r>
    </w:p>
    <w:p w14:paraId="3A52FCD9" w14:textId="77777777"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Artykuł 7 – Przejrzystość</w:t>
      </w:r>
    </w:p>
    <w:p w14:paraId="1CBADB50" w14:textId="4DB50FD7"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Celem zmiany „rocznych” sprawozdań</w:t>
      </w:r>
      <w:r w:rsidR="00BE6F6D" w:rsidRPr="009A4A22">
        <w:rPr>
          <w:noProof/>
        </w:rPr>
        <w:t xml:space="preserve"> z</w:t>
      </w:r>
      <w:r w:rsidR="00BE6F6D">
        <w:rPr>
          <w:noProof/>
        </w:rPr>
        <w:t> </w:t>
      </w:r>
      <w:r w:rsidR="00BE6F6D" w:rsidRPr="009A4A22">
        <w:rPr>
          <w:noProof/>
        </w:rPr>
        <w:t>dzi</w:t>
      </w:r>
      <w:r w:rsidRPr="009A4A22">
        <w:rPr>
          <w:noProof/>
        </w:rPr>
        <w:t>ałalności publikowanych przez podmioty ADR na sprawozdania „dwuletnie” jest zmniejszenie obciążeń administracyjnych</w:t>
      </w:r>
      <w:r w:rsidR="00BE6F6D" w:rsidRPr="009A4A22">
        <w:rPr>
          <w:noProof/>
        </w:rPr>
        <w:t xml:space="preserve"> i</w:t>
      </w:r>
      <w:r w:rsidR="00BE6F6D">
        <w:rPr>
          <w:noProof/>
        </w:rPr>
        <w:t> </w:t>
      </w:r>
      <w:r w:rsidR="00BE6F6D" w:rsidRPr="009A4A22">
        <w:rPr>
          <w:noProof/>
        </w:rPr>
        <w:t>kos</w:t>
      </w:r>
      <w:r w:rsidRPr="009A4A22">
        <w:rPr>
          <w:noProof/>
        </w:rPr>
        <w:t xml:space="preserve">ztów ponoszonych przez podmioty ADR. Chociaż nadal zachęca się do współpracy, uchyla się </w:t>
      </w:r>
      <w:r w:rsidRPr="00BE6F6D">
        <w:rPr>
          <w:noProof/>
        </w:rPr>
        <w:t>art.</w:t>
      </w:r>
      <w:r w:rsidR="00BE6F6D" w:rsidRPr="00BE6F6D">
        <w:rPr>
          <w:noProof/>
        </w:rPr>
        <w:t> </w:t>
      </w:r>
      <w:r w:rsidRPr="00BE6F6D">
        <w:rPr>
          <w:noProof/>
        </w:rPr>
        <w:t>7</w:t>
      </w:r>
      <w:r w:rsidRPr="009A4A22">
        <w:rPr>
          <w:noProof/>
        </w:rPr>
        <w:t xml:space="preserve"> </w:t>
      </w:r>
      <w:r w:rsidRPr="00BE6F6D">
        <w:rPr>
          <w:noProof/>
        </w:rPr>
        <w:t>ust.</w:t>
      </w:r>
      <w:r w:rsidR="00BE6F6D" w:rsidRPr="00BE6F6D">
        <w:rPr>
          <w:noProof/>
        </w:rPr>
        <w:t> </w:t>
      </w:r>
      <w:r w:rsidRPr="00BE6F6D">
        <w:rPr>
          <w:noProof/>
        </w:rPr>
        <w:t>2</w:t>
      </w:r>
      <w:r w:rsidRPr="009A4A22">
        <w:rPr>
          <w:noProof/>
        </w:rPr>
        <w:t xml:space="preserve"> </w:t>
      </w:r>
      <w:r w:rsidRPr="00BE6F6D">
        <w:rPr>
          <w:noProof/>
        </w:rPr>
        <w:t>lit.</w:t>
      </w:r>
      <w:r w:rsidR="00BE6F6D" w:rsidRPr="00BE6F6D">
        <w:rPr>
          <w:noProof/>
        </w:rPr>
        <w:t> </w:t>
      </w:r>
      <w:r w:rsidRPr="00BE6F6D">
        <w:rPr>
          <w:noProof/>
        </w:rPr>
        <w:t>h)</w:t>
      </w:r>
      <w:r w:rsidRPr="009A4A22">
        <w:rPr>
          <w:noProof/>
        </w:rPr>
        <w:t>,</w:t>
      </w:r>
      <w:r w:rsidR="00BE6F6D" w:rsidRPr="009A4A22">
        <w:rPr>
          <w:noProof/>
        </w:rPr>
        <w:t xml:space="preserve"> w</w:t>
      </w:r>
      <w:r w:rsidR="00BE6F6D">
        <w:rPr>
          <w:noProof/>
        </w:rPr>
        <w:t> </w:t>
      </w:r>
      <w:r w:rsidR="00BE6F6D" w:rsidRPr="009A4A22">
        <w:rPr>
          <w:noProof/>
        </w:rPr>
        <w:t>zwi</w:t>
      </w:r>
      <w:r w:rsidRPr="009A4A22">
        <w:rPr>
          <w:noProof/>
        </w:rPr>
        <w:t>ązku</w:t>
      </w:r>
      <w:r w:rsidR="00BE6F6D" w:rsidRPr="009A4A22">
        <w:rPr>
          <w:noProof/>
        </w:rPr>
        <w:t xml:space="preserve"> z</w:t>
      </w:r>
      <w:r w:rsidR="00BE6F6D">
        <w:rPr>
          <w:noProof/>
        </w:rPr>
        <w:t> </w:t>
      </w:r>
      <w:r w:rsidR="00BE6F6D" w:rsidRPr="009A4A22">
        <w:rPr>
          <w:noProof/>
        </w:rPr>
        <w:t>czy</w:t>
      </w:r>
      <w:r w:rsidRPr="009A4A22">
        <w:rPr>
          <w:noProof/>
        </w:rPr>
        <w:t>m podmioty ADR nie będą już zobowiązane do informowania</w:t>
      </w:r>
      <w:r w:rsidR="00BE6F6D" w:rsidRPr="009A4A22">
        <w:rPr>
          <w:noProof/>
        </w:rPr>
        <w:t xml:space="preserve"> o</w:t>
      </w:r>
      <w:r w:rsidR="00BE6F6D">
        <w:rPr>
          <w:noProof/>
        </w:rPr>
        <w:t> </w:t>
      </w:r>
      <w:r w:rsidR="00BE6F6D" w:rsidRPr="009A4A22">
        <w:rPr>
          <w:noProof/>
        </w:rPr>
        <w:t>wsp</w:t>
      </w:r>
      <w:r w:rsidRPr="009A4A22">
        <w:rPr>
          <w:noProof/>
        </w:rPr>
        <w:t>ółpracy podmiotów ADR</w:t>
      </w:r>
      <w:r w:rsidR="00BE6F6D" w:rsidRPr="009A4A22">
        <w:rPr>
          <w:noProof/>
        </w:rPr>
        <w:t xml:space="preserve"> w</w:t>
      </w:r>
      <w:r w:rsidR="00BE6F6D">
        <w:rPr>
          <w:noProof/>
        </w:rPr>
        <w:t> </w:t>
      </w:r>
      <w:r w:rsidR="00BE6F6D" w:rsidRPr="009A4A22">
        <w:rPr>
          <w:noProof/>
        </w:rPr>
        <w:t>ram</w:t>
      </w:r>
      <w:r w:rsidRPr="009A4A22">
        <w:rPr>
          <w:noProof/>
        </w:rPr>
        <w:t>ach sieci podmiotów ADR ułatwiającej rozstrzyganie sporów transgranicznych.</w:t>
      </w:r>
    </w:p>
    <w:p w14:paraId="477C54AB" w14:textId="77777777"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Artykuł 13 – Informowanie konsumentów przez przedsiębiorców</w:t>
      </w:r>
    </w:p>
    <w:p w14:paraId="07C8FE57" w14:textId="145F4CFB"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 xml:space="preserve">Komisja proponuje uchylenie </w:t>
      </w:r>
      <w:r w:rsidRPr="00BE6F6D">
        <w:rPr>
          <w:noProof/>
        </w:rPr>
        <w:t>art.</w:t>
      </w:r>
      <w:r w:rsidR="00BE6F6D" w:rsidRPr="00BE6F6D">
        <w:rPr>
          <w:noProof/>
        </w:rPr>
        <w:t> </w:t>
      </w:r>
      <w:r w:rsidRPr="00BE6F6D">
        <w:rPr>
          <w:noProof/>
        </w:rPr>
        <w:t>1</w:t>
      </w:r>
      <w:r w:rsidRPr="009A4A22">
        <w:rPr>
          <w:noProof/>
        </w:rPr>
        <w:t xml:space="preserve">3 </w:t>
      </w:r>
      <w:r w:rsidRPr="00BE6F6D">
        <w:rPr>
          <w:noProof/>
        </w:rPr>
        <w:t>ust.</w:t>
      </w:r>
      <w:r w:rsidR="00BE6F6D" w:rsidRPr="00BE6F6D">
        <w:rPr>
          <w:noProof/>
        </w:rPr>
        <w:t> </w:t>
      </w:r>
      <w:r w:rsidRPr="00BE6F6D">
        <w:rPr>
          <w:noProof/>
        </w:rPr>
        <w:t>3</w:t>
      </w:r>
      <w:r w:rsidRPr="009A4A22">
        <w:rPr>
          <w:noProof/>
        </w:rPr>
        <w:t>, który nakłada na przedsiębiorców obowiązek przekazywania konsumentom informacji na temat ADR, niezależnie od tego, czy dany przedsiębiorca zamierza korzystać</w:t>
      </w:r>
      <w:r w:rsidR="00BE6F6D" w:rsidRPr="009A4A22">
        <w:rPr>
          <w:noProof/>
        </w:rPr>
        <w:t xml:space="preserve"> z</w:t>
      </w:r>
      <w:r w:rsidR="00BE6F6D">
        <w:rPr>
          <w:noProof/>
        </w:rPr>
        <w:t> </w:t>
      </w:r>
      <w:r w:rsidR="00BE6F6D" w:rsidRPr="009A4A22">
        <w:rPr>
          <w:noProof/>
        </w:rPr>
        <w:t>pos</w:t>
      </w:r>
      <w:r w:rsidRPr="009A4A22">
        <w:rPr>
          <w:noProof/>
        </w:rPr>
        <w:t>tępowań ADR</w:t>
      </w:r>
      <w:r w:rsidR="00BE6F6D" w:rsidRPr="009A4A22">
        <w:rPr>
          <w:noProof/>
        </w:rPr>
        <w:t>. W</w:t>
      </w:r>
      <w:r w:rsidR="00BE6F6D">
        <w:rPr>
          <w:noProof/>
        </w:rPr>
        <w:t> </w:t>
      </w:r>
      <w:r w:rsidR="00BE6F6D" w:rsidRPr="009A4A22">
        <w:rPr>
          <w:noProof/>
        </w:rPr>
        <w:t>zes</w:t>
      </w:r>
      <w:r w:rsidRPr="009A4A22">
        <w:rPr>
          <w:noProof/>
        </w:rPr>
        <w:t>tawieniu</w:t>
      </w:r>
      <w:r w:rsidR="00BE6F6D" w:rsidRPr="009A4A22">
        <w:rPr>
          <w:noProof/>
        </w:rPr>
        <w:t xml:space="preserve"> z</w:t>
      </w:r>
      <w:r w:rsidR="00BE6F6D">
        <w:rPr>
          <w:noProof/>
        </w:rPr>
        <w:t> </w:t>
      </w:r>
      <w:r w:rsidR="00BE6F6D" w:rsidRPr="00BE6F6D">
        <w:rPr>
          <w:noProof/>
        </w:rPr>
        <w:t>art</w:t>
      </w:r>
      <w:r w:rsidRPr="00BE6F6D">
        <w:rPr>
          <w:noProof/>
        </w:rPr>
        <w:t>.</w:t>
      </w:r>
      <w:r w:rsidR="00BE6F6D" w:rsidRPr="00BE6F6D">
        <w:rPr>
          <w:noProof/>
        </w:rPr>
        <w:t> </w:t>
      </w:r>
      <w:r w:rsidRPr="00BE6F6D">
        <w:rPr>
          <w:noProof/>
        </w:rPr>
        <w:t>1</w:t>
      </w:r>
      <w:r w:rsidRPr="009A4A22">
        <w:rPr>
          <w:noProof/>
        </w:rPr>
        <w:t xml:space="preserve">3 </w:t>
      </w:r>
      <w:r w:rsidRPr="00BE6F6D">
        <w:rPr>
          <w:noProof/>
        </w:rPr>
        <w:t>ust.</w:t>
      </w:r>
      <w:r w:rsidR="00BE6F6D" w:rsidRPr="00BE6F6D">
        <w:rPr>
          <w:noProof/>
        </w:rPr>
        <w:t> </w:t>
      </w:r>
      <w:r w:rsidRPr="00BE6F6D">
        <w:rPr>
          <w:noProof/>
        </w:rPr>
        <w:t>1</w:t>
      </w:r>
      <w:r w:rsidRPr="009A4A22">
        <w:rPr>
          <w:noProof/>
        </w:rPr>
        <w:t xml:space="preserve"> przepis ten jest zbędny</w:t>
      </w:r>
      <w:r w:rsidR="00BE6F6D" w:rsidRPr="009A4A22">
        <w:rPr>
          <w:noProof/>
        </w:rPr>
        <w:t xml:space="preserve"> w</w:t>
      </w:r>
      <w:r w:rsidR="00BE6F6D">
        <w:rPr>
          <w:noProof/>
        </w:rPr>
        <w:t> </w:t>
      </w:r>
      <w:r w:rsidR="00BE6F6D" w:rsidRPr="009A4A22">
        <w:rPr>
          <w:noProof/>
        </w:rPr>
        <w:t>prz</w:t>
      </w:r>
      <w:r w:rsidRPr="009A4A22">
        <w:rPr>
          <w:noProof/>
        </w:rPr>
        <w:t>ypadku przedsiębiorców, którzy deklarują, że będą stosować ADR, natomiast zobowiązuje przedsiębiorców, którzy nie chcą stosować ADR, do informowania konsumentów</w:t>
      </w:r>
      <w:r w:rsidR="00BE6F6D" w:rsidRPr="009A4A22">
        <w:rPr>
          <w:noProof/>
        </w:rPr>
        <w:t xml:space="preserve"> o</w:t>
      </w:r>
      <w:r w:rsidR="00BE6F6D">
        <w:rPr>
          <w:noProof/>
        </w:rPr>
        <w:t> </w:t>
      </w:r>
      <w:r w:rsidR="00BE6F6D" w:rsidRPr="009A4A22">
        <w:rPr>
          <w:noProof/>
        </w:rPr>
        <w:t>tym</w:t>
      </w:r>
      <w:r w:rsidRPr="009A4A22">
        <w:rPr>
          <w:noProof/>
        </w:rPr>
        <w:t xml:space="preserve"> fakcie</w:t>
      </w:r>
      <w:r w:rsidR="00BE6F6D" w:rsidRPr="009A4A22">
        <w:rPr>
          <w:noProof/>
        </w:rPr>
        <w:t>. W</w:t>
      </w:r>
      <w:r w:rsidR="00BE6F6D">
        <w:rPr>
          <w:noProof/>
        </w:rPr>
        <w:t> </w:t>
      </w:r>
      <w:r w:rsidR="00BE6F6D" w:rsidRPr="009A4A22">
        <w:rPr>
          <w:noProof/>
        </w:rPr>
        <w:t>rez</w:t>
      </w:r>
      <w:r w:rsidRPr="009A4A22">
        <w:rPr>
          <w:noProof/>
        </w:rPr>
        <w:t>ultacie informacje takie zniechęcają konsumentów do korzystania</w:t>
      </w:r>
      <w:r w:rsidR="00BE6F6D" w:rsidRPr="009A4A22">
        <w:rPr>
          <w:noProof/>
        </w:rPr>
        <w:t xml:space="preserve"> z</w:t>
      </w:r>
      <w:r w:rsidR="00BE6F6D">
        <w:rPr>
          <w:noProof/>
        </w:rPr>
        <w:t> </w:t>
      </w:r>
      <w:r w:rsidR="00BE6F6D" w:rsidRPr="009A4A22">
        <w:rPr>
          <w:noProof/>
        </w:rPr>
        <w:t>pos</w:t>
      </w:r>
      <w:r w:rsidRPr="009A4A22">
        <w:rPr>
          <w:noProof/>
        </w:rPr>
        <w:t>tępowania ADR. Przynosi to efekty odwrotne do zamierzonych</w:t>
      </w:r>
      <w:r w:rsidR="00BE6F6D" w:rsidRPr="009A4A22">
        <w:rPr>
          <w:noProof/>
        </w:rPr>
        <w:t xml:space="preserve"> i</w:t>
      </w:r>
      <w:r w:rsidR="00BE6F6D">
        <w:rPr>
          <w:noProof/>
        </w:rPr>
        <w:t> </w:t>
      </w:r>
      <w:r w:rsidR="00BE6F6D" w:rsidRPr="009A4A22">
        <w:rPr>
          <w:noProof/>
        </w:rPr>
        <w:t>sta</w:t>
      </w:r>
      <w:r w:rsidRPr="009A4A22">
        <w:rPr>
          <w:noProof/>
        </w:rPr>
        <w:t xml:space="preserve">nowi nieuzasadnione obciążenie dla przedsiębiorców. </w:t>
      </w:r>
    </w:p>
    <w:p w14:paraId="44D1F764" w14:textId="77777777"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Artykuł 14 – Pomoc konsumentom</w:t>
      </w:r>
    </w:p>
    <w:p w14:paraId="460CA27A" w14:textId="5559A77A"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Z uwagi na niski poziom wykorzystania ADR</w:t>
      </w:r>
      <w:r w:rsidR="00BE6F6D" w:rsidRPr="009A4A22">
        <w:rPr>
          <w:noProof/>
        </w:rPr>
        <w:t xml:space="preserve"> w</w:t>
      </w:r>
      <w:r w:rsidR="00BE6F6D">
        <w:rPr>
          <w:noProof/>
        </w:rPr>
        <w:t> </w:t>
      </w:r>
      <w:r w:rsidR="00BE6F6D" w:rsidRPr="009A4A22">
        <w:rPr>
          <w:noProof/>
        </w:rPr>
        <w:t>spr</w:t>
      </w:r>
      <w:r w:rsidRPr="009A4A22">
        <w:rPr>
          <w:noProof/>
        </w:rPr>
        <w:t>awach transgranicznych Komisja proponuje zwiększenie pomocy dla konsumentów przez utworzenie punktów kontaktowych ADR, najlepiej</w:t>
      </w:r>
      <w:r w:rsidR="00BE6F6D" w:rsidRPr="009A4A22">
        <w:rPr>
          <w:noProof/>
        </w:rPr>
        <w:t xml:space="preserve"> w</w:t>
      </w:r>
      <w:r w:rsidR="00BE6F6D">
        <w:rPr>
          <w:noProof/>
        </w:rPr>
        <w:t> </w:t>
      </w:r>
      <w:r w:rsidR="00BE6F6D" w:rsidRPr="009A4A22">
        <w:rPr>
          <w:noProof/>
        </w:rPr>
        <w:t>ram</w:t>
      </w:r>
      <w:r w:rsidRPr="009A4A22">
        <w:rPr>
          <w:noProof/>
        </w:rPr>
        <w:t>ach Europejskich Centrów Konsumenckich, które już teraz odgrywają ważną rolę we wspieraniu konsumentów przy dokonywaniu zakupów transgranicznych. Punkty kontaktowe ADR będą propagować korzystanie</w:t>
      </w:r>
      <w:r w:rsidR="00BE6F6D" w:rsidRPr="009A4A22">
        <w:rPr>
          <w:noProof/>
        </w:rPr>
        <w:t xml:space="preserve"> z</w:t>
      </w:r>
      <w:r w:rsidR="00BE6F6D">
        <w:rPr>
          <w:noProof/>
        </w:rPr>
        <w:t> </w:t>
      </w:r>
      <w:r w:rsidR="00BE6F6D" w:rsidRPr="009A4A22">
        <w:rPr>
          <w:noProof/>
        </w:rPr>
        <w:t>pos</w:t>
      </w:r>
      <w:r w:rsidRPr="009A4A22">
        <w:rPr>
          <w:noProof/>
        </w:rPr>
        <w:t>tępowań ADR, pomagać konsumentom</w:t>
      </w:r>
      <w:r w:rsidR="00BE6F6D" w:rsidRPr="009A4A22">
        <w:rPr>
          <w:noProof/>
        </w:rPr>
        <w:t xml:space="preserve"> i</w:t>
      </w:r>
      <w:r w:rsidR="00BE6F6D">
        <w:rPr>
          <w:noProof/>
        </w:rPr>
        <w:t> </w:t>
      </w:r>
      <w:r w:rsidR="00BE6F6D" w:rsidRPr="009A4A22">
        <w:rPr>
          <w:noProof/>
        </w:rPr>
        <w:t>prz</w:t>
      </w:r>
      <w:r w:rsidRPr="009A4A22">
        <w:rPr>
          <w:noProof/>
        </w:rPr>
        <w:t>edsiębiorcom</w:t>
      </w:r>
      <w:r w:rsidR="00BE6F6D" w:rsidRPr="009A4A22">
        <w:rPr>
          <w:noProof/>
        </w:rPr>
        <w:t xml:space="preserve"> w</w:t>
      </w:r>
      <w:r w:rsidR="00BE6F6D">
        <w:rPr>
          <w:noProof/>
        </w:rPr>
        <w:t> </w:t>
      </w:r>
      <w:r w:rsidR="00BE6F6D" w:rsidRPr="009A4A22">
        <w:rPr>
          <w:noProof/>
        </w:rPr>
        <w:t>pos</w:t>
      </w:r>
      <w:r w:rsidRPr="009A4A22">
        <w:rPr>
          <w:noProof/>
        </w:rPr>
        <w:t>tępowaniach ADR, np. przez udostępnianie tłumaczenia maszynowego, kierowanie konsumentów do właściwego podmiotu ADR, wyjaśnianie różnych procedur, pomoc</w:t>
      </w:r>
      <w:r w:rsidR="00BE6F6D" w:rsidRPr="009A4A22">
        <w:rPr>
          <w:noProof/>
        </w:rPr>
        <w:t xml:space="preserve"> w</w:t>
      </w:r>
      <w:r w:rsidR="00BE6F6D">
        <w:rPr>
          <w:noProof/>
        </w:rPr>
        <w:t> </w:t>
      </w:r>
      <w:r w:rsidR="00BE6F6D" w:rsidRPr="009A4A22">
        <w:rPr>
          <w:noProof/>
        </w:rPr>
        <w:t>skł</w:t>
      </w:r>
      <w:r w:rsidRPr="009A4A22">
        <w:rPr>
          <w:noProof/>
        </w:rPr>
        <w:t>adaniu skarg itp. Punkty te mogą również pomagać</w:t>
      </w:r>
      <w:r w:rsidR="00BE6F6D" w:rsidRPr="009A4A22">
        <w:rPr>
          <w:noProof/>
        </w:rPr>
        <w:t xml:space="preserve"> w</w:t>
      </w:r>
      <w:r w:rsidR="00BE6F6D">
        <w:rPr>
          <w:noProof/>
        </w:rPr>
        <w:t> </w:t>
      </w:r>
      <w:r w:rsidR="00BE6F6D" w:rsidRPr="009A4A22">
        <w:rPr>
          <w:noProof/>
        </w:rPr>
        <w:t>spr</w:t>
      </w:r>
      <w:r w:rsidRPr="009A4A22">
        <w:rPr>
          <w:noProof/>
        </w:rPr>
        <w:t>awach krajowych, jeżeli państwa członkowskie tak zdecydują.</w:t>
      </w:r>
    </w:p>
    <w:p w14:paraId="6DC1F26B" w14:textId="77777777"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Artykuł 19 – Informacje, które mają być przekazywane właściwym organom przez podmioty zajmujące się rozstrzyganiem sporów</w:t>
      </w:r>
    </w:p>
    <w:p w14:paraId="447DD361" w14:textId="3081DC30"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 xml:space="preserve">Komisja proponuje uchylenie </w:t>
      </w:r>
      <w:r w:rsidRPr="00BE6F6D">
        <w:rPr>
          <w:noProof/>
        </w:rPr>
        <w:t>art.</w:t>
      </w:r>
      <w:r w:rsidR="00BE6F6D" w:rsidRPr="00BE6F6D">
        <w:rPr>
          <w:noProof/>
        </w:rPr>
        <w:t> </w:t>
      </w:r>
      <w:r w:rsidRPr="00BE6F6D">
        <w:rPr>
          <w:noProof/>
        </w:rPr>
        <w:t>1</w:t>
      </w:r>
      <w:r w:rsidRPr="009A4A22">
        <w:rPr>
          <w:noProof/>
        </w:rPr>
        <w:t xml:space="preserve">9 </w:t>
      </w:r>
      <w:r w:rsidRPr="00BE6F6D">
        <w:rPr>
          <w:noProof/>
        </w:rPr>
        <w:t>ust.</w:t>
      </w:r>
      <w:r w:rsidR="00BE6F6D" w:rsidRPr="00BE6F6D">
        <w:rPr>
          <w:noProof/>
        </w:rPr>
        <w:t> </w:t>
      </w:r>
      <w:r w:rsidRPr="00BE6F6D">
        <w:rPr>
          <w:noProof/>
        </w:rPr>
        <w:t>3</w:t>
      </w:r>
      <w:r w:rsidRPr="009A4A22">
        <w:rPr>
          <w:noProof/>
        </w:rPr>
        <w:t xml:space="preserve"> </w:t>
      </w:r>
      <w:r w:rsidRPr="00BE6F6D">
        <w:rPr>
          <w:noProof/>
        </w:rPr>
        <w:t>lit.</w:t>
      </w:r>
      <w:r w:rsidR="00BE6F6D" w:rsidRPr="00BE6F6D">
        <w:rPr>
          <w:noProof/>
        </w:rPr>
        <w:t> </w:t>
      </w:r>
      <w:r w:rsidRPr="00BE6F6D">
        <w:rPr>
          <w:noProof/>
        </w:rPr>
        <w:t>f)</w:t>
      </w:r>
      <w:r w:rsidRPr="009A4A22">
        <w:rPr>
          <w:noProof/>
        </w:rPr>
        <w:t>–h),</w:t>
      </w:r>
      <w:r w:rsidR="00BE6F6D" w:rsidRPr="009A4A22">
        <w:rPr>
          <w:noProof/>
        </w:rPr>
        <w:t xml:space="preserve"> w</w:t>
      </w:r>
      <w:r w:rsidR="00BE6F6D">
        <w:rPr>
          <w:noProof/>
        </w:rPr>
        <w:t> </w:t>
      </w:r>
      <w:r w:rsidR="00BE6F6D" w:rsidRPr="009A4A22">
        <w:rPr>
          <w:noProof/>
        </w:rPr>
        <w:t>któ</w:t>
      </w:r>
      <w:r w:rsidRPr="009A4A22">
        <w:rPr>
          <w:noProof/>
        </w:rPr>
        <w:t>rych zobowiązano podmioty ADR do informowania organów właściwych</w:t>
      </w:r>
      <w:r w:rsidR="00BE6F6D" w:rsidRPr="009A4A22">
        <w:rPr>
          <w:noProof/>
        </w:rPr>
        <w:t xml:space="preserve"> w</w:t>
      </w:r>
      <w:r w:rsidR="00BE6F6D">
        <w:rPr>
          <w:noProof/>
        </w:rPr>
        <w:t> </w:t>
      </w:r>
      <w:r w:rsidR="00BE6F6D" w:rsidRPr="009A4A22">
        <w:rPr>
          <w:noProof/>
        </w:rPr>
        <w:t>zak</w:t>
      </w:r>
      <w:r w:rsidRPr="009A4A22">
        <w:rPr>
          <w:noProof/>
        </w:rPr>
        <w:t>resie ADR o: a) ocenie skuteczności współpracy</w:t>
      </w:r>
      <w:r w:rsidR="00BE6F6D" w:rsidRPr="009A4A22">
        <w:rPr>
          <w:noProof/>
        </w:rPr>
        <w:t xml:space="preserve"> w</w:t>
      </w:r>
      <w:r w:rsidR="00BE6F6D">
        <w:rPr>
          <w:noProof/>
        </w:rPr>
        <w:t> </w:t>
      </w:r>
      <w:r w:rsidR="00BE6F6D" w:rsidRPr="009A4A22">
        <w:rPr>
          <w:noProof/>
        </w:rPr>
        <w:t>ram</w:t>
      </w:r>
      <w:r w:rsidRPr="009A4A22">
        <w:rPr>
          <w:noProof/>
        </w:rPr>
        <w:t>ach sieci ADR, b) szkoleniach odbytych przez pracowników oraz c) możliwych sposobach poprawy osiąganych wyników. Ma to na celu zmniejszenie obciążenia administracyjnego podmiotów ADR</w:t>
      </w:r>
      <w:r w:rsidR="00BE6F6D" w:rsidRPr="009A4A22">
        <w:rPr>
          <w:noProof/>
        </w:rPr>
        <w:t xml:space="preserve"> i</w:t>
      </w:r>
      <w:r w:rsidR="00BE6F6D">
        <w:rPr>
          <w:noProof/>
        </w:rPr>
        <w:t> </w:t>
      </w:r>
      <w:r w:rsidR="00BE6F6D" w:rsidRPr="009A4A22">
        <w:rPr>
          <w:noProof/>
        </w:rPr>
        <w:t>wyk</w:t>
      </w:r>
      <w:r w:rsidRPr="009A4A22">
        <w:rPr>
          <w:noProof/>
        </w:rPr>
        <w:t>orzystanie zaoszczędzonych zasobów do rozwiązywania większej liczby sporów lub inwestowania</w:t>
      </w:r>
      <w:r w:rsidR="00BE6F6D" w:rsidRPr="009A4A22">
        <w:rPr>
          <w:noProof/>
        </w:rPr>
        <w:t xml:space="preserve"> w</w:t>
      </w:r>
      <w:r w:rsidR="00BE6F6D">
        <w:rPr>
          <w:noProof/>
        </w:rPr>
        <w:t> </w:t>
      </w:r>
      <w:r w:rsidR="00BE6F6D" w:rsidRPr="009A4A22">
        <w:rPr>
          <w:noProof/>
        </w:rPr>
        <w:t>pop</w:t>
      </w:r>
      <w:r w:rsidRPr="009A4A22">
        <w:rPr>
          <w:noProof/>
        </w:rPr>
        <w:t>rawę wydajności.</w:t>
      </w:r>
    </w:p>
    <w:p w14:paraId="2A230848" w14:textId="77777777"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Artykuł 20 – Rola właściwych organów oraz Komisji</w:t>
      </w:r>
    </w:p>
    <w:p w14:paraId="1D01760B" w14:textId="7873B5D9" w:rsidR="00D36A0B" w:rsidRPr="009A4A22" w:rsidRDefault="00843B54" w:rsidP="00D36A0B">
      <w:pPr>
        <w:pBdr>
          <w:top w:val="nil"/>
          <w:left w:val="nil"/>
          <w:bottom w:val="nil"/>
          <w:right w:val="nil"/>
          <w:between w:val="nil"/>
          <w:bar w:val="nil"/>
        </w:pBdr>
        <w:spacing w:before="0" w:after="240"/>
        <w:rPr>
          <w:noProof/>
          <w:szCs w:val="24"/>
        </w:rPr>
      </w:pPr>
      <w:r w:rsidRPr="009A4A22">
        <w:rPr>
          <w:noProof/>
        </w:rPr>
        <w:t xml:space="preserve">Oprócz </w:t>
      </w:r>
      <w:r w:rsidRPr="00BE6F6D">
        <w:rPr>
          <w:noProof/>
        </w:rPr>
        <w:t>art.</w:t>
      </w:r>
      <w:r w:rsidR="00BE6F6D" w:rsidRPr="00BE6F6D">
        <w:rPr>
          <w:noProof/>
        </w:rPr>
        <w:t> </w:t>
      </w:r>
      <w:r w:rsidRPr="00BE6F6D">
        <w:rPr>
          <w:noProof/>
        </w:rPr>
        <w:t>2</w:t>
      </w:r>
      <w:r w:rsidRPr="009A4A22">
        <w:rPr>
          <w:noProof/>
        </w:rPr>
        <w:t xml:space="preserve">0 </w:t>
      </w:r>
      <w:r w:rsidRPr="00BE6F6D">
        <w:rPr>
          <w:noProof/>
        </w:rPr>
        <w:t>ust.</w:t>
      </w:r>
      <w:r w:rsidR="00BE6F6D" w:rsidRPr="00BE6F6D">
        <w:rPr>
          <w:noProof/>
        </w:rPr>
        <w:t> </w:t>
      </w:r>
      <w:r w:rsidRPr="00BE6F6D">
        <w:rPr>
          <w:noProof/>
        </w:rPr>
        <w:t>4</w:t>
      </w:r>
      <w:r w:rsidRPr="009A4A22">
        <w:rPr>
          <w:noProof/>
        </w:rPr>
        <w:t xml:space="preserve">, który nakłada na Komisję obowiązek opublikowania wykazu akredytowanych podmiotów ADR (wykaz ten publikuje się obecnie na stronie platformy ODR), proponuje się nowy </w:t>
      </w:r>
      <w:r w:rsidRPr="00BE6F6D">
        <w:rPr>
          <w:noProof/>
        </w:rPr>
        <w:t>art.</w:t>
      </w:r>
      <w:r w:rsidR="00BE6F6D" w:rsidRPr="00BE6F6D">
        <w:rPr>
          <w:noProof/>
        </w:rPr>
        <w:t> </w:t>
      </w:r>
      <w:r w:rsidRPr="00BE6F6D">
        <w:rPr>
          <w:noProof/>
        </w:rPr>
        <w:t>2</w:t>
      </w:r>
      <w:r w:rsidRPr="009A4A22">
        <w:rPr>
          <w:noProof/>
        </w:rPr>
        <w:t xml:space="preserve">0 </w:t>
      </w:r>
      <w:r w:rsidRPr="00BE6F6D">
        <w:rPr>
          <w:noProof/>
        </w:rPr>
        <w:t>ust.</w:t>
      </w:r>
      <w:r w:rsidR="00BE6F6D" w:rsidRPr="00BE6F6D">
        <w:rPr>
          <w:noProof/>
        </w:rPr>
        <w:t> </w:t>
      </w:r>
      <w:r w:rsidRPr="00BE6F6D">
        <w:rPr>
          <w:noProof/>
        </w:rPr>
        <w:t>8</w:t>
      </w:r>
      <w:r w:rsidRPr="009A4A22">
        <w:rPr>
          <w:noProof/>
        </w:rPr>
        <w:t>, który stanowi, że Komisja ma opracować</w:t>
      </w:r>
      <w:r w:rsidR="00BE6F6D" w:rsidRPr="009A4A22">
        <w:rPr>
          <w:noProof/>
        </w:rPr>
        <w:t xml:space="preserve"> i</w:t>
      </w:r>
      <w:r w:rsidR="00BE6F6D">
        <w:rPr>
          <w:noProof/>
        </w:rPr>
        <w:t> </w:t>
      </w:r>
      <w:r w:rsidR="00BE6F6D" w:rsidRPr="009A4A22">
        <w:rPr>
          <w:noProof/>
        </w:rPr>
        <w:t>utr</w:t>
      </w:r>
      <w:r w:rsidRPr="009A4A22">
        <w:rPr>
          <w:noProof/>
        </w:rPr>
        <w:t>zymywać przyjazne dla użytkownika narzędzia, które lepiej pomogą konsumentom</w:t>
      </w:r>
      <w:r w:rsidR="00BE6F6D" w:rsidRPr="009A4A22">
        <w:rPr>
          <w:noProof/>
        </w:rPr>
        <w:t xml:space="preserve"> w</w:t>
      </w:r>
      <w:r w:rsidR="00BE6F6D">
        <w:rPr>
          <w:noProof/>
        </w:rPr>
        <w:t> </w:t>
      </w:r>
      <w:r w:rsidR="00BE6F6D" w:rsidRPr="009A4A22">
        <w:rPr>
          <w:noProof/>
        </w:rPr>
        <w:t>zna</w:t>
      </w:r>
      <w:r w:rsidRPr="009A4A22">
        <w:rPr>
          <w:noProof/>
        </w:rPr>
        <w:t>jdowaniu informacji. Innymi słowy, osoby poszukujące informacji na temat sposobu rozwiązania sporu konsumenckiego będą mogły skorzystać</w:t>
      </w:r>
      <w:r w:rsidR="00BE6F6D" w:rsidRPr="009A4A22">
        <w:rPr>
          <w:noProof/>
        </w:rPr>
        <w:t xml:space="preserve"> z</w:t>
      </w:r>
      <w:r w:rsidR="00BE6F6D">
        <w:rPr>
          <w:noProof/>
        </w:rPr>
        <w:t> </w:t>
      </w:r>
      <w:r w:rsidR="00BE6F6D" w:rsidRPr="009A4A22">
        <w:rPr>
          <w:noProof/>
        </w:rPr>
        <w:t>tyc</w:t>
      </w:r>
      <w:r w:rsidRPr="009A4A22">
        <w:rPr>
          <w:noProof/>
        </w:rPr>
        <w:t>h narzędzi, aby szybko dowiedzieć się,</w:t>
      </w:r>
      <w:r w:rsidR="00BE6F6D" w:rsidRPr="009A4A22">
        <w:rPr>
          <w:noProof/>
        </w:rPr>
        <w:t xml:space="preserve"> z</w:t>
      </w:r>
      <w:r w:rsidR="00BE6F6D">
        <w:rPr>
          <w:noProof/>
        </w:rPr>
        <w:t> </w:t>
      </w:r>
      <w:r w:rsidR="00BE6F6D" w:rsidRPr="009A4A22">
        <w:rPr>
          <w:noProof/>
        </w:rPr>
        <w:t>któ</w:t>
      </w:r>
      <w:r w:rsidRPr="009A4A22">
        <w:rPr>
          <w:noProof/>
        </w:rPr>
        <w:t>rym podmiotem ADR najlepiej się skontaktować</w:t>
      </w:r>
      <w:r w:rsidR="00BE6F6D" w:rsidRPr="009A4A22">
        <w:rPr>
          <w:noProof/>
        </w:rPr>
        <w:t xml:space="preserve"> w</w:t>
      </w:r>
      <w:r w:rsidR="00BE6F6D">
        <w:rPr>
          <w:noProof/>
        </w:rPr>
        <w:t> </w:t>
      </w:r>
      <w:r w:rsidR="00BE6F6D" w:rsidRPr="009A4A22">
        <w:rPr>
          <w:noProof/>
        </w:rPr>
        <w:t>dan</w:t>
      </w:r>
      <w:r w:rsidRPr="009A4A22">
        <w:rPr>
          <w:noProof/>
        </w:rPr>
        <w:t>ej sprawie</w:t>
      </w:r>
      <w:r w:rsidR="00BE6F6D" w:rsidRPr="009A4A22">
        <w:rPr>
          <w:noProof/>
        </w:rPr>
        <w:t>. W</w:t>
      </w:r>
      <w:r w:rsidR="00BE6F6D">
        <w:rPr>
          <w:noProof/>
        </w:rPr>
        <w:t> </w:t>
      </w:r>
      <w:r w:rsidR="00BE6F6D" w:rsidRPr="009A4A22">
        <w:rPr>
          <w:noProof/>
        </w:rPr>
        <w:t>now</w:t>
      </w:r>
      <w:r w:rsidRPr="009A4A22">
        <w:rPr>
          <w:noProof/>
        </w:rPr>
        <w:t>ych narzędziach znajdą się obecny wielojęzyczny wykaz podmiotów ADR oraz interaktywne rozwiązania pomagające konsumentom</w:t>
      </w:r>
      <w:r w:rsidR="00BE6F6D" w:rsidRPr="009A4A22">
        <w:rPr>
          <w:noProof/>
        </w:rPr>
        <w:t xml:space="preserve"> w</w:t>
      </w:r>
      <w:r w:rsidR="00BE6F6D">
        <w:rPr>
          <w:noProof/>
        </w:rPr>
        <w:t> </w:t>
      </w:r>
      <w:r w:rsidR="00BE6F6D" w:rsidRPr="009A4A22">
        <w:rPr>
          <w:noProof/>
        </w:rPr>
        <w:t>wys</w:t>
      </w:r>
      <w:r w:rsidRPr="009A4A22">
        <w:rPr>
          <w:noProof/>
        </w:rPr>
        <w:t>zukaniu podmiotów ADR najlepiej odpowiadających konkretnym sporom, które konsumenci ci zamierzają wszcząć. Narzędzia te powinny również pomagać</w:t>
      </w:r>
      <w:r w:rsidR="00BE6F6D" w:rsidRPr="009A4A22">
        <w:rPr>
          <w:noProof/>
        </w:rPr>
        <w:t xml:space="preserve"> w</w:t>
      </w:r>
      <w:r w:rsidR="00BE6F6D">
        <w:rPr>
          <w:noProof/>
        </w:rPr>
        <w:t> </w:t>
      </w:r>
      <w:r w:rsidR="00BE6F6D" w:rsidRPr="009A4A22">
        <w:rPr>
          <w:noProof/>
        </w:rPr>
        <w:t>zna</w:t>
      </w:r>
      <w:r w:rsidRPr="009A4A22">
        <w:rPr>
          <w:noProof/>
        </w:rPr>
        <w:t>lezieniu informacji</w:t>
      </w:r>
      <w:r w:rsidR="00BE6F6D" w:rsidRPr="009A4A22">
        <w:rPr>
          <w:noProof/>
        </w:rPr>
        <w:t xml:space="preserve"> o</w:t>
      </w:r>
      <w:r w:rsidR="00BE6F6D">
        <w:rPr>
          <w:noProof/>
        </w:rPr>
        <w:t> </w:t>
      </w:r>
      <w:r w:rsidR="00BE6F6D" w:rsidRPr="009A4A22">
        <w:rPr>
          <w:noProof/>
        </w:rPr>
        <w:t>inn</w:t>
      </w:r>
      <w:r w:rsidRPr="009A4A22">
        <w:rPr>
          <w:noProof/>
        </w:rPr>
        <w:t>ych mechanizmach dochodzenia roszczeń oraz linków do stron internetowych nowo utworzonych punktów kontaktowych ADR.</w:t>
      </w:r>
    </w:p>
    <w:p w14:paraId="5C1A4D33" w14:textId="77777777"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Artykuł 24 – Komunikacja</w:t>
      </w:r>
    </w:p>
    <w:p w14:paraId="7810891F" w14:textId="2DC4D6C9" w:rsidR="00D36A0B" w:rsidRPr="009A4A22" w:rsidRDefault="00D36A0B" w:rsidP="00D36A0B">
      <w:pPr>
        <w:pBdr>
          <w:top w:val="nil"/>
          <w:left w:val="nil"/>
          <w:bottom w:val="nil"/>
          <w:right w:val="nil"/>
          <w:between w:val="nil"/>
          <w:bar w:val="nil"/>
        </w:pBdr>
        <w:spacing w:before="0" w:after="240"/>
        <w:rPr>
          <w:noProof/>
          <w:szCs w:val="24"/>
        </w:rPr>
      </w:pPr>
      <w:r w:rsidRPr="009A4A22">
        <w:rPr>
          <w:noProof/>
        </w:rPr>
        <w:t xml:space="preserve">Art. 24 </w:t>
      </w:r>
      <w:r w:rsidRPr="00BE6F6D">
        <w:rPr>
          <w:noProof/>
        </w:rPr>
        <w:t>ust.</w:t>
      </w:r>
      <w:r w:rsidR="00BE6F6D" w:rsidRPr="00BE6F6D">
        <w:rPr>
          <w:noProof/>
        </w:rPr>
        <w:t> </w:t>
      </w:r>
      <w:r w:rsidRPr="00BE6F6D">
        <w:rPr>
          <w:noProof/>
        </w:rPr>
        <w:t>4</w:t>
      </w:r>
      <w:r w:rsidRPr="009A4A22">
        <w:rPr>
          <w:noProof/>
        </w:rPr>
        <w:t xml:space="preserve"> zobowiązuje państwa członkowskie do podania</w:t>
      </w:r>
      <w:r w:rsidR="00BE6F6D" w:rsidRPr="009A4A22">
        <w:rPr>
          <w:noProof/>
        </w:rPr>
        <w:t xml:space="preserve"> w</w:t>
      </w:r>
      <w:r w:rsidR="00BE6F6D">
        <w:rPr>
          <w:noProof/>
        </w:rPr>
        <w:t> </w:t>
      </w:r>
      <w:r w:rsidR="00BE6F6D" w:rsidRPr="009A4A22">
        <w:rPr>
          <w:noProof/>
        </w:rPr>
        <w:t>okr</w:t>
      </w:r>
      <w:r w:rsidRPr="009A4A22">
        <w:rPr>
          <w:noProof/>
        </w:rPr>
        <w:t>eślonym terminie nazw</w:t>
      </w:r>
      <w:r w:rsidR="00BE6F6D" w:rsidRPr="009A4A22">
        <w:rPr>
          <w:noProof/>
        </w:rPr>
        <w:t xml:space="preserve"> i</w:t>
      </w:r>
      <w:r w:rsidR="00BE6F6D">
        <w:rPr>
          <w:noProof/>
        </w:rPr>
        <w:t> </w:t>
      </w:r>
      <w:r w:rsidR="00BE6F6D" w:rsidRPr="009A4A22">
        <w:rPr>
          <w:noProof/>
        </w:rPr>
        <w:t>dan</w:t>
      </w:r>
      <w:r w:rsidRPr="009A4A22">
        <w:rPr>
          <w:noProof/>
        </w:rPr>
        <w:t xml:space="preserve">ych kontaktowych wyznaczonych punktów kontaktowych ADR. </w:t>
      </w:r>
    </w:p>
    <w:p w14:paraId="2D69642C" w14:textId="77777777" w:rsidR="00B1743F" w:rsidRPr="009A4A22" w:rsidRDefault="00B1743F" w:rsidP="00AC7E92">
      <w:pPr>
        <w:spacing w:before="0" w:after="0"/>
        <w:jc w:val="left"/>
        <w:rPr>
          <w:noProof/>
        </w:rPr>
        <w:sectPr w:rsidR="00B1743F" w:rsidRPr="009A4A22" w:rsidSect="002D4FD2">
          <w:footerReference w:type="default" r:id="rId11"/>
          <w:footerReference w:type="first" r:id="rId12"/>
          <w:pgSz w:w="11907" w:h="16839"/>
          <w:pgMar w:top="1134" w:right="1417" w:bottom="1134" w:left="1417" w:header="709" w:footer="709" w:gutter="0"/>
          <w:cols w:space="708"/>
          <w:docGrid w:linePitch="360"/>
        </w:sectPr>
      </w:pPr>
    </w:p>
    <w:p w14:paraId="343DB6ED" w14:textId="7C5BBD51" w:rsidR="00CA6244" w:rsidRDefault="00CA6244" w:rsidP="00CA6244">
      <w:pPr>
        <w:pStyle w:val="Rfrenceinterinstitutionnelle"/>
        <w:rPr>
          <w:noProof/>
        </w:rPr>
      </w:pPr>
      <w:r w:rsidRPr="00CA6244">
        <w:t>2023/0376 (COD)</w:t>
      </w:r>
    </w:p>
    <w:p w14:paraId="3F34B3D7" w14:textId="35B9CEC2" w:rsidR="006A7624" w:rsidRPr="009A4A22" w:rsidRDefault="00A95F4A" w:rsidP="00A95F4A">
      <w:pPr>
        <w:pStyle w:val="Statut"/>
        <w:rPr>
          <w:noProof/>
        </w:rPr>
      </w:pPr>
      <w:r w:rsidRPr="00A95F4A">
        <w:rPr>
          <w:noProof/>
        </w:rPr>
        <w:t>Wniosek</w:t>
      </w:r>
    </w:p>
    <w:p w14:paraId="63E4205C" w14:textId="4CCB462A" w:rsidR="00310D36" w:rsidRPr="009A4A22" w:rsidRDefault="00A95F4A" w:rsidP="00A95F4A">
      <w:pPr>
        <w:pStyle w:val="Typedudocument"/>
        <w:rPr>
          <w:noProof/>
        </w:rPr>
      </w:pPr>
      <w:r w:rsidRPr="00A95F4A">
        <w:rPr>
          <w:noProof/>
        </w:rPr>
        <w:t>DYREKTYWA PARLAMENTU EUROPEJSKIEGO I RADY</w:t>
      </w:r>
    </w:p>
    <w:p w14:paraId="41BA60C8" w14:textId="62A82249" w:rsidR="00310D36" w:rsidRPr="009A4A22" w:rsidRDefault="00A95F4A" w:rsidP="00A95F4A">
      <w:pPr>
        <w:pStyle w:val="Titreobjet"/>
        <w:rPr>
          <w:noProof/>
        </w:rPr>
      </w:pPr>
      <w:r w:rsidRPr="00A95F4A">
        <w:rPr>
          <w:noProof/>
        </w:rPr>
        <w:t>zmieniająca dyrektywę 2013/11/UE w sprawie alternatywnych metod rozstrzygania sporów konsumenckich oraz dyrektywy (UE) 2015/2302, (UE) 2019/2161 i (UE) 2020/1828</w:t>
      </w:r>
    </w:p>
    <w:p w14:paraId="261FC00F" w14:textId="70BDA4BF" w:rsidR="00310D36" w:rsidRPr="009A4A22" w:rsidRDefault="00A95F4A" w:rsidP="00A95F4A">
      <w:pPr>
        <w:pStyle w:val="IntrtEEE"/>
        <w:rPr>
          <w:noProof/>
        </w:rPr>
      </w:pPr>
      <w:r w:rsidRPr="00A95F4A">
        <w:rPr>
          <w:noProof/>
        </w:rPr>
        <w:t>(Tekst mający znaczenie dla EOG)</w:t>
      </w:r>
    </w:p>
    <w:p w14:paraId="2B17CC67" w14:textId="77777777" w:rsidR="00310D36" w:rsidRPr="009A4A22" w:rsidRDefault="00310D36" w:rsidP="006A7624">
      <w:pPr>
        <w:pStyle w:val="Institutionquiagit"/>
        <w:rPr>
          <w:noProof/>
        </w:rPr>
      </w:pPr>
      <w:r w:rsidRPr="009A4A22">
        <w:rPr>
          <w:noProof/>
        </w:rPr>
        <w:t>PARLAMENT EUROPEJSKI I RADA UNII EUROPEJSKIEJ,</w:t>
      </w:r>
    </w:p>
    <w:p w14:paraId="4B0953CC" w14:textId="0608C6AE" w:rsidR="00310D36" w:rsidRPr="009A4A22" w:rsidRDefault="00310D36" w:rsidP="006A7624">
      <w:pPr>
        <w:rPr>
          <w:noProof/>
        </w:rPr>
      </w:pPr>
      <w:r w:rsidRPr="009A4A22">
        <w:rPr>
          <w:noProof/>
        </w:rPr>
        <w:t>uwzględniając Traktat</w:t>
      </w:r>
      <w:r w:rsidR="00BE6F6D" w:rsidRPr="009A4A22">
        <w:rPr>
          <w:noProof/>
        </w:rPr>
        <w:t xml:space="preserve"> o</w:t>
      </w:r>
      <w:r w:rsidR="00BE6F6D">
        <w:rPr>
          <w:noProof/>
        </w:rPr>
        <w:t> </w:t>
      </w:r>
      <w:r w:rsidR="00BE6F6D" w:rsidRPr="009A4A22">
        <w:rPr>
          <w:noProof/>
        </w:rPr>
        <w:t>fun</w:t>
      </w:r>
      <w:r w:rsidRPr="009A4A22">
        <w:rPr>
          <w:noProof/>
        </w:rPr>
        <w:t>kcjonowaniu Unii Europejskiej,</w:t>
      </w:r>
      <w:r w:rsidR="00BE6F6D" w:rsidRPr="009A4A22">
        <w:rPr>
          <w:noProof/>
        </w:rPr>
        <w:t xml:space="preserve"> w</w:t>
      </w:r>
      <w:r w:rsidR="00BE6F6D">
        <w:rPr>
          <w:noProof/>
        </w:rPr>
        <w:t> </w:t>
      </w:r>
      <w:r w:rsidR="00BE6F6D" w:rsidRPr="009A4A22">
        <w:rPr>
          <w:noProof/>
        </w:rPr>
        <w:t>szc</w:t>
      </w:r>
      <w:r w:rsidRPr="009A4A22">
        <w:rPr>
          <w:noProof/>
        </w:rPr>
        <w:t xml:space="preserve">zególności jego </w:t>
      </w:r>
      <w:r w:rsidRPr="00BE6F6D">
        <w:rPr>
          <w:noProof/>
        </w:rPr>
        <w:t>art.</w:t>
      </w:r>
      <w:r w:rsidR="00BE6F6D" w:rsidRPr="00BE6F6D">
        <w:rPr>
          <w:noProof/>
        </w:rPr>
        <w:t> </w:t>
      </w:r>
      <w:r w:rsidRPr="00BE6F6D">
        <w:rPr>
          <w:noProof/>
        </w:rPr>
        <w:t>1</w:t>
      </w:r>
      <w:r w:rsidRPr="009A4A22">
        <w:rPr>
          <w:noProof/>
        </w:rPr>
        <w:t>14,</w:t>
      </w:r>
    </w:p>
    <w:p w14:paraId="3FE0A4C8" w14:textId="77777777" w:rsidR="00310D36" w:rsidRPr="009A4A22" w:rsidRDefault="00310D36" w:rsidP="006A7624">
      <w:pPr>
        <w:rPr>
          <w:noProof/>
        </w:rPr>
      </w:pPr>
      <w:r w:rsidRPr="009A4A22">
        <w:rPr>
          <w:noProof/>
        </w:rPr>
        <w:t>uwzględniając wniosek Komisji Europejskiej,</w:t>
      </w:r>
    </w:p>
    <w:p w14:paraId="281E672C" w14:textId="77777777" w:rsidR="00310D36" w:rsidRPr="009A4A22" w:rsidRDefault="00310D36" w:rsidP="006A7624">
      <w:pPr>
        <w:rPr>
          <w:noProof/>
        </w:rPr>
      </w:pPr>
      <w:r w:rsidRPr="009A4A22">
        <w:rPr>
          <w:noProof/>
        </w:rPr>
        <w:t>po przekazaniu projektu aktu ustawodawczego parlamentom narodowym,</w:t>
      </w:r>
    </w:p>
    <w:p w14:paraId="3168C6A5" w14:textId="77777777" w:rsidR="00A3198C" w:rsidRPr="009A4A22" w:rsidRDefault="00A3198C" w:rsidP="006A7624">
      <w:pPr>
        <w:rPr>
          <w:noProof/>
        </w:rPr>
      </w:pPr>
      <w:r w:rsidRPr="009A4A22">
        <w:rPr>
          <w:noProof/>
        </w:rPr>
        <w:t>uwzględniając opinię Europejskiego Komitetu Ekonomiczno-Społecznego,</w:t>
      </w:r>
    </w:p>
    <w:p w14:paraId="1B99829B" w14:textId="77777777" w:rsidR="00A3198C" w:rsidRPr="009A4A22" w:rsidRDefault="00A3198C" w:rsidP="006A7624">
      <w:pPr>
        <w:rPr>
          <w:noProof/>
        </w:rPr>
      </w:pPr>
      <w:r w:rsidRPr="009A4A22">
        <w:rPr>
          <w:noProof/>
        </w:rPr>
        <w:t>stanowiąc zgodnie ze zwykłą procedurą ustawodawczą,</w:t>
      </w:r>
    </w:p>
    <w:p w14:paraId="6B3445E7" w14:textId="77777777" w:rsidR="00310D36" w:rsidRPr="009A4A22" w:rsidRDefault="00310D36" w:rsidP="006A7624">
      <w:pPr>
        <w:rPr>
          <w:noProof/>
        </w:rPr>
      </w:pPr>
      <w:r w:rsidRPr="009A4A22">
        <w:rPr>
          <w:noProof/>
        </w:rPr>
        <w:t>a także mając na uwadze, co następuje:</w:t>
      </w:r>
    </w:p>
    <w:p w14:paraId="4F6AA7B4" w14:textId="3F49DDFB" w:rsidR="006A7624" w:rsidRPr="009A4A22" w:rsidRDefault="001755F8" w:rsidP="001755F8">
      <w:pPr>
        <w:pStyle w:val="ManualConsidrant"/>
        <w:rPr>
          <w:noProof/>
        </w:rPr>
      </w:pPr>
      <w:bookmarkStart w:id="3" w:name="_Hlk142040785"/>
      <w:r w:rsidRPr="001755F8">
        <w:t>(1)</w:t>
      </w:r>
      <w:r w:rsidRPr="001755F8">
        <w:tab/>
      </w:r>
      <w:r w:rsidR="00310D36" w:rsidRPr="009A4A22">
        <w:rPr>
          <w:noProof/>
        </w:rPr>
        <w:t>Dyrektywę Parlamentu Europejskiego</w:t>
      </w:r>
      <w:r w:rsidR="00BE6F6D" w:rsidRPr="009A4A22">
        <w:rPr>
          <w:noProof/>
        </w:rPr>
        <w:t xml:space="preserve"> i</w:t>
      </w:r>
      <w:r w:rsidR="00BE6F6D">
        <w:rPr>
          <w:noProof/>
        </w:rPr>
        <w:t> </w:t>
      </w:r>
      <w:r w:rsidR="00BE6F6D" w:rsidRPr="009A4A22">
        <w:rPr>
          <w:noProof/>
        </w:rPr>
        <w:t>Rad</w:t>
      </w:r>
      <w:r w:rsidR="00310D36" w:rsidRPr="009A4A22">
        <w:rPr>
          <w:noProof/>
        </w:rPr>
        <w:t>y 2013/11/UE</w:t>
      </w:r>
      <w:bookmarkEnd w:id="3"/>
      <w:r w:rsidR="00A3198C" w:rsidRPr="009A4A22">
        <w:rPr>
          <w:rStyle w:val="FootnoteReference"/>
          <w:noProof/>
        </w:rPr>
        <w:footnoteReference w:id="29"/>
      </w:r>
      <w:r w:rsidR="00310D36" w:rsidRPr="009A4A22">
        <w:rPr>
          <w:noProof/>
        </w:rPr>
        <w:t xml:space="preserve"> przyjęto</w:t>
      </w:r>
      <w:r w:rsidR="00BE6F6D" w:rsidRPr="009A4A22">
        <w:rPr>
          <w:noProof/>
        </w:rPr>
        <w:t xml:space="preserve"> w</w:t>
      </w:r>
      <w:r w:rsidR="00BE6F6D">
        <w:rPr>
          <w:noProof/>
        </w:rPr>
        <w:t> </w:t>
      </w:r>
      <w:r w:rsidR="00BE6F6D" w:rsidRPr="009A4A22">
        <w:rPr>
          <w:noProof/>
        </w:rPr>
        <w:t>cel</w:t>
      </w:r>
      <w:r w:rsidR="00310D36" w:rsidRPr="009A4A22">
        <w:rPr>
          <w:noProof/>
        </w:rPr>
        <w:t>u zapewnienia konsumentom</w:t>
      </w:r>
      <w:r w:rsidR="00BE6F6D" w:rsidRPr="009A4A22">
        <w:rPr>
          <w:noProof/>
        </w:rPr>
        <w:t xml:space="preserve"> w</w:t>
      </w:r>
      <w:r w:rsidR="00BE6F6D">
        <w:rPr>
          <w:noProof/>
        </w:rPr>
        <w:t> </w:t>
      </w:r>
      <w:r w:rsidR="00BE6F6D" w:rsidRPr="009A4A22">
        <w:rPr>
          <w:noProof/>
        </w:rPr>
        <w:t>Uni</w:t>
      </w:r>
      <w:r w:rsidR="00310D36" w:rsidRPr="009A4A22">
        <w:rPr>
          <w:noProof/>
        </w:rPr>
        <w:t>i dostępu do wysokiej jakości alternatywnych metod rozstrzygania sporów („ADR”) umożliwiających rozstrzyganie sporów dotyczących umów sprzedaży towarów lub umów</w:t>
      </w:r>
      <w:r w:rsidR="00BE6F6D" w:rsidRPr="009A4A22">
        <w:rPr>
          <w:noProof/>
        </w:rPr>
        <w:t xml:space="preserve"> o</w:t>
      </w:r>
      <w:r w:rsidR="00BE6F6D">
        <w:rPr>
          <w:noProof/>
        </w:rPr>
        <w:t> </w:t>
      </w:r>
      <w:r w:rsidR="00BE6F6D" w:rsidRPr="009A4A22">
        <w:rPr>
          <w:noProof/>
        </w:rPr>
        <w:t>świ</w:t>
      </w:r>
      <w:r w:rsidR="00310D36" w:rsidRPr="009A4A22">
        <w:rPr>
          <w:noProof/>
        </w:rPr>
        <w:t>adczenie usług zawartych między przedsiębiorcami mającymi siedzibę</w:t>
      </w:r>
      <w:r w:rsidR="00BE6F6D" w:rsidRPr="009A4A22">
        <w:rPr>
          <w:noProof/>
        </w:rPr>
        <w:t xml:space="preserve"> w</w:t>
      </w:r>
      <w:r w:rsidR="00BE6F6D">
        <w:rPr>
          <w:noProof/>
        </w:rPr>
        <w:t> </w:t>
      </w:r>
      <w:r w:rsidR="00BE6F6D" w:rsidRPr="009A4A22">
        <w:rPr>
          <w:noProof/>
        </w:rPr>
        <w:t>Uni</w:t>
      </w:r>
      <w:r w:rsidR="00310D36" w:rsidRPr="009A4A22">
        <w:rPr>
          <w:noProof/>
        </w:rPr>
        <w:t>i</w:t>
      </w:r>
      <w:r w:rsidR="00BE6F6D" w:rsidRPr="009A4A22">
        <w:rPr>
          <w:noProof/>
        </w:rPr>
        <w:t xml:space="preserve"> a</w:t>
      </w:r>
      <w:r w:rsidR="00BE6F6D">
        <w:rPr>
          <w:noProof/>
        </w:rPr>
        <w:t> </w:t>
      </w:r>
      <w:r w:rsidR="00BE6F6D" w:rsidRPr="009A4A22">
        <w:rPr>
          <w:noProof/>
        </w:rPr>
        <w:t>kon</w:t>
      </w:r>
      <w:r w:rsidR="00310D36" w:rsidRPr="009A4A22">
        <w:rPr>
          <w:noProof/>
        </w:rPr>
        <w:t>sumentami zamieszkałymi</w:t>
      </w:r>
      <w:r w:rsidR="00BE6F6D" w:rsidRPr="009A4A22">
        <w:rPr>
          <w:noProof/>
        </w:rPr>
        <w:t xml:space="preserve"> w</w:t>
      </w:r>
      <w:r w:rsidR="00BE6F6D">
        <w:rPr>
          <w:noProof/>
        </w:rPr>
        <w:t> </w:t>
      </w:r>
      <w:r w:rsidR="00BE6F6D" w:rsidRPr="009A4A22">
        <w:rPr>
          <w:noProof/>
        </w:rPr>
        <w:t>Uni</w:t>
      </w:r>
      <w:r w:rsidR="00310D36" w:rsidRPr="009A4A22">
        <w:rPr>
          <w:noProof/>
        </w:rPr>
        <w:t>i</w:t>
      </w:r>
      <w:r w:rsidR="00BE6F6D" w:rsidRPr="009A4A22">
        <w:rPr>
          <w:noProof/>
        </w:rPr>
        <w:t>. W</w:t>
      </w:r>
      <w:r w:rsidR="00BE6F6D">
        <w:rPr>
          <w:noProof/>
        </w:rPr>
        <w:t> </w:t>
      </w:r>
      <w:r w:rsidR="00BE6F6D" w:rsidRPr="009A4A22">
        <w:rPr>
          <w:noProof/>
        </w:rPr>
        <w:t>dyr</w:t>
      </w:r>
      <w:r w:rsidR="00310D36" w:rsidRPr="009A4A22">
        <w:rPr>
          <w:noProof/>
        </w:rPr>
        <w:t>ektywie tej przewidziano dostępność postępowań ADR dla wszystkich rodzajów krajowych</w:t>
      </w:r>
      <w:r w:rsidR="00BE6F6D" w:rsidRPr="009A4A22">
        <w:rPr>
          <w:noProof/>
        </w:rPr>
        <w:t xml:space="preserve"> i</w:t>
      </w:r>
      <w:r w:rsidR="00BE6F6D">
        <w:rPr>
          <w:noProof/>
        </w:rPr>
        <w:t> </w:t>
      </w:r>
      <w:r w:rsidR="00BE6F6D" w:rsidRPr="009A4A22">
        <w:rPr>
          <w:noProof/>
        </w:rPr>
        <w:t>tra</w:t>
      </w:r>
      <w:r w:rsidR="00310D36" w:rsidRPr="009A4A22">
        <w:rPr>
          <w:noProof/>
        </w:rPr>
        <w:t>nsgranicznych sporów konsumenckich</w:t>
      </w:r>
      <w:r w:rsidR="00BE6F6D" w:rsidRPr="009A4A22">
        <w:rPr>
          <w:noProof/>
        </w:rPr>
        <w:t xml:space="preserve"> w</w:t>
      </w:r>
      <w:r w:rsidR="00BE6F6D">
        <w:rPr>
          <w:noProof/>
        </w:rPr>
        <w:t> </w:t>
      </w:r>
      <w:r w:rsidR="00BE6F6D" w:rsidRPr="009A4A22">
        <w:rPr>
          <w:noProof/>
        </w:rPr>
        <w:t>Uni</w:t>
      </w:r>
      <w:r w:rsidR="00310D36" w:rsidRPr="009A4A22">
        <w:rPr>
          <w:noProof/>
        </w:rPr>
        <w:t>i, przy zapewnieniu minimalnych norm jakości postępowań ADR. Dyrektywa zobowiązuje państwa członkowskie do monitorowania działalności podmiotów ADR. Aby zwiększyć świadomość konsumentów</w:t>
      </w:r>
      <w:r w:rsidR="00BE6F6D" w:rsidRPr="009A4A22">
        <w:rPr>
          <w:noProof/>
        </w:rPr>
        <w:t xml:space="preserve"> i</w:t>
      </w:r>
      <w:r w:rsidR="00BE6F6D">
        <w:rPr>
          <w:noProof/>
        </w:rPr>
        <w:t> </w:t>
      </w:r>
      <w:r w:rsidR="00BE6F6D" w:rsidRPr="009A4A22">
        <w:rPr>
          <w:noProof/>
        </w:rPr>
        <w:t>pro</w:t>
      </w:r>
      <w:r w:rsidR="00310D36" w:rsidRPr="009A4A22">
        <w:rPr>
          <w:noProof/>
        </w:rPr>
        <w:t>mować stosowanie ADR,</w:t>
      </w:r>
      <w:r w:rsidR="00BE6F6D" w:rsidRPr="009A4A22">
        <w:rPr>
          <w:noProof/>
        </w:rPr>
        <w:t xml:space="preserve"> w</w:t>
      </w:r>
      <w:r w:rsidR="00BE6F6D">
        <w:rPr>
          <w:noProof/>
        </w:rPr>
        <w:t> </w:t>
      </w:r>
      <w:r w:rsidR="00BE6F6D" w:rsidRPr="009A4A22">
        <w:rPr>
          <w:noProof/>
        </w:rPr>
        <w:t>dyr</w:t>
      </w:r>
      <w:r w:rsidR="00310D36" w:rsidRPr="009A4A22">
        <w:rPr>
          <w:noProof/>
        </w:rPr>
        <w:t>ektywie przewidziano również, że przedsiębiorcy powinni być zobowiązani do informowania konsumentów</w:t>
      </w:r>
      <w:r w:rsidR="00BE6F6D" w:rsidRPr="009A4A22">
        <w:rPr>
          <w:noProof/>
        </w:rPr>
        <w:t xml:space="preserve"> o</w:t>
      </w:r>
      <w:r w:rsidR="00BE6F6D">
        <w:rPr>
          <w:noProof/>
        </w:rPr>
        <w:t> </w:t>
      </w:r>
      <w:r w:rsidR="00BE6F6D" w:rsidRPr="009A4A22">
        <w:rPr>
          <w:noProof/>
        </w:rPr>
        <w:t>moż</w:t>
      </w:r>
      <w:r w:rsidR="00310D36" w:rsidRPr="009A4A22">
        <w:rPr>
          <w:noProof/>
        </w:rPr>
        <w:t>liwości pozasądowego rozstrzygania sporów</w:t>
      </w:r>
      <w:r w:rsidR="00BE6F6D" w:rsidRPr="009A4A22">
        <w:rPr>
          <w:noProof/>
        </w:rPr>
        <w:t xml:space="preserve"> w</w:t>
      </w:r>
      <w:r w:rsidR="00BE6F6D">
        <w:rPr>
          <w:noProof/>
        </w:rPr>
        <w:t> </w:t>
      </w:r>
      <w:r w:rsidR="00BE6F6D" w:rsidRPr="009A4A22">
        <w:rPr>
          <w:noProof/>
        </w:rPr>
        <w:t>dro</w:t>
      </w:r>
      <w:r w:rsidR="00310D36" w:rsidRPr="009A4A22">
        <w:rPr>
          <w:noProof/>
        </w:rPr>
        <w:t>dze postępowań ADR.</w:t>
      </w:r>
    </w:p>
    <w:p w14:paraId="49B076BD" w14:textId="2644FA7A" w:rsidR="006A7624" w:rsidRPr="009A4A22" w:rsidRDefault="001755F8" w:rsidP="001755F8">
      <w:pPr>
        <w:pStyle w:val="ManualConsidrant"/>
        <w:rPr>
          <w:noProof/>
        </w:rPr>
      </w:pPr>
      <w:r w:rsidRPr="001755F8">
        <w:t>(2)</w:t>
      </w:r>
      <w:r w:rsidRPr="001755F8">
        <w:tab/>
      </w:r>
      <w:r w:rsidR="00310D36" w:rsidRPr="009A4A22">
        <w:rPr>
          <w:noProof/>
        </w:rPr>
        <w:t>W 20</w:t>
      </w:r>
      <w:r w:rsidR="00310D36" w:rsidRPr="00BE6F6D">
        <w:rPr>
          <w:noProof/>
        </w:rPr>
        <w:t>19</w:t>
      </w:r>
      <w:r w:rsidR="00BE6F6D" w:rsidRPr="00BE6F6D">
        <w:rPr>
          <w:noProof/>
        </w:rPr>
        <w:t> </w:t>
      </w:r>
      <w:r w:rsidR="00310D36" w:rsidRPr="00BE6F6D">
        <w:rPr>
          <w:noProof/>
        </w:rPr>
        <w:t>r.</w:t>
      </w:r>
      <w:r w:rsidR="00310D36" w:rsidRPr="009A4A22">
        <w:rPr>
          <w:noProof/>
        </w:rPr>
        <w:t xml:space="preserve"> Komisja przyjęła sprawozdanie</w:t>
      </w:r>
      <w:r w:rsidR="00BE6F6D" w:rsidRPr="009A4A22">
        <w:rPr>
          <w:noProof/>
        </w:rPr>
        <w:t xml:space="preserve"> z</w:t>
      </w:r>
      <w:r w:rsidR="00BE6F6D">
        <w:rPr>
          <w:noProof/>
        </w:rPr>
        <w:t> </w:t>
      </w:r>
      <w:r w:rsidR="00BE6F6D" w:rsidRPr="009A4A22">
        <w:rPr>
          <w:noProof/>
        </w:rPr>
        <w:t>wdr</w:t>
      </w:r>
      <w:r w:rsidR="00310D36" w:rsidRPr="009A4A22">
        <w:rPr>
          <w:noProof/>
        </w:rPr>
        <w:t>ożenia dyrektywy 2013/11/UE</w:t>
      </w:r>
      <w:r w:rsidR="00BE6F6D" w:rsidRPr="009A4A22">
        <w:rPr>
          <w:noProof/>
        </w:rPr>
        <w:t xml:space="preserve"> i</w:t>
      </w:r>
      <w:r w:rsidR="00BE6F6D">
        <w:rPr>
          <w:noProof/>
        </w:rPr>
        <w:t> </w:t>
      </w:r>
      <w:r w:rsidR="00BE6F6D" w:rsidRPr="009A4A22">
        <w:rPr>
          <w:noProof/>
        </w:rPr>
        <w:t>roz</w:t>
      </w:r>
      <w:r w:rsidR="00310D36" w:rsidRPr="009A4A22">
        <w:rPr>
          <w:noProof/>
        </w:rPr>
        <w:t>porządzenia Parlamentu Europejskiego</w:t>
      </w:r>
      <w:r w:rsidR="00BE6F6D" w:rsidRPr="009A4A22">
        <w:rPr>
          <w:noProof/>
        </w:rPr>
        <w:t xml:space="preserve"> i</w:t>
      </w:r>
      <w:r w:rsidR="00BE6F6D">
        <w:rPr>
          <w:noProof/>
        </w:rPr>
        <w:t> </w:t>
      </w:r>
      <w:r w:rsidR="00BE6F6D" w:rsidRPr="009A4A22">
        <w:rPr>
          <w:noProof/>
        </w:rPr>
        <w:t>Rad</w:t>
      </w:r>
      <w:r w:rsidR="00310D36" w:rsidRPr="009A4A22">
        <w:rPr>
          <w:noProof/>
        </w:rPr>
        <w:t xml:space="preserve">y (UE) </w:t>
      </w:r>
      <w:r w:rsidR="00310D36" w:rsidRPr="00BE6F6D">
        <w:rPr>
          <w:noProof/>
        </w:rPr>
        <w:t>nr</w:t>
      </w:r>
      <w:r w:rsidR="00BE6F6D" w:rsidRPr="00BE6F6D">
        <w:rPr>
          <w:noProof/>
        </w:rPr>
        <w:t> </w:t>
      </w:r>
      <w:r w:rsidR="00310D36" w:rsidRPr="00BE6F6D">
        <w:rPr>
          <w:noProof/>
        </w:rPr>
        <w:t>5</w:t>
      </w:r>
      <w:r w:rsidR="00310D36" w:rsidRPr="009A4A22">
        <w:rPr>
          <w:noProof/>
        </w:rPr>
        <w:t>24/2013</w:t>
      </w:r>
      <w:r w:rsidR="00CA3D2A" w:rsidRPr="009A4A22">
        <w:rPr>
          <w:rStyle w:val="FootnoteReference"/>
          <w:noProof/>
        </w:rPr>
        <w:footnoteReference w:id="30"/>
      </w:r>
      <w:r w:rsidR="00310D36" w:rsidRPr="009A4A22">
        <w:rPr>
          <w:noProof/>
        </w:rPr>
        <w:t>,</w:t>
      </w:r>
      <w:r w:rsidR="00BE6F6D" w:rsidRPr="009A4A22">
        <w:rPr>
          <w:noProof/>
        </w:rPr>
        <w:t xml:space="preserve"> w</w:t>
      </w:r>
      <w:r w:rsidR="00BE6F6D">
        <w:rPr>
          <w:noProof/>
        </w:rPr>
        <w:t> </w:t>
      </w:r>
      <w:r w:rsidR="00BE6F6D" w:rsidRPr="009A4A22">
        <w:rPr>
          <w:noProof/>
        </w:rPr>
        <w:t>któ</w:t>
      </w:r>
      <w:r w:rsidR="00310D36" w:rsidRPr="009A4A22">
        <w:rPr>
          <w:noProof/>
        </w:rPr>
        <w:t>rym stwierdzono, że dzięki dyrektywie 2013/11/UE wzrosła obecność wysokiej jakości podmiotów ADR na rynkach konsumenckich</w:t>
      </w:r>
      <w:r w:rsidR="00BE6F6D" w:rsidRPr="009A4A22">
        <w:rPr>
          <w:noProof/>
        </w:rPr>
        <w:t xml:space="preserve"> w</w:t>
      </w:r>
      <w:r w:rsidR="00BE6F6D">
        <w:rPr>
          <w:noProof/>
        </w:rPr>
        <w:t> </w:t>
      </w:r>
      <w:r w:rsidR="00BE6F6D" w:rsidRPr="009A4A22">
        <w:rPr>
          <w:noProof/>
        </w:rPr>
        <w:t>cał</w:t>
      </w:r>
      <w:r w:rsidR="00310D36" w:rsidRPr="009A4A22">
        <w:rPr>
          <w:noProof/>
        </w:rPr>
        <w:t>ej Unii</w:t>
      </w:r>
      <w:r w:rsidR="00BE6F6D" w:rsidRPr="009A4A22">
        <w:rPr>
          <w:noProof/>
        </w:rPr>
        <w:t>. W</w:t>
      </w:r>
      <w:r w:rsidR="00BE6F6D">
        <w:rPr>
          <w:noProof/>
        </w:rPr>
        <w:t> </w:t>
      </w:r>
      <w:r w:rsidR="00BE6F6D" w:rsidRPr="009A4A22">
        <w:rPr>
          <w:noProof/>
        </w:rPr>
        <w:t>spr</w:t>
      </w:r>
      <w:r w:rsidR="00310D36" w:rsidRPr="009A4A22">
        <w:rPr>
          <w:noProof/>
        </w:rPr>
        <w:t>awozdaniu stwierdzono jednak również, że</w:t>
      </w:r>
      <w:r w:rsidR="00BE6F6D" w:rsidRPr="009A4A22">
        <w:rPr>
          <w:noProof/>
        </w:rPr>
        <w:t xml:space="preserve"> w</w:t>
      </w:r>
      <w:r w:rsidR="00BE6F6D">
        <w:rPr>
          <w:noProof/>
        </w:rPr>
        <w:t> </w:t>
      </w:r>
      <w:r w:rsidR="00BE6F6D" w:rsidRPr="009A4A22">
        <w:rPr>
          <w:noProof/>
        </w:rPr>
        <w:t>nie</w:t>
      </w:r>
      <w:r w:rsidR="00310D36" w:rsidRPr="009A4A22">
        <w:rPr>
          <w:noProof/>
        </w:rPr>
        <w:t>których sektorach</w:t>
      </w:r>
      <w:r w:rsidR="00BE6F6D" w:rsidRPr="009A4A22">
        <w:rPr>
          <w:noProof/>
        </w:rPr>
        <w:t xml:space="preserve"> i</w:t>
      </w:r>
      <w:r w:rsidR="00BE6F6D">
        <w:rPr>
          <w:noProof/>
        </w:rPr>
        <w:t> </w:t>
      </w:r>
      <w:r w:rsidR="00BE6F6D" w:rsidRPr="009A4A22">
        <w:rPr>
          <w:noProof/>
        </w:rPr>
        <w:t>pań</w:t>
      </w:r>
      <w:r w:rsidR="00310D36" w:rsidRPr="009A4A22">
        <w:rPr>
          <w:noProof/>
        </w:rPr>
        <w:t>stwach członkowskich niewielu konsumentów</w:t>
      </w:r>
      <w:r w:rsidR="00BE6F6D" w:rsidRPr="009A4A22">
        <w:rPr>
          <w:noProof/>
        </w:rPr>
        <w:t xml:space="preserve"> i</w:t>
      </w:r>
      <w:r w:rsidR="00BE6F6D">
        <w:rPr>
          <w:noProof/>
        </w:rPr>
        <w:t> </w:t>
      </w:r>
      <w:r w:rsidR="00BE6F6D" w:rsidRPr="009A4A22">
        <w:rPr>
          <w:noProof/>
        </w:rPr>
        <w:t>nie</w:t>
      </w:r>
      <w:r w:rsidR="00310D36" w:rsidRPr="009A4A22">
        <w:rPr>
          <w:noProof/>
        </w:rPr>
        <w:t>wiele przedsiębiorstw korzysta</w:t>
      </w:r>
      <w:r w:rsidR="00BE6F6D" w:rsidRPr="009A4A22">
        <w:rPr>
          <w:noProof/>
        </w:rPr>
        <w:t xml:space="preserve"> z</w:t>
      </w:r>
      <w:r w:rsidR="00BE6F6D">
        <w:rPr>
          <w:noProof/>
        </w:rPr>
        <w:t> </w:t>
      </w:r>
      <w:r w:rsidR="00BE6F6D" w:rsidRPr="009A4A22">
        <w:rPr>
          <w:noProof/>
        </w:rPr>
        <w:t>pos</w:t>
      </w:r>
      <w:r w:rsidR="00310D36" w:rsidRPr="009A4A22">
        <w:rPr>
          <w:noProof/>
        </w:rPr>
        <w:t>tępowań ADR. Jedną</w:t>
      </w:r>
      <w:r w:rsidR="00BE6F6D" w:rsidRPr="009A4A22">
        <w:rPr>
          <w:noProof/>
        </w:rPr>
        <w:t xml:space="preserve"> z</w:t>
      </w:r>
      <w:r w:rsidR="00BE6F6D">
        <w:rPr>
          <w:noProof/>
        </w:rPr>
        <w:t> </w:t>
      </w:r>
      <w:r w:rsidR="00BE6F6D" w:rsidRPr="009A4A22">
        <w:rPr>
          <w:noProof/>
        </w:rPr>
        <w:t>prz</w:t>
      </w:r>
      <w:r w:rsidR="00310D36" w:rsidRPr="009A4A22">
        <w:rPr>
          <w:noProof/>
        </w:rPr>
        <w:t>yczyn tego stanu rzeczy był niski poziom świadomości przedsiębiorców</w:t>
      </w:r>
      <w:r w:rsidR="00BE6F6D" w:rsidRPr="009A4A22">
        <w:rPr>
          <w:noProof/>
        </w:rPr>
        <w:t xml:space="preserve"> i</w:t>
      </w:r>
      <w:r w:rsidR="00BE6F6D">
        <w:rPr>
          <w:noProof/>
        </w:rPr>
        <w:t> </w:t>
      </w:r>
      <w:r w:rsidR="00BE6F6D" w:rsidRPr="009A4A22">
        <w:rPr>
          <w:noProof/>
        </w:rPr>
        <w:t>kon</w:t>
      </w:r>
      <w:r w:rsidR="00310D36" w:rsidRPr="009A4A22">
        <w:rPr>
          <w:noProof/>
        </w:rPr>
        <w:t>sumentów na temat takich postępowań</w:t>
      </w:r>
      <w:r w:rsidR="00BE6F6D" w:rsidRPr="009A4A22">
        <w:rPr>
          <w:noProof/>
        </w:rPr>
        <w:t xml:space="preserve"> w</w:t>
      </w:r>
      <w:r w:rsidR="00BE6F6D">
        <w:rPr>
          <w:noProof/>
        </w:rPr>
        <w:t> </w:t>
      </w:r>
      <w:r w:rsidR="00BE6F6D" w:rsidRPr="009A4A22">
        <w:rPr>
          <w:noProof/>
        </w:rPr>
        <w:t>pań</w:t>
      </w:r>
      <w:r w:rsidR="00310D36" w:rsidRPr="009A4A22">
        <w:rPr>
          <w:noProof/>
        </w:rPr>
        <w:t>stwach członkowskich,</w:t>
      </w:r>
      <w:r w:rsidR="00BE6F6D" w:rsidRPr="009A4A22">
        <w:rPr>
          <w:noProof/>
        </w:rPr>
        <w:t xml:space="preserve"> w</w:t>
      </w:r>
      <w:r w:rsidR="00BE6F6D">
        <w:rPr>
          <w:noProof/>
        </w:rPr>
        <w:t> </w:t>
      </w:r>
      <w:r w:rsidR="00BE6F6D" w:rsidRPr="009A4A22">
        <w:rPr>
          <w:noProof/>
        </w:rPr>
        <w:t>któ</w:t>
      </w:r>
      <w:r w:rsidR="00310D36" w:rsidRPr="009A4A22">
        <w:rPr>
          <w:noProof/>
        </w:rPr>
        <w:t>rych dopiero niedawno je wprowadzono. Innym powodem był brak zaufania konsumentów</w:t>
      </w:r>
      <w:r w:rsidR="00BE6F6D" w:rsidRPr="009A4A22">
        <w:rPr>
          <w:noProof/>
        </w:rPr>
        <w:t xml:space="preserve"> i</w:t>
      </w:r>
      <w:r w:rsidR="00BE6F6D">
        <w:rPr>
          <w:noProof/>
        </w:rPr>
        <w:t> </w:t>
      </w:r>
      <w:r w:rsidR="00BE6F6D" w:rsidRPr="009A4A22">
        <w:rPr>
          <w:noProof/>
        </w:rPr>
        <w:t>prz</w:t>
      </w:r>
      <w:r w:rsidR="00310D36" w:rsidRPr="009A4A22">
        <w:rPr>
          <w:noProof/>
        </w:rPr>
        <w:t>edsiębiorców do nieregulowanych podmiotów ADR. Dane przekazane na początku 20</w:t>
      </w:r>
      <w:r w:rsidR="00310D36" w:rsidRPr="00BE6F6D">
        <w:rPr>
          <w:noProof/>
        </w:rPr>
        <w:t>22</w:t>
      </w:r>
      <w:r w:rsidR="00BE6F6D" w:rsidRPr="00BE6F6D">
        <w:rPr>
          <w:noProof/>
        </w:rPr>
        <w:t> </w:t>
      </w:r>
      <w:r w:rsidR="00310D36" w:rsidRPr="00BE6F6D">
        <w:rPr>
          <w:noProof/>
        </w:rPr>
        <w:t>r.</w:t>
      </w:r>
      <w:r w:rsidR="00310D36" w:rsidRPr="009A4A22">
        <w:rPr>
          <w:noProof/>
        </w:rPr>
        <w:t xml:space="preserve"> przez właściwe organy krajowe oraz ocena wdrożenia dyrektywy 2013/11/UE przeprowadzona</w:t>
      </w:r>
      <w:r w:rsidR="00BE6F6D" w:rsidRPr="009A4A22">
        <w:rPr>
          <w:noProof/>
        </w:rPr>
        <w:t xml:space="preserve"> w</w:t>
      </w:r>
      <w:r w:rsidR="00BE6F6D">
        <w:rPr>
          <w:noProof/>
        </w:rPr>
        <w:t> </w:t>
      </w:r>
      <w:r w:rsidR="00BE6F6D" w:rsidRPr="009A4A22">
        <w:rPr>
          <w:noProof/>
        </w:rPr>
        <w:t>2</w:t>
      </w:r>
      <w:r w:rsidR="00310D36" w:rsidRPr="009A4A22">
        <w:rPr>
          <w:noProof/>
        </w:rPr>
        <w:t>0</w:t>
      </w:r>
      <w:r w:rsidR="00310D36" w:rsidRPr="00BE6F6D">
        <w:rPr>
          <w:noProof/>
        </w:rPr>
        <w:t>23</w:t>
      </w:r>
      <w:r w:rsidR="00BE6F6D" w:rsidRPr="00BE6F6D">
        <w:rPr>
          <w:noProof/>
        </w:rPr>
        <w:t> </w:t>
      </w:r>
      <w:r w:rsidR="00310D36" w:rsidRPr="00BE6F6D">
        <w:rPr>
          <w:noProof/>
        </w:rPr>
        <w:t>r.</w:t>
      </w:r>
      <w:r w:rsidR="00310D36" w:rsidRPr="009A4A22">
        <w:rPr>
          <w:noProof/>
        </w:rPr>
        <w:t xml:space="preserve"> wskazują na to, że poziom korzystania</w:t>
      </w:r>
      <w:r w:rsidR="00BE6F6D" w:rsidRPr="009A4A22">
        <w:rPr>
          <w:noProof/>
        </w:rPr>
        <w:t xml:space="preserve"> z</w:t>
      </w:r>
      <w:r w:rsidR="00BE6F6D">
        <w:rPr>
          <w:noProof/>
        </w:rPr>
        <w:t> </w:t>
      </w:r>
      <w:r w:rsidR="00BE6F6D" w:rsidRPr="009A4A22">
        <w:rPr>
          <w:noProof/>
        </w:rPr>
        <w:t>pos</w:t>
      </w:r>
      <w:r w:rsidR="00310D36" w:rsidRPr="009A4A22">
        <w:rPr>
          <w:noProof/>
        </w:rPr>
        <w:t>tępowań ADR pozostał stosunkowo stabilny (poza niewielkim wzrostem liczby spraw związanych</w:t>
      </w:r>
      <w:r w:rsidR="00BE6F6D" w:rsidRPr="009A4A22">
        <w:rPr>
          <w:noProof/>
        </w:rPr>
        <w:t xml:space="preserve"> z</w:t>
      </w:r>
      <w:r w:rsidR="00BE6F6D">
        <w:rPr>
          <w:noProof/>
        </w:rPr>
        <w:t> </w:t>
      </w:r>
      <w:r w:rsidR="00BE6F6D" w:rsidRPr="009A4A22">
        <w:rPr>
          <w:noProof/>
        </w:rPr>
        <w:t>pan</w:t>
      </w:r>
      <w:r w:rsidR="00310D36" w:rsidRPr="009A4A22">
        <w:rPr>
          <w:noProof/>
        </w:rPr>
        <w:t>demią COVID-19). Większość zainteresowanych stron,</w:t>
      </w:r>
      <w:r w:rsidR="00BE6F6D" w:rsidRPr="009A4A22">
        <w:rPr>
          <w:noProof/>
        </w:rPr>
        <w:t xml:space="preserve"> z</w:t>
      </w:r>
      <w:r w:rsidR="00BE6F6D">
        <w:rPr>
          <w:noProof/>
        </w:rPr>
        <w:t> </w:t>
      </w:r>
      <w:r w:rsidR="00BE6F6D" w:rsidRPr="009A4A22">
        <w:rPr>
          <w:noProof/>
        </w:rPr>
        <w:t>któ</w:t>
      </w:r>
      <w:r w:rsidR="00310D36" w:rsidRPr="009A4A22">
        <w:rPr>
          <w:noProof/>
        </w:rPr>
        <w:t>rymi skonsultowano się</w:t>
      </w:r>
      <w:r w:rsidR="00BE6F6D" w:rsidRPr="009A4A22">
        <w:rPr>
          <w:noProof/>
        </w:rPr>
        <w:t xml:space="preserve"> w</w:t>
      </w:r>
      <w:r w:rsidR="00BE6F6D">
        <w:rPr>
          <w:noProof/>
        </w:rPr>
        <w:t> </w:t>
      </w:r>
      <w:r w:rsidR="00BE6F6D" w:rsidRPr="009A4A22">
        <w:rPr>
          <w:noProof/>
        </w:rPr>
        <w:t>kon</w:t>
      </w:r>
      <w:r w:rsidR="00310D36" w:rsidRPr="009A4A22">
        <w:rPr>
          <w:noProof/>
        </w:rPr>
        <w:t>tekście tej oceny, potwierdziła, że korzystanie</w:t>
      </w:r>
      <w:r w:rsidR="00BE6F6D" w:rsidRPr="009A4A22">
        <w:rPr>
          <w:noProof/>
        </w:rPr>
        <w:t xml:space="preserve"> z</w:t>
      </w:r>
      <w:r w:rsidR="00BE6F6D">
        <w:rPr>
          <w:noProof/>
        </w:rPr>
        <w:t> </w:t>
      </w:r>
      <w:r w:rsidR="00BE6F6D" w:rsidRPr="009A4A22">
        <w:rPr>
          <w:noProof/>
        </w:rPr>
        <w:t>pos</w:t>
      </w:r>
      <w:r w:rsidR="00310D36" w:rsidRPr="009A4A22">
        <w:rPr>
          <w:noProof/>
        </w:rPr>
        <w:t>tępowań ADR najczęściej utrudniają: brak wiedzy</w:t>
      </w:r>
      <w:r w:rsidR="00BE6F6D" w:rsidRPr="009A4A22">
        <w:rPr>
          <w:noProof/>
        </w:rPr>
        <w:t xml:space="preserve"> o</w:t>
      </w:r>
      <w:r w:rsidR="00BE6F6D">
        <w:rPr>
          <w:noProof/>
        </w:rPr>
        <w:t> </w:t>
      </w:r>
      <w:r w:rsidR="00BE6F6D" w:rsidRPr="009A4A22">
        <w:rPr>
          <w:noProof/>
        </w:rPr>
        <w:t>pos</w:t>
      </w:r>
      <w:r w:rsidR="00310D36" w:rsidRPr="009A4A22">
        <w:rPr>
          <w:noProof/>
        </w:rPr>
        <w:t>tępowaniach ADR</w:t>
      </w:r>
      <w:r w:rsidR="00BE6F6D" w:rsidRPr="009A4A22">
        <w:rPr>
          <w:noProof/>
        </w:rPr>
        <w:t xml:space="preserve"> i</w:t>
      </w:r>
      <w:r w:rsidR="00BE6F6D">
        <w:rPr>
          <w:noProof/>
        </w:rPr>
        <w:t> </w:t>
      </w:r>
      <w:r w:rsidR="00BE6F6D" w:rsidRPr="009A4A22">
        <w:rPr>
          <w:noProof/>
        </w:rPr>
        <w:t>zro</w:t>
      </w:r>
      <w:r w:rsidR="00310D36" w:rsidRPr="009A4A22">
        <w:rPr>
          <w:noProof/>
        </w:rPr>
        <w:t>zumienia ich przez konsumentów, niski poziom zaangażowania przedsiębiorców, luki</w:t>
      </w:r>
      <w:r w:rsidR="00BE6F6D" w:rsidRPr="009A4A22">
        <w:rPr>
          <w:noProof/>
        </w:rPr>
        <w:t xml:space="preserve"> w</w:t>
      </w:r>
      <w:r w:rsidR="00BE6F6D">
        <w:rPr>
          <w:noProof/>
        </w:rPr>
        <w:t> </w:t>
      </w:r>
      <w:r w:rsidR="00BE6F6D" w:rsidRPr="009A4A22">
        <w:rPr>
          <w:noProof/>
        </w:rPr>
        <w:t>zas</w:t>
      </w:r>
      <w:r w:rsidR="00310D36" w:rsidRPr="009A4A22">
        <w:rPr>
          <w:noProof/>
        </w:rPr>
        <w:t>ięgu ADR</w:t>
      </w:r>
      <w:r w:rsidR="00BE6F6D" w:rsidRPr="009A4A22">
        <w:rPr>
          <w:noProof/>
        </w:rPr>
        <w:t xml:space="preserve"> w</w:t>
      </w:r>
      <w:r w:rsidR="00BE6F6D">
        <w:rPr>
          <w:noProof/>
        </w:rPr>
        <w:t> </w:t>
      </w:r>
      <w:r w:rsidR="00BE6F6D" w:rsidRPr="009A4A22">
        <w:rPr>
          <w:noProof/>
        </w:rPr>
        <w:t>nie</w:t>
      </w:r>
      <w:r w:rsidR="00310D36" w:rsidRPr="009A4A22">
        <w:rPr>
          <w:noProof/>
        </w:rPr>
        <w:t>których państwach członkowskich, wysokie koszty</w:t>
      </w:r>
      <w:r w:rsidR="00BE6F6D" w:rsidRPr="009A4A22">
        <w:rPr>
          <w:noProof/>
        </w:rPr>
        <w:t xml:space="preserve"> i</w:t>
      </w:r>
      <w:r w:rsidR="00BE6F6D">
        <w:rPr>
          <w:noProof/>
        </w:rPr>
        <w:t> </w:t>
      </w:r>
      <w:r w:rsidR="00BE6F6D" w:rsidRPr="009A4A22">
        <w:rPr>
          <w:noProof/>
        </w:rPr>
        <w:t>zło</w:t>
      </w:r>
      <w:r w:rsidR="00310D36" w:rsidRPr="009A4A22">
        <w:rPr>
          <w:noProof/>
        </w:rPr>
        <w:t>żoność krajowych postępowań ADR oraz różnice</w:t>
      </w:r>
      <w:r w:rsidR="00BE6F6D" w:rsidRPr="009A4A22">
        <w:rPr>
          <w:noProof/>
        </w:rPr>
        <w:t xml:space="preserve"> w</w:t>
      </w:r>
      <w:r w:rsidR="00BE6F6D">
        <w:rPr>
          <w:noProof/>
        </w:rPr>
        <w:t> </w:t>
      </w:r>
      <w:r w:rsidR="00BE6F6D" w:rsidRPr="009A4A22">
        <w:rPr>
          <w:noProof/>
        </w:rPr>
        <w:t>kom</w:t>
      </w:r>
      <w:r w:rsidR="00310D36" w:rsidRPr="009A4A22">
        <w:rPr>
          <w:noProof/>
        </w:rPr>
        <w:t>petencjach podmiotów ADR</w:t>
      </w:r>
      <w:r w:rsidR="00BE6F6D" w:rsidRPr="009A4A22">
        <w:rPr>
          <w:noProof/>
        </w:rPr>
        <w:t>. W</w:t>
      </w:r>
      <w:r w:rsidR="00BE6F6D">
        <w:rPr>
          <w:noProof/>
        </w:rPr>
        <w:t> </w:t>
      </w:r>
      <w:r w:rsidR="00BE6F6D" w:rsidRPr="009A4A22">
        <w:rPr>
          <w:noProof/>
        </w:rPr>
        <w:t>tra</w:t>
      </w:r>
      <w:r w:rsidR="00310D36" w:rsidRPr="009A4A22">
        <w:rPr>
          <w:noProof/>
        </w:rPr>
        <w:t>nsgranicznym ADR istnieją dodatkowe bariery, takie jak brak znajomości języka</w:t>
      </w:r>
      <w:r w:rsidR="00BE6F6D" w:rsidRPr="009A4A22">
        <w:rPr>
          <w:noProof/>
        </w:rPr>
        <w:t xml:space="preserve"> i</w:t>
      </w:r>
      <w:r w:rsidR="00BE6F6D">
        <w:rPr>
          <w:noProof/>
        </w:rPr>
        <w:t> </w:t>
      </w:r>
      <w:r w:rsidR="00BE6F6D" w:rsidRPr="009A4A22">
        <w:rPr>
          <w:noProof/>
        </w:rPr>
        <w:t>pra</w:t>
      </w:r>
      <w:r w:rsidR="00310D36" w:rsidRPr="009A4A22">
        <w:rPr>
          <w:noProof/>
        </w:rPr>
        <w:t>wa mającego zastosowanie,</w:t>
      </w:r>
      <w:r w:rsidR="00BE6F6D" w:rsidRPr="009A4A22">
        <w:rPr>
          <w:noProof/>
        </w:rPr>
        <w:t xml:space="preserve"> a</w:t>
      </w:r>
      <w:r w:rsidR="00BE6F6D">
        <w:rPr>
          <w:noProof/>
        </w:rPr>
        <w:t> </w:t>
      </w:r>
      <w:r w:rsidR="00BE6F6D" w:rsidRPr="009A4A22">
        <w:rPr>
          <w:noProof/>
        </w:rPr>
        <w:t>tak</w:t>
      </w:r>
      <w:r w:rsidR="00310D36" w:rsidRPr="009A4A22">
        <w:rPr>
          <w:noProof/>
        </w:rPr>
        <w:t>że szczególne trudności</w:t>
      </w:r>
      <w:r w:rsidR="00BE6F6D" w:rsidRPr="009A4A22">
        <w:rPr>
          <w:noProof/>
        </w:rPr>
        <w:t xml:space="preserve"> w</w:t>
      </w:r>
      <w:r w:rsidR="00BE6F6D">
        <w:rPr>
          <w:noProof/>
        </w:rPr>
        <w:t> </w:t>
      </w:r>
      <w:r w:rsidR="00BE6F6D" w:rsidRPr="009A4A22">
        <w:rPr>
          <w:noProof/>
        </w:rPr>
        <w:t>dos</w:t>
      </w:r>
      <w:r w:rsidR="00310D36" w:rsidRPr="009A4A22">
        <w:rPr>
          <w:noProof/>
        </w:rPr>
        <w:t xml:space="preserve">tępie dla konsumentów podatnych na zagrożenia. </w:t>
      </w:r>
    </w:p>
    <w:p w14:paraId="11C7FC0B" w14:textId="0983F46F" w:rsidR="006A7624" w:rsidRPr="009A4A22" w:rsidRDefault="001755F8" w:rsidP="001755F8">
      <w:pPr>
        <w:pStyle w:val="ManualConsidrant"/>
        <w:rPr>
          <w:noProof/>
        </w:rPr>
      </w:pPr>
      <w:r w:rsidRPr="001755F8">
        <w:t>(3)</w:t>
      </w:r>
      <w:r w:rsidRPr="001755F8">
        <w:tab/>
      </w:r>
      <w:r w:rsidR="00310D36" w:rsidRPr="009A4A22">
        <w:rPr>
          <w:noProof/>
        </w:rPr>
        <w:t>Zważywszy, że co najmniej dwie piąte transakcji internetowych dokonywanych przez konsumentów zamieszkałych</w:t>
      </w:r>
      <w:r w:rsidR="00BE6F6D" w:rsidRPr="009A4A22">
        <w:rPr>
          <w:noProof/>
        </w:rPr>
        <w:t xml:space="preserve"> w</w:t>
      </w:r>
      <w:r w:rsidR="00BE6F6D">
        <w:rPr>
          <w:noProof/>
        </w:rPr>
        <w:t> </w:t>
      </w:r>
      <w:r w:rsidR="00BE6F6D" w:rsidRPr="009A4A22">
        <w:rPr>
          <w:noProof/>
        </w:rPr>
        <w:t>Uni</w:t>
      </w:r>
      <w:r w:rsidR="00310D36" w:rsidRPr="009A4A22">
        <w:rPr>
          <w:noProof/>
        </w:rPr>
        <w:t>i jest zawieranych</w:t>
      </w:r>
      <w:r w:rsidR="00BE6F6D" w:rsidRPr="009A4A22">
        <w:rPr>
          <w:noProof/>
        </w:rPr>
        <w:t xml:space="preserve"> z</w:t>
      </w:r>
      <w:r w:rsidR="00BE6F6D">
        <w:rPr>
          <w:noProof/>
        </w:rPr>
        <w:t> </w:t>
      </w:r>
      <w:r w:rsidR="00BE6F6D" w:rsidRPr="009A4A22">
        <w:rPr>
          <w:noProof/>
        </w:rPr>
        <w:t>prz</w:t>
      </w:r>
      <w:r w:rsidR="00310D36" w:rsidRPr="009A4A22">
        <w:rPr>
          <w:noProof/>
        </w:rPr>
        <w:t>edsiębiorcami mającymi siedzibę</w:t>
      </w:r>
      <w:r w:rsidR="00BE6F6D" w:rsidRPr="009A4A22">
        <w:rPr>
          <w:noProof/>
        </w:rPr>
        <w:t xml:space="preserve"> w</w:t>
      </w:r>
      <w:r w:rsidR="00BE6F6D">
        <w:rPr>
          <w:noProof/>
        </w:rPr>
        <w:t> </w:t>
      </w:r>
      <w:r w:rsidR="00BE6F6D" w:rsidRPr="009A4A22">
        <w:rPr>
          <w:noProof/>
        </w:rPr>
        <w:t>pań</w:t>
      </w:r>
      <w:r w:rsidR="00310D36" w:rsidRPr="009A4A22">
        <w:rPr>
          <w:noProof/>
        </w:rPr>
        <w:t>stwach trzecich, należy rozszerzyć zakres dyrektywy 2013/11/UE, aby umożliwić udział</w:t>
      </w:r>
      <w:r w:rsidR="00BE6F6D" w:rsidRPr="009A4A22">
        <w:rPr>
          <w:noProof/>
        </w:rPr>
        <w:t xml:space="preserve"> w</w:t>
      </w:r>
      <w:r w:rsidR="00BE6F6D">
        <w:rPr>
          <w:noProof/>
        </w:rPr>
        <w:t> </w:t>
      </w:r>
      <w:r w:rsidR="00BE6F6D" w:rsidRPr="009A4A22">
        <w:rPr>
          <w:noProof/>
        </w:rPr>
        <w:t>pos</w:t>
      </w:r>
      <w:r w:rsidR="00310D36" w:rsidRPr="009A4A22">
        <w:rPr>
          <w:noProof/>
        </w:rPr>
        <w:t>tępowaniach ADR zainteresowanym przedsiębiorcom</w:t>
      </w:r>
      <w:r w:rsidR="00BE6F6D" w:rsidRPr="009A4A22">
        <w:rPr>
          <w:noProof/>
        </w:rPr>
        <w:t xml:space="preserve"> z</w:t>
      </w:r>
      <w:r w:rsidR="00BE6F6D">
        <w:rPr>
          <w:noProof/>
        </w:rPr>
        <w:t> </w:t>
      </w:r>
      <w:r w:rsidR="00BE6F6D" w:rsidRPr="009A4A22">
        <w:rPr>
          <w:noProof/>
        </w:rPr>
        <w:t>pań</w:t>
      </w:r>
      <w:r w:rsidR="00310D36" w:rsidRPr="009A4A22">
        <w:rPr>
          <w:noProof/>
        </w:rPr>
        <w:t>stw trzecich. Żadne przeszkody proceduralne nie powinny utrudniać konsumentom zamieszkałym</w:t>
      </w:r>
      <w:r w:rsidR="00BE6F6D" w:rsidRPr="009A4A22">
        <w:rPr>
          <w:noProof/>
        </w:rPr>
        <w:t xml:space="preserve"> w</w:t>
      </w:r>
      <w:r w:rsidR="00BE6F6D">
        <w:rPr>
          <w:noProof/>
        </w:rPr>
        <w:t> </w:t>
      </w:r>
      <w:r w:rsidR="00BE6F6D" w:rsidRPr="009A4A22">
        <w:rPr>
          <w:noProof/>
        </w:rPr>
        <w:t>Uni</w:t>
      </w:r>
      <w:r w:rsidR="00310D36" w:rsidRPr="009A4A22">
        <w:rPr>
          <w:noProof/>
        </w:rPr>
        <w:t>i rozstrzygania sporów</w:t>
      </w:r>
      <w:r w:rsidR="00BE6F6D" w:rsidRPr="009A4A22">
        <w:rPr>
          <w:noProof/>
        </w:rPr>
        <w:t xml:space="preserve"> z</w:t>
      </w:r>
      <w:r w:rsidR="00BE6F6D">
        <w:rPr>
          <w:noProof/>
        </w:rPr>
        <w:t> </w:t>
      </w:r>
      <w:r w:rsidR="00BE6F6D" w:rsidRPr="009A4A22">
        <w:rPr>
          <w:noProof/>
        </w:rPr>
        <w:t>prz</w:t>
      </w:r>
      <w:r w:rsidR="00310D36" w:rsidRPr="009A4A22">
        <w:rPr>
          <w:noProof/>
        </w:rPr>
        <w:t>edsiębiorcami, niezależnie od ich siedziby, zgadzającymi się na skorzystanie</w:t>
      </w:r>
      <w:r w:rsidR="00BE6F6D" w:rsidRPr="009A4A22">
        <w:rPr>
          <w:noProof/>
        </w:rPr>
        <w:t xml:space="preserve"> z</w:t>
      </w:r>
      <w:r w:rsidR="00BE6F6D">
        <w:rPr>
          <w:noProof/>
        </w:rPr>
        <w:t> </w:t>
      </w:r>
      <w:r w:rsidR="00BE6F6D" w:rsidRPr="009A4A22">
        <w:rPr>
          <w:noProof/>
        </w:rPr>
        <w:t>pos</w:t>
      </w:r>
      <w:r w:rsidR="00310D36" w:rsidRPr="009A4A22">
        <w:rPr>
          <w:noProof/>
        </w:rPr>
        <w:t>tępowania ADR za pośrednictwem podmiotu ADR mającego siedzibę</w:t>
      </w:r>
      <w:r w:rsidR="00BE6F6D" w:rsidRPr="009A4A22">
        <w:rPr>
          <w:noProof/>
        </w:rPr>
        <w:t xml:space="preserve"> w</w:t>
      </w:r>
      <w:r w:rsidR="00BE6F6D">
        <w:rPr>
          <w:noProof/>
        </w:rPr>
        <w:t> </w:t>
      </w:r>
      <w:r w:rsidR="00BE6F6D" w:rsidRPr="009A4A22">
        <w:rPr>
          <w:noProof/>
        </w:rPr>
        <w:t>pań</w:t>
      </w:r>
      <w:r w:rsidR="00310D36" w:rsidRPr="009A4A22">
        <w:rPr>
          <w:noProof/>
        </w:rPr>
        <w:t xml:space="preserve">stwie członkowskim. </w:t>
      </w:r>
    </w:p>
    <w:p w14:paraId="401CDB22" w14:textId="12FCDBAB" w:rsidR="000E4D0D" w:rsidRPr="009A4A22" w:rsidRDefault="001755F8" w:rsidP="001755F8">
      <w:pPr>
        <w:pStyle w:val="ManualConsidrant"/>
        <w:rPr>
          <w:noProof/>
        </w:rPr>
      </w:pPr>
      <w:r w:rsidRPr="001755F8">
        <w:t>(4)</w:t>
      </w:r>
      <w:r w:rsidRPr="001755F8">
        <w:tab/>
      </w:r>
      <w:r w:rsidR="00310D36" w:rsidRPr="009A4A22">
        <w:rPr>
          <w:noProof/>
        </w:rPr>
        <w:t>Od czasu przyjęcia dyrektywy 2011/13/UE złożoność sporów konsumenckich znacznie wzrosła. Cyfryzacja towarów</w:t>
      </w:r>
      <w:r w:rsidR="00BE6F6D" w:rsidRPr="009A4A22">
        <w:rPr>
          <w:noProof/>
        </w:rPr>
        <w:t xml:space="preserve"> i</w:t>
      </w:r>
      <w:r w:rsidR="00BE6F6D">
        <w:rPr>
          <w:noProof/>
        </w:rPr>
        <w:t> </w:t>
      </w:r>
      <w:r w:rsidR="00BE6F6D" w:rsidRPr="009A4A22">
        <w:rPr>
          <w:noProof/>
        </w:rPr>
        <w:t>usł</w:t>
      </w:r>
      <w:r w:rsidR="00310D36" w:rsidRPr="009A4A22">
        <w:rPr>
          <w:noProof/>
        </w:rPr>
        <w:t>ug oraz rosnące znaczenie handlu elektronicznego</w:t>
      </w:r>
      <w:r w:rsidR="00BE6F6D" w:rsidRPr="009A4A22">
        <w:rPr>
          <w:noProof/>
        </w:rPr>
        <w:t xml:space="preserve"> i</w:t>
      </w:r>
      <w:r w:rsidR="00BE6F6D">
        <w:rPr>
          <w:noProof/>
        </w:rPr>
        <w:t> </w:t>
      </w:r>
      <w:r w:rsidR="00BE6F6D" w:rsidRPr="009A4A22">
        <w:rPr>
          <w:noProof/>
        </w:rPr>
        <w:t>rek</w:t>
      </w:r>
      <w:r w:rsidR="00310D36" w:rsidRPr="009A4A22">
        <w:rPr>
          <w:noProof/>
        </w:rPr>
        <w:t>lamy cyfrowej dla umów konsumenckich doprowadziły do wzrostu liczby konsumentów narażonych na wprowadzające</w:t>
      </w:r>
      <w:r w:rsidR="00BE6F6D" w:rsidRPr="009A4A22">
        <w:rPr>
          <w:noProof/>
        </w:rPr>
        <w:t xml:space="preserve"> w</w:t>
      </w:r>
      <w:r w:rsidR="00BE6F6D">
        <w:rPr>
          <w:noProof/>
        </w:rPr>
        <w:t> </w:t>
      </w:r>
      <w:r w:rsidR="00BE6F6D" w:rsidRPr="009A4A22">
        <w:rPr>
          <w:noProof/>
        </w:rPr>
        <w:t>błą</w:t>
      </w:r>
      <w:r w:rsidR="00310D36" w:rsidRPr="009A4A22">
        <w:rPr>
          <w:noProof/>
        </w:rPr>
        <w:t>d informacje online</w:t>
      </w:r>
      <w:r w:rsidR="00BE6F6D" w:rsidRPr="009A4A22">
        <w:rPr>
          <w:noProof/>
        </w:rPr>
        <w:t xml:space="preserve"> i</w:t>
      </w:r>
      <w:r w:rsidR="00BE6F6D">
        <w:rPr>
          <w:noProof/>
        </w:rPr>
        <w:t> </w:t>
      </w:r>
      <w:r w:rsidR="00BE6F6D" w:rsidRPr="009A4A22">
        <w:rPr>
          <w:noProof/>
        </w:rPr>
        <w:t>zwo</w:t>
      </w:r>
      <w:r w:rsidR="00310D36" w:rsidRPr="009A4A22">
        <w:rPr>
          <w:noProof/>
        </w:rPr>
        <w:t>dnicze interfejsy uniemożliwiające im podejmowanie świadomych decyzji</w:t>
      </w:r>
      <w:r w:rsidR="00BE6F6D" w:rsidRPr="009A4A22">
        <w:rPr>
          <w:noProof/>
        </w:rPr>
        <w:t xml:space="preserve"> o</w:t>
      </w:r>
      <w:r w:rsidR="00BE6F6D">
        <w:rPr>
          <w:noProof/>
        </w:rPr>
        <w:t> </w:t>
      </w:r>
      <w:r w:rsidR="00BE6F6D" w:rsidRPr="009A4A22">
        <w:rPr>
          <w:noProof/>
        </w:rPr>
        <w:t>zak</w:t>
      </w:r>
      <w:r w:rsidR="00310D36" w:rsidRPr="009A4A22">
        <w:rPr>
          <w:noProof/>
        </w:rPr>
        <w:t>upie. Konieczne jest zatem doprecyzowanie, że spory wynikłe</w:t>
      </w:r>
      <w:r w:rsidR="00BE6F6D" w:rsidRPr="009A4A22">
        <w:rPr>
          <w:noProof/>
        </w:rPr>
        <w:t xml:space="preserve"> w</w:t>
      </w:r>
      <w:r w:rsidR="00BE6F6D">
        <w:rPr>
          <w:noProof/>
        </w:rPr>
        <w:t> </w:t>
      </w:r>
      <w:r w:rsidR="00BE6F6D" w:rsidRPr="009A4A22">
        <w:rPr>
          <w:noProof/>
        </w:rPr>
        <w:t>zwi</w:t>
      </w:r>
      <w:r w:rsidR="00310D36" w:rsidRPr="009A4A22">
        <w:rPr>
          <w:noProof/>
        </w:rPr>
        <w:t>ązku</w:t>
      </w:r>
      <w:r w:rsidR="00BE6F6D" w:rsidRPr="009A4A22">
        <w:rPr>
          <w:noProof/>
        </w:rPr>
        <w:t xml:space="preserve"> z</w:t>
      </w:r>
      <w:r w:rsidR="00BE6F6D">
        <w:rPr>
          <w:noProof/>
        </w:rPr>
        <w:t> </w:t>
      </w:r>
      <w:r w:rsidR="00BE6F6D" w:rsidRPr="009A4A22">
        <w:rPr>
          <w:noProof/>
        </w:rPr>
        <w:t>umo</w:t>
      </w:r>
      <w:r w:rsidR="00310D36" w:rsidRPr="009A4A22">
        <w:rPr>
          <w:noProof/>
        </w:rPr>
        <w:t>wą sprzedaży towarów lub umową</w:t>
      </w:r>
      <w:r w:rsidR="00BE6F6D" w:rsidRPr="009A4A22">
        <w:rPr>
          <w:noProof/>
        </w:rPr>
        <w:t xml:space="preserve"> o</w:t>
      </w:r>
      <w:r w:rsidR="00BE6F6D">
        <w:rPr>
          <w:noProof/>
        </w:rPr>
        <w:t> </w:t>
      </w:r>
      <w:r w:rsidR="00BE6F6D" w:rsidRPr="009A4A22">
        <w:rPr>
          <w:noProof/>
        </w:rPr>
        <w:t>świ</w:t>
      </w:r>
      <w:r w:rsidR="00310D36" w:rsidRPr="009A4A22">
        <w:rPr>
          <w:noProof/>
        </w:rPr>
        <w:t>adczenie usług mogą dotyczyć także treści</w:t>
      </w:r>
      <w:r w:rsidR="00BE6F6D" w:rsidRPr="009A4A22">
        <w:rPr>
          <w:noProof/>
        </w:rPr>
        <w:t xml:space="preserve"> i</w:t>
      </w:r>
      <w:r w:rsidR="00BE6F6D">
        <w:rPr>
          <w:noProof/>
        </w:rPr>
        <w:t> </w:t>
      </w:r>
      <w:r w:rsidR="00BE6F6D" w:rsidRPr="009A4A22">
        <w:rPr>
          <w:noProof/>
        </w:rPr>
        <w:t>usł</w:t>
      </w:r>
      <w:r w:rsidR="00310D36" w:rsidRPr="009A4A22">
        <w:rPr>
          <w:noProof/>
        </w:rPr>
        <w:t>ug cyfrowych, oraz rozszerzenie zakresu stosowania dyrektywy 2011/13/UE, aby oprócz rozstrzygania sporów umownych, konsumenci mogli również dochodzić roszczeń</w:t>
      </w:r>
      <w:r w:rsidR="00BE6F6D" w:rsidRPr="009A4A22">
        <w:rPr>
          <w:noProof/>
        </w:rPr>
        <w:t xml:space="preserve"> z</w:t>
      </w:r>
      <w:r w:rsidR="00BE6F6D">
        <w:rPr>
          <w:noProof/>
        </w:rPr>
        <w:t> </w:t>
      </w:r>
      <w:r w:rsidR="00BE6F6D" w:rsidRPr="009A4A22">
        <w:rPr>
          <w:noProof/>
        </w:rPr>
        <w:t>tyt</w:t>
      </w:r>
      <w:r w:rsidR="00310D36" w:rsidRPr="009A4A22">
        <w:rPr>
          <w:noProof/>
        </w:rPr>
        <w:t>ułu szkodzących im praktyk przedumownych, niezależnie od tego, czy później związali się umową.</w:t>
      </w:r>
    </w:p>
    <w:p w14:paraId="2E0F767A" w14:textId="279179DD" w:rsidR="00AD769E" w:rsidRPr="009A4A22" w:rsidRDefault="001755F8" w:rsidP="001755F8">
      <w:pPr>
        <w:pStyle w:val="ManualConsidrant"/>
        <w:rPr>
          <w:noProof/>
        </w:rPr>
      </w:pPr>
      <w:r w:rsidRPr="001755F8">
        <w:t>(5)</w:t>
      </w:r>
      <w:r w:rsidRPr="001755F8">
        <w:tab/>
      </w:r>
      <w:r w:rsidR="00AD769E" w:rsidRPr="009A4A22">
        <w:rPr>
          <w:noProof/>
        </w:rPr>
        <w:t>Ponadto dyrektywa 2011/13/UE powinna również obejmować prawa konsumentów wynikające</w:t>
      </w:r>
      <w:r w:rsidR="00BE6F6D" w:rsidRPr="009A4A22">
        <w:rPr>
          <w:noProof/>
        </w:rPr>
        <w:t xml:space="preserve"> z</w:t>
      </w:r>
      <w:r w:rsidR="00BE6F6D">
        <w:rPr>
          <w:noProof/>
        </w:rPr>
        <w:t> </w:t>
      </w:r>
      <w:r w:rsidR="00BE6F6D" w:rsidRPr="009A4A22">
        <w:rPr>
          <w:noProof/>
        </w:rPr>
        <w:t>prz</w:t>
      </w:r>
      <w:r w:rsidR="00AD769E" w:rsidRPr="009A4A22">
        <w:rPr>
          <w:noProof/>
        </w:rPr>
        <w:t>episów Unii regulujących relacje między konsumentami</w:t>
      </w:r>
      <w:r w:rsidR="00BE6F6D" w:rsidRPr="009A4A22">
        <w:rPr>
          <w:noProof/>
        </w:rPr>
        <w:t xml:space="preserve"> a</w:t>
      </w:r>
      <w:r w:rsidR="00BE6F6D">
        <w:rPr>
          <w:noProof/>
        </w:rPr>
        <w:t> </w:t>
      </w:r>
      <w:r w:rsidR="00BE6F6D" w:rsidRPr="009A4A22">
        <w:rPr>
          <w:noProof/>
        </w:rPr>
        <w:t>prz</w:t>
      </w:r>
      <w:r w:rsidR="00AD769E" w:rsidRPr="009A4A22">
        <w:rPr>
          <w:noProof/>
        </w:rPr>
        <w:t>edsiębiorcami</w:t>
      </w:r>
      <w:r w:rsidR="00BE6F6D" w:rsidRPr="009A4A22">
        <w:rPr>
          <w:noProof/>
        </w:rPr>
        <w:t xml:space="preserve"> w</w:t>
      </w:r>
      <w:r w:rsidR="00BE6F6D">
        <w:rPr>
          <w:noProof/>
        </w:rPr>
        <w:t> </w:t>
      </w:r>
      <w:r w:rsidR="00BE6F6D" w:rsidRPr="009A4A22">
        <w:rPr>
          <w:noProof/>
        </w:rPr>
        <w:t>syt</w:t>
      </w:r>
      <w:r w:rsidR="00AD769E" w:rsidRPr="009A4A22">
        <w:rPr>
          <w:noProof/>
        </w:rPr>
        <w:t>uacjach, gdy nie ma między nimi relacji</w:t>
      </w:r>
      <w:r w:rsidR="00BE6F6D" w:rsidRPr="009A4A22">
        <w:rPr>
          <w:noProof/>
        </w:rPr>
        <w:t xml:space="preserve"> o</w:t>
      </w:r>
      <w:r w:rsidR="00BE6F6D">
        <w:rPr>
          <w:noProof/>
        </w:rPr>
        <w:t> </w:t>
      </w:r>
      <w:r w:rsidR="00BE6F6D" w:rsidRPr="009A4A22">
        <w:rPr>
          <w:noProof/>
        </w:rPr>
        <w:t>cha</w:t>
      </w:r>
      <w:r w:rsidR="00AD769E" w:rsidRPr="009A4A22">
        <w:rPr>
          <w:noProof/>
        </w:rPr>
        <w:t>rakterze umownym,</w:t>
      </w:r>
      <w:r w:rsidR="00BE6F6D" w:rsidRPr="009A4A22">
        <w:rPr>
          <w:noProof/>
        </w:rPr>
        <w:t xml:space="preserve"> w</w:t>
      </w:r>
      <w:r w:rsidR="00BE6F6D">
        <w:rPr>
          <w:noProof/>
        </w:rPr>
        <w:t> </w:t>
      </w:r>
      <w:r w:rsidR="00BE6F6D" w:rsidRPr="009A4A22">
        <w:rPr>
          <w:noProof/>
        </w:rPr>
        <w:t>odn</w:t>
      </w:r>
      <w:r w:rsidR="00AD769E" w:rsidRPr="009A4A22">
        <w:rPr>
          <w:noProof/>
        </w:rPr>
        <w:t>iesieniu do prawa dostępu do towarów</w:t>
      </w:r>
      <w:r w:rsidR="00BE6F6D" w:rsidRPr="009A4A22">
        <w:rPr>
          <w:noProof/>
        </w:rPr>
        <w:t xml:space="preserve"> i</w:t>
      </w:r>
      <w:r w:rsidR="00BE6F6D">
        <w:rPr>
          <w:noProof/>
        </w:rPr>
        <w:t> </w:t>
      </w:r>
      <w:r w:rsidR="00BE6F6D" w:rsidRPr="009A4A22">
        <w:rPr>
          <w:noProof/>
        </w:rPr>
        <w:t>usł</w:t>
      </w:r>
      <w:r w:rsidR="00AD769E" w:rsidRPr="009A4A22">
        <w:rPr>
          <w:noProof/>
        </w:rPr>
        <w:t>ug</w:t>
      </w:r>
      <w:r w:rsidR="00BE6F6D" w:rsidRPr="009A4A22">
        <w:rPr>
          <w:noProof/>
        </w:rPr>
        <w:t xml:space="preserve"> i</w:t>
      </w:r>
      <w:r w:rsidR="00BE6F6D">
        <w:rPr>
          <w:noProof/>
        </w:rPr>
        <w:t> </w:t>
      </w:r>
      <w:r w:rsidR="00BE6F6D" w:rsidRPr="009A4A22">
        <w:rPr>
          <w:noProof/>
        </w:rPr>
        <w:t>pła</w:t>
      </w:r>
      <w:r w:rsidR="00AD769E" w:rsidRPr="009A4A22">
        <w:rPr>
          <w:noProof/>
        </w:rPr>
        <w:t>tności za towary</w:t>
      </w:r>
      <w:r w:rsidR="00BE6F6D" w:rsidRPr="009A4A22">
        <w:rPr>
          <w:noProof/>
        </w:rPr>
        <w:t xml:space="preserve"> i</w:t>
      </w:r>
      <w:r w:rsidR="00BE6F6D">
        <w:rPr>
          <w:noProof/>
        </w:rPr>
        <w:t> </w:t>
      </w:r>
      <w:r w:rsidR="00BE6F6D" w:rsidRPr="009A4A22">
        <w:rPr>
          <w:noProof/>
        </w:rPr>
        <w:t>usł</w:t>
      </w:r>
      <w:r w:rsidR="00AD769E" w:rsidRPr="009A4A22">
        <w:rPr>
          <w:noProof/>
        </w:rPr>
        <w:t>ugi bez dyskryminacji ze względu na obywatelstwo, miejsce zamieszkania lub siedzibę, jak określono</w:t>
      </w:r>
      <w:r w:rsidR="00BE6F6D" w:rsidRPr="009A4A22">
        <w:rPr>
          <w:noProof/>
        </w:rPr>
        <w:t xml:space="preserve"> w</w:t>
      </w:r>
      <w:r w:rsidR="00BE6F6D">
        <w:rPr>
          <w:noProof/>
        </w:rPr>
        <w:t> </w:t>
      </w:r>
      <w:r w:rsidR="00BE6F6D" w:rsidRPr="00BE6F6D">
        <w:rPr>
          <w:noProof/>
        </w:rPr>
        <w:t>art</w:t>
      </w:r>
      <w:r w:rsidR="00AD769E" w:rsidRPr="00BE6F6D">
        <w:rPr>
          <w:noProof/>
        </w:rPr>
        <w:t>.</w:t>
      </w:r>
      <w:r w:rsidR="00BE6F6D" w:rsidRPr="00BE6F6D">
        <w:rPr>
          <w:noProof/>
        </w:rPr>
        <w:t> </w:t>
      </w:r>
      <w:r w:rsidR="00AD769E" w:rsidRPr="00BE6F6D">
        <w:rPr>
          <w:noProof/>
        </w:rPr>
        <w:t>4</w:t>
      </w:r>
      <w:r w:rsidR="00BE6F6D" w:rsidRPr="009A4A22">
        <w:rPr>
          <w:noProof/>
        </w:rPr>
        <w:t xml:space="preserve"> i</w:t>
      </w:r>
      <w:r w:rsidR="00BE6F6D">
        <w:rPr>
          <w:noProof/>
        </w:rPr>
        <w:t> </w:t>
      </w:r>
      <w:r w:rsidR="00BE6F6D" w:rsidRPr="009A4A22">
        <w:rPr>
          <w:noProof/>
        </w:rPr>
        <w:t>5</w:t>
      </w:r>
      <w:r w:rsidR="00AD769E" w:rsidRPr="009A4A22">
        <w:rPr>
          <w:noProof/>
        </w:rPr>
        <w:t xml:space="preserve"> rozporządzenia Parlamentu Europejskiego</w:t>
      </w:r>
      <w:r w:rsidR="00BE6F6D" w:rsidRPr="009A4A22">
        <w:rPr>
          <w:noProof/>
        </w:rPr>
        <w:t xml:space="preserve"> i</w:t>
      </w:r>
      <w:r w:rsidR="00BE6F6D">
        <w:rPr>
          <w:noProof/>
        </w:rPr>
        <w:t> </w:t>
      </w:r>
      <w:r w:rsidR="00BE6F6D" w:rsidRPr="009A4A22">
        <w:rPr>
          <w:noProof/>
        </w:rPr>
        <w:t>Rad</w:t>
      </w:r>
      <w:r w:rsidR="00AD769E" w:rsidRPr="009A4A22">
        <w:rPr>
          <w:noProof/>
        </w:rPr>
        <w:t>y (UE) 2018/302</w:t>
      </w:r>
      <w:r w:rsidR="00AD769E" w:rsidRPr="009A4A22">
        <w:rPr>
          <w:rStyle w:val="FootnoteReference"/>
          <w:noProof/>
        </w:rPr>
        <w:footnoteReference w:id="31"/>
      </w:r>
      <w:r w:rsidR="00AD769E" w:rsidRPr="009A4A22">
        <w:rPr>
          <w:noProof/>
        </w:rPr>
        <w:t>;</w:t>
      </w:r>
      <w:r w:rsidR="00BE6F6D" w:rsidRPr="009A4A22">
        <w:rPr>
          <w:noProof/>
        </w:rPr>
        <w:t xml:space="preserve"> w</w:t>
      </w:r>
      <w:r w:rsidR="00BE6F6D">
        <w:rPr>
          <w:noProof/>
        </w:rPr>
        <w:t> </w:t>
      </w:r>
      <w:r w:rsidR="00BE6F6D" w:rsidRPr="009A4A22">
        <w:rPr>
          <w:noProof/>
        </w:rPr>
        <w:t>odn</w:t>
      </w:r>
      <w:r w:rsidR="00AD769E" w:rsidRPr="009A4A22">
        <w:rPr>
          <w:noProof/>
        </w:rPr>
        <w:t>iesieniu do prawa do otwarcia</w:t>
      </w:r>
      <w:r w:rsidR="00BE6F6D" w:rsidRPr="009A4A22">
        <w:rPr>
          <w:noProof/>
        </w:rPr>
        <w:t xml:space="preserve"> i</w:t>
      </w:r>
      <w:r w:rsidR="00BE6F6D">
        <w:rPr>
          <w:noProof/>
        </w:rPr>
        <w:t> </w:t>
      </w:r>
      <w:r w:rsidR="00BE6F6D" w:rsidRPr="009A4A22">
        <w:rPr>
          <w:noProof/>
        </w:rPr>
        <w:t>prz</w:t>
      </w:r>
      <w:r w:rsidR="00AD769E" w:rsidRPr="009A4A22">
        <w:rPr>
          <w:noProof/>
        </w:rPr>
        <w:t>enoszenia rachunków bankowych, jak określono</w:t>
      </w:r>
      <w:r w:rsidR="00BE6F6D" w:rsidRPr="009A4A22">
        <w:rPr>
          <w:noProof/>
        </w:rPr>
        <w:t xml:space="preserve"> w</w:t>
      </w:r>
      <w:r w:rsidR="00BE6F6D">
        <w:rPr>
          <w:noProof/>
        </w:rPr>
        <w:t> </w:t>
      </w:r>
      <w:r w:rsidR="00BE6F6D" w:rsidRPr="00BE6F6D">
        <w:rPr>
          <w:noProof/>
        </w:rPr>
        <w:t>art</w:t>
      </w:r>
      <w:r w:rsidR="00AD769E" w:rsidRPr="00BE6F6D">
        <w:rPr>
          <w:noProof/>
        </w:rPr>
        <w:t>.</w:t>
      </w:r>
      <w:r w:rsidR="00BE6F6D" w:rsidRPr="00BE6F6D">
        <w:rPr>
          <w:noProof/>
        </w:rPr>
        <w:t> </w:t>
      </w:r>
      <w:r w:rsidR="00AD769E" w:rsidRPr="00BE6F6D">
        <w:rPr>
          <w:noProof/>
        </w:rPr>
        <w:t>9</w:t>
      </w:r>
      <w:r w:rsidR="00AD769E" w:rsidRPr="009A4A22">
        <w:rPr>
          <w:noProof/>
        </w:rPr>
        <w:t>, 10, 11</w:t>
      </w:r>
      <w:r w:rsidR="00BE6F6D" w:rsidRPr="009A4A22">
        <w:rPr>
          <w:noProof/>
        </w:rPr>
        <w:t xml:space="preserve"> i</w:t>
      </w:r>
      <w:r w:rsidR="00BE6F6D">
        <w:rPr>
          <w:noProof/>
        </w:rPr>
        <w:t> </w:t>
      </w:r>
      <w:r w:rsidR="00BE6F6D" w:rsidRPr="009A4A22">
        <w:rPr>
          <w:noProof/>
        </w:rPr>
        <w:t>1</w:t>
      </w:r>
      <w:r w:rsidR="00AD769E" w:rsidRPr="009A4A22">
        <w:rPr>
          <w:noProof/>
        </w:rPr>
        <w:t>6 dyrektywy Parlamentu Europejskiego</w:t>
      </w:r>
      <w:r w:rsidR="00BE6F6D" w:rsidRPr="009A4A22">
        <w:rPr>
          <w:noProof/>
        </w:rPr>
        <w:t xml:space="preserve"> i</w:t>
      </w:r>
      <w:r w:rsidR="00BE6F6D">
        <w:rPr>
          <w:noProof/>
        </w:rPr>
        <w:t> </w:t>
      </w:r>
      <w:r w:rsidR="00BE6F6D" w:rsidRPr="009A4A22">
        <w:rPr>
          <w:noProof/>
        </w:rPr>
        <w:t>Rad</w:t>
      </w:r>
      <w:r w:rsidR="00AD769E" w:rsidRPr="009A4A22">
        <w:rPr>
          <w:noProof/>
        </w:rPr>
        <w:t>y 2014/92/UE</w:t>
      </w:r>
      <w:r w:rsidR="00AD769E" w:rsidRPr="009A4A22">
        <w:rPr>
          <w:rStyle w:val="FootnoteReference"/>
          <w:noProof/>
        </w:rPr>
        <w:footnoteReference w:id="32"/>
      </w:r>
      <w:r w:rsidR="00AD769E" w:rsidRPr="009A4A22">
        <w:rPr>
          <w:noProof/>
        </w:rPr>
        <w:t>, oraz prawa do niedyskryminacji, jak określono</w:t>
      </w:r>
      <w:r w:rsidR="00BE6F6D" w:rsidRPr="009A4A22">
        <w:rPr>
          <w:noProof/>
        </w:rPr>
        <w:t xml:space="preserve"> w</w:t>
      </w:r>
      <w:r w:rsidR="00BE6F6D">
        <w:rPr>
          <w:noProof/>
        </w:rPr>
        <w:t> </w:t>
      </w:r>
      <w:r w:rsidR="00BE6F6D" w:rsidRPr="00BE6F6D">
        <w:rPr>
          <w:noProof/>
        </w:rPr>
        <w:t>art</w:t>
      </w:r>
      <w:r w:rsidR="00AD769E" w:rsidRPr="00BE6F6D">
        <w:rPr>
          <w:noProof/>
        </w:rPr>
        <w:t>.</w:t>
      </w:r>
      <w:r w:rsidR="00BE6F6D" w:rsidRPr="00BE6F6D">
        <w:rPr>
          <w:noProof/>
        </w:rPr>
        <w:t> </w:t>
      </w:r>
      <w:r w:rsidR="00AD769E" w:rsidRPr="00BE6F6D">
        <w:rPr>
          <w:noProof/>
        </w:rPr>
        <w:t>1</w:t>
      </w:r>
      <w:r w:rsidR="00AD769E" w:rsidRPr="009A4A22">
        <w:rPr>
          <w:noProof/>
        </w:rPr>
        <w:t>5 tej dyrektywy;</w:t>
      </w:r>
      <w:r w:rsidR="00BE6F6D" w:rsidRPr="009A4A22">
        <w:rPr>
          <w:noProof/>
        </w:rPr>
        <w:t xml:space="preserve"> w</w:t>
      </w:r>
      <w:r w:rsidR="00BE6F6D">
        <w:rPr>
          <w:noProof/>
        </w:rPr>
        <w:t> </w:t>
      </w:r>
      <w:r w:rsidR="00BE6F6D" w:rsidRPr="009A4A22">
        <w:rPr>
          <w:noProof/>
        </w:rPr>
        <w:t>odn</w:t>
      </w:r>
      <w:r w:rsidR="00AD769E" w:rsidRPr="009A4A22">
        <w:rPr>
          <w:noProof/>
        </w:rPr>
        <w:t>iesieniu do prawa do uzyskania przejrzystych informacji</w:t>
      </w:r>
      <w:r w:rsidR="00BE6F6D" w:rsidRPr="009A4A22">
        <w:rPr>
          <w:noProof/>
        </w:rPr>
        <w:t xml:space="preserve"> o</w:t>
      </w:r>
      <w:r w:rsidR="00BE6F6D">
        <w:rPr>
          <w:noProof/>
        </w:rPr>
        <w:t> </w:t>
      </w:r>
      <w:r w:rsidR="00BE6F6D" w:rsidRPr="009A4A22">
        <w:rPr>
          <w:noProof/>
        </w:rPr>
        <w:t>war</w:t>
      </w:r>
      <w:r w:rsidR="00AD769E" w:rsidRPr="009A4A22">
        <w:rPr>
          <w:noProof/>
        </w:rPr>
        <w:t>unkach detalicznych rozmów</w:t>
      </w:r>
      <w:r w:rsidR="00BE6F6D" w:rsidRPr="009A4A22">
        <w:rPr>
          <w:noProof/>
        </w:rPr>
        <w:t xml:space="preserve"> i</w:t>
      </w:r>
      <w:r w:rsidR="00BE6F6D">
        <w:rPr>
          <w:noProof/>
        </w:rPr>
        <w:t> </w:t>
      </w:r>
      <w:r w:rsidR="00BE6F6D" w:rsidRPr="009A4A22">
        <w:rPr>
          <w:noProof/>
        </w:rPr>
        <w:t>wia</w:t>
      </w:r>
      <w:r w:rsidR="00AD769E" w:rsidRPr="009A4A22">
        <w:rPr>
          <w:noProof/>
        </w:rPr>
        <w:t>domości SMS</w:t>
      </w:r>
      <w:r w:rsidR="00BE6F6D" w:rsidRPr="009A4A22">
        <w:rPr>
          <w:noProof/>
        </w:rPr>
        <w:t xml:space="preserve"> w</w:t>
      </w:r>
      <w:r w:rsidR="00BE6F6D">
        <w:rPr>
          <w:noProof/>
        </w:rPr>
        <w:t> </w:t>
      </w:r>
      <w:r w:rsidR="00BE6F6D" w:rsidRPr="009A4A22">
        <w:rPr>
          <w:noProof/>
        </w:rPr>
        <w:t>roa</w:t>
      </w:r>
      <w:r w:rsidR="00AD769E" w:rsidRPr="009A4A22">
        <w:rPr>
          <w:noProof/>
        </w:rPr>
        <w:t>mingu, jak określono</w:t>
      </w:r>
      <w:r w:rsidR="00BE6F6D" w:rsidRPr="009A4A22">
        <w:rPr>
          <w:noProof/>
        </w:rPr>
        <w:t xml:space="preserve"> w</w:t>
      </w:r>
      <w:r w:rsidR="00BE6F6D">
        <w:rPr>
          <w:noProof/>
        </w:rPr>
        <w:t> </w:t>
      </w:r>
      <w:r w:rsidR="00BE6F6D" w:rsidRPr="00BE6F6D">
        <w:rPr>
          <w:noProof/>
        </w:rPr>
        <w:t>art</w:t>
      </w:r>
      <w:r w:rsidR="00AD769E" w:rsidRPr="00BE6F6D">
        <w:rPr>
          <w:noProof/>
        </w:rPr>
        <w:t>.</w:t>
      </w:r>
      <w:r w:rsidR="00BE6F6D" w:rsidRPr="00BE6F6D">
        <w:rPr>
          <w:noProof/>
        </w:rPr>
        <w:t> </w:t>
      </w:r>
      <w:r w:rsidR="00AD769E" w:rsidRPr="00BE6F6D">
        <w:rPr>
          <w:noProof/>
        </w:rPr>
        <w:t>1</w:t>
      </w:r>
      <w:r w:rsidR="00AD769E" w:rsidRPr="009A4A22">
        <w:rPr>
          <w:noProof/>
        </w:rPr>
        <w:t>3, 14</w:t>
      </w:r>
      <w:r w:rsidR="00BE6F6D" w:rsidRPr="009A4A22">
        <w:rPr>
          <w:noProof/>
        </w:rPr>
        <w:t xml:space="preserve"> i</w:t>
      </w:r>
      <w:r w:rsidR="00BE6F6D">
        <w:rPr>
          <w:noProof/>
        </w:rPr>
        <w:t> </w:t>
      </w:r>
      <w:r w:rsidR="00BE6F6D" w:rsidRPr="009A4A22">
        <w:rPr>
          <w:noProof/>
        </w:rPr>
        <w:t>1</w:t>
      </w:r>
      <w:r w:rsidR="00AD769E" w:rsidRPr="009A4A22">
        <w:rPr>
          <w:noProof/>
        </w:rPr>
        <w:t>5 rozporządzenia Parlamentu Europejskiego</w:t>
      </w:r>
      <w:r w:rsidR="00BE6F6D" w:rsidRPr="009A4A22">
        <w:rPr>
          <w:noProof/>
        </w:rPr>
        <w:t xml:space="preserve"> i</w:t>
      </w:r>
      <w:r w:rsidR="00BE6F6D">
        <w:rPr>
          <w:noProof/>
        </w:rPr>
        <w:t> </w:t>
      </w:r>
      <w:r w:rsidR="00BE6F6D" w:rsidRPr="009A4A22">
        <w:rPr>
          <w:noProof/>
        </w:rPr>
        <w:t>Rad</w:t>
      </w:r>
      <w:r w:rsidR="00AD769E" w:rsidRPr="009A4A22">
        <w:rPr>
          <w:noProof/>
        </w:rPr>
        <w:t>y (UE) 2022/612</w:t>
      </w:r>
      <w:r w:rsidR="00AD769E" w:rsidRPr="009A4A22">
        <w:rPr>
          <w:rStyle w:val="FootnoteReference"/>
          <w:noProof/>
        </w:rPr>
        <w:footnoteReference w:id="33"/>
      </w:r>
      <w:r w:rsidR="00AD769E" w:rsidRPr="009A4A22">
        <w:rPr>
          <w:noProof/>
        </w:rPr>
        <w:t xml:space="preserve"> oraz</w:t>
      </w:r>
      <w:r w:rsidR="00BE6F6D" w:rsidRPr="009A4A22">
        <w:rPr>
          <w:noProof/>
        </w:rPr>
        <w:t xml:space="preserve"> w</w:t>
      </w:r>
      <w:r w:rsidR="00BE6F6D">
        <w:rPr>
          <w:noProof/>
        </w:rPr>
        <w:t> </w:t>
      </w:r>
      <w:r w:rsidR="00BE6F6D" w:rsidRPr="009A4A22">
        <w:rPr>
          <w:noProof/>
        </w:rPr>
        <w:t>odn</w:t>
      </w:r>
      <w:r w:rsidR="00AD769E" w:rsidRPr="009A4A22">
        <w:rPr>
          <w:noProof/>
        </w:rPr>
        <w:t>iesieniu do przejrzystości cen</w:t>
      </w:r>
      <w:r w:rsidR="00BE6F6D" w:rsidRPr="009A4A22">
        <w:rPr>
          <w:noProof/>
        </w:rPr>
        <w:t xml:space="preserve"> w</w:t>
      </w:r>
      <w:r w:rsidR="00BE6F6D">
        <w:rPr>
          <w:noProof/>
        </w:rPr>
        <w:t> </w:t>
      </w:r>
      <w:r w:rsidR="00BE6F6D" w:rsidRPr="009A4A22">
        <w:rPr>
          <w:noProof/>
        </w:rPr>
        <w:t>tar</w:t>
      </w:r>
      <w:r w:rsidR="00AD769E" w:rsidRPr="009A4A22">
        <w:rPr>
          <w:noProof/>
        </w:rPr>
        <w:t>yfach</w:t>
      </w:r>
      <w:r w:rsidR="00BE6F6D" w:rsidRPr="009A4A22">
        <w:rPr>
          <w:noProof/>
        </w:rPr>
        <w:t xml:space="preserve"> i</w:t>
      </w:r>
      <w:r w:rsidR="00BE6F6D">
        <w:rPr>
          <w:noProof/>
        </w:rPr>
        <w:t> </w:t>
      </w:r>
      <w:r w:rsidR="00BE6F6D" w:rsidRPr="009A4A22">
        <w:rPr>
          <w:noProof/>
        </w:rPr>
        <w:t>sta</w:t>
      </w:r>
      <w:r w:rsidR="00AD769E" w:rsidRPr="009A4A22">
        <w:rPr>
          <w:noProof/>
        </w:rPr>
        <w:t>wkach lotniczych, jak określono</w:t>
      </w:r>
      <w:r w:rsidR="00BE6F6D" w:rsidRPr="009A4A22">
        <w:rPr>
          <w:noProof/>
        </w:rPr>
        <w:t xml:space="preserve"> w</w:t>
      </w:r>
      <w:r w:rsidR="00BE6F6D">
        <w:rPr>
          <w:noProof/>
        </w:rPr>
        <w:t> </w:t>
      </w:r>
      <w:r w:rsidR="00BE6F6D" w:rsidRPr="00BE6F6D">
        <w:rPr>
          <w:noProof/>
        </w:rPr>
        <w:t>art</w:t>
      </w:r>
      <w:r w:rsidR="00AD769E" w:rsidRPr="00BE6F6D">
        <w:rPr>
          <w:noProof/>
        </w:rPr>
        <w:t>.</w:t>
      </w:r>
      <w:r w:rsidR="00BE6F6D" w:rsidRPr="00BE6F6D">
        <w:rPr>
          <w:noProof/>
        </w:rPr>
        <w:t> </w:t>
      </w:r>
      <w:r w:rsidR="00AD769E" w:rsidRPr="00BE6F6D">
        <w:rPr>
          <w:noProof/>
        </w:rPr>
        <w:t>2</w:t>
      </w:r>
      <w:r w:rsidR="00AD769E" w:rsidRPr="009A4A22">
        <w:rPr>
          <w:noProof/>
        </w:rPr>
        <w:t>3 rozporządzenia Parlamentu Europejskiego</w:t>
      </w:r>
      <w:r w:rsidR="00BE6F6D" w:rsidRPr="009A4A22">
        <w:rPr>
          <w:noProof/>
        </w:rPr>
        <w:t xml:space="preserve"> i</w:t>
      </w:r>
      <w:r w:rsidR="00BE6F6D">
        <w:rPr>
          <w:noProof/>
        </w:rPr>
        <w:t> </w:t>
      </w:r>
      <w:r w:rsidR="00BE6F6D" w:rsidRPr="009A4A22">
        <w:rPr>
          <w:noProof/>
        </w:rPr>
        <w:t>Rad</w:t>
      </w:r>
      <w:r w:rsidR="00AD769E" w:rsidRPr="009A4A22">
        <w:rPr>
          <w:noProof/>
        </w:rPr>
        <w:t xml:space="preserve">y (WE) </w:t>
      </w:r>
      <w:r w:rsidR="00AD769E" w:rsidRPr="00BE6F6D">
        <w:rPr>
          <w:noProof/>
        </w:rPr>
        <w:t>nr</w:t>
      </w:r>
      <w:r w:rsidR="00BE6F6D" w:rsidRPr="00BE6F6D">
        <w:rPr>
          <w:noProof/>
        </w:rPr>
        <w:t> </w:t>
      </w:r>
      <w:r w:rsidR="00AD769E" w:rsidRPr="00BE6F6D">
        <w:rPr>
          <w:noProof/>
        </w:rPr>
        <w:t>1</w:t>
      </w:r>
      <w:r w:rsidR="00AD769E" w:rsidRPr="009A4A22">
        <w:rPr>
          <w:noProof/>
        </w:rPr>
        <w:t>008/2008</w:t>
      </w:r>
      <w:r w:rsidR="00AD769E" w:rsidRPr="009A4A22">
        <w:rPr>
          <w:rStyle w:val="FootnoteReference"/>
          <w:noProof/>
        </w:rPr>
        <w:footnoteReference w:id="34"/>
      </w:r>
      <w:r w:rsidR="00AD769E" w:rsidRPr="009A4A22">
        <w:rPr>
          <w:noProof/>
        </w:rPr>
        <w:t>. Należy zatem przewidzieć możliwość rozstrzygania</w:t>
      </w:r>
      <w:r w:rsidR="00BE6F6D" w:rsidRPr="009A4A22">
        <w:rPr>
          <w:noProof/>
        </w:rPr>
        <w:t xml:space="preserve"> w</w:t>
      </w:r>
      <w:r w:rsidR="00BE6F6D">
        <w:rPr>
          <w:noProof/>
        </w:rPr>
        <w:t> </w:t>
      </w:r>
      <w:r w:rsidR="00BE6F6D" w:rsidRPr="009A4A22">
        <w:rPr>
          <w:noProof/>
        </w:rPr>
        <w:t>pos</w:t>
      </w:r>
      <w:r w:rsidR="00AD769E" w:rsidRPr="009A4A22">
        <w:rPr>
          <w:noProof/>
        </w:rPr>
        <w:t xml:space="preserve">tępowaniach ADR sporów dotyczących tych kategorii praw konsumentów. </w:t>
      </w:r>
    </w:p>
    <w:p w14:paraId="2240F8F8" w14:textId="08079FFE" w:rsidR="00AD769E" w:rsidRPr="009A4A22" w:rsidRDefault="001755F8" w:rsidP="001755F8">
      <w:pPr>
        <w:pStyle w:val="ManualConsidrant"/>
        <w:rPr>
          <w:noProof/>
        </w:rPr>
      </w:pPr>
      <w:r w:rsidRPr="001755F8">
        <w:t>(6)</w:t>
      </w:r>
      <w:r w:rsidRPr="001755F8">
        <w:tab/>
      </w:r>
      <w:r w:rsidR="00AD769E" w:rsidRPr="009A4A22">
        <w:rPr>
          <w:noProof/>
        </w:rPr>
        <w:t>Państwa członkowskie powinny mieć prawo do stosowania postępowań ADR również</w:t>
      </w:r>
      <w:r w:rsidR="00BE6F6D" w:rsidRPr="009A4A22">
        <w:rPr>
          <w:noProof/>
        </w:rPr>
        <w:t xml:space="preserve"> w</w:t>
      </w:r>
      <w:r w:rsidR="00BE6F6D">
        <w:rPr>
          <w:noProof/>
        </w:rPr>
        <w:t> </w:t>
      </w:r>
      <w:r w:rsidR="00BE6F6D" w:rsidRPr="009A4A22">
        <w:rPr>
          <w:noProof/>
        </w:rPr>
        <w:t>spo</w:t>
      </w:r>
      <w:r w:rsidR="00AD769E" w:rsidRPr="009A4A22">
        <w:rPr>
          <w:noProof/>
        </w:rPr>
        <w:t>rach dotyczących innych praw pozaumownych wynikających</w:t>
      </w:r>
      <w:r w:rsidR="00BE6F6D" w:rsidRPr="009A4A22">
        <w:rPr>
          <w:noProof/>
        </w:rPr>
        <w:t xml:space="preserve"> z</w:t>
      </w:r>
      <w:r w:rsidR="00BE6F6D">
        <w:rPr>
          <w:noProof/>
        </w:rPr>
        <w:t> </w:t>
      </w:r>
      <w:r w:rsidR="00BE6F6D" w:rsidRPr="009A4A22">
        <w:rPr>
          <w:noProof/>
        </w:rPr>
        <w:t>pra</w:t>
      </w:r>
      <w:r w:rsidR="00AD769E" w:rsidRPr="009A4A22">
        <w:rPr>
          <w:noProof/>
        </w:rPr>
        <w:t>wa Unii,</w:t>
      </w:r>
      <w:r w:rsidR="00BE6F6D" w:rsidRPr="009A4A22">
        <w:rPr>
          <w:noProof/>
        </w:rPr>
        <w:t xml:space="preserve"> w</w:t>
      </w:r>
      <w:r w:rsidR="00BE6F6D">
        <w:rPr>
          <w:noProof/>
        </w:rPr>
        <w:t> </w:t>
      </w:r>
      <w:r w:rsidR="00BE6F6D" w:rsidRPr="009A4A22">
        <w:rPr>
          <w:noProof/>
        </w:rPr>
        <w:t>tym</w:t>
      </w:r>
      <w:r w:rsidR="00AD769E" w:rsidRPr="009A4A22">
        <w:rPr>
          <w:noProof/>
        </w:rPr>
        <w:t xml:space="preserve"> praw wynikających</w:t>
      </w:r>
      <w:r w:rsidR="00BE6F6D" w:rsidRPr="009A4A22">
        <w:rPr>
          <w:noProof/>
        </w:rPr>
        <w:t xml:space="preserve"> z</w:t>
      </w:r>
      <w:r w:rsidR="00BE6F6D">
        <w:rPr>
          <w:noProof/>
        </w:rPr>
        <w:t> </w:t>
      </w:r>
      <w:r w:rsidR="00BE6F6D" w:rsidRPr="00BE6F6D">
        <w:rPr>
          <w:noProof/>
        </w:rPr>
        <w:t>art</w:t>
      </w:r>
      <w:r w:rsidR="00AD769E" w:rsidRPr="00BE6F6D">
        <w:rPr>
          <w:noProof/>
        </w:rPr>
        <w:t>.</w:t>
      </w:r>
      <w:r w:rsidR="00BE6F6D" w:rsidRPr="00BE6F6D">
        <w:rPr>
          <w:noProof/>
        </w:rPr>
        <w:t> </w:t>
      </w:r>
      <w:r w:rsidR="00AD769E" w:rsidRPr="00BE6F6D">
        <w:rPr>
          <w:noProof/>
        </w:rPr>
        <w:t>1</w:t>
      </w:r>
      <w:r w:rsidR="00AD769E" w:rsidRPr="009A4A22">
        <w:rPr>
          <w:noProof/>
        </w:rPr>
        <w:t>01</w:t>
      </w:r>
      <w:r w:rsidR="00BE6F6D" w:rsidRPr="009A4A22">
        <w:rPr>
          <w:noProof/>
        </w:rPr>
        <w:t xml:space="preserve"> i</w:t>
      </w:r>
      <w:r w:rsidR="00BE6F6D">
        <w:rPr>
          <w:noProof/>
        </w:rPr>
        <w:t> </w:t>
      </w:r>
      <w:r w:rsidR="00BE6F6D" w:rsidRPr="009A4A22">
        <w:rPr>
          <w:noProof/>
        </w:rPr>
        <w:t>1</w:t>
      </w:r>
      <w:r w:rsidR="00AD769E" w:rsidRPr="009A4A22">
        <w:rPr>
          <w:noProof/>
        </w:rPr>
        <w:t>02 TFUE lub praw użytkowników przewidzianych</w:t>
      </w:r>
      <w:r w:rsidR="00BE6F6D" w:rsidRPr="009A4A22">
        <w:rPr>
          <w:noProof/>
        </w:rPr>
        <w:t xml:space="preserve"> w</w:t>
      </w:r>
      <w:r w:rsidR="00BE6F6D">
        <w:rPr>
          <w:noProof/>
        </w:rPr>
        <w:t> </w:t>
      </w:r>
      <w:r w:rsidR="00BE6F6D" w:rsidRPr="009A4A22">
        <w:rPr>
          <w:noProof/>
        </w:rPr>
        <w:t>roz</w:t>
      </w:r>
      <w:r w:rsidR="00AD769E" w:rsidRPr="009A4A22">
        <w:rPr>
          <w:noProof/>
        </w:rPr>
        <w:t>porządzeniu Parlamentu Europejskiego</w:t>
      </w:r>
      <w:r w:rsidR="00BE6F6D" w:rsidRPr="009A4A22">
        <w:rPr>
          <w:noProof/>
        </w:rPr>
        <w:t xml:space="preserve"> i</w:t>
      </w:r>
      <w:r w:rsidR="00BE6F6D">
        <w:rPr>
          <w:noProof/>
        </w:rPr>
        <w:t> </w:t>
      </w:r>
      <w:r w:rsidR="00BE6F6D" w:rsidRPr="009A4A22">
        <w:rPr>
          <w:noProof/>
        </w:rPr>
        <w:t>Rad</w:t>
      </w:r>
      <w:r w:rsidR="00AD769E" w:rsidRPr="009A4A22">
        <w:rPr>
          <w:noProof/>
        </w:rPr>
        <w:t>y (UE) 2022/1925</w:t>
      </w:r>
      <w:r w:rsidR="00B9795E" w:rsidRPr="009A4A22">
        <w:rPr>
          <w:rStyle w:val="FootnoteReference"/>
          <w:noProof/>
        </w:rPr>
        <w:footnoteReference w:id="35"/>
      </w:r>
      <w:r w:rsidR="00AD769E" w:rsidRPr="009A4A22">
        <w:rPr>
          <w:noProof/>
        </w:rPr>
        <w:t xml:space="preserve">. Pozostaje to bez uszczerbku dla egzekwowania tych przepisów na drodze publicznoprawnej. </w:t>
      </w:r>
    </w:p>
    <w:p w14:paraId="33FDEEE1" w14:textId="1B22258F" w:rsidR="00946C4E" w:rsidRPr="009A4A22" w:rsidRDefault="001755F8" w:rsidP="001755F8">
      <w:pPr>
        <w:pStyle w:val="ManualConsidrant"/>
        <w:rPr>
          <w:noProof/>
        </w:rPr>
      </w:pPr>
      <w:r w:rsidRPr="001755F8">
        <w:t>(7)</w:t>
      </w:r>
      <w:r w:rsidRPr="001755F8">
        <w:tab/>
      </w:r>
      <w:r w:rsidR="00946C4E" w:rsidRPr="009A4A22">
        <w:rPr>
          <w:noProof/>
        </w:rPr>
        <w:t>W przypadku powstania sporu między dostawcą platformy internetowej</w:t>
      </w:r>
      <w:r w:rsidR="00BE6F6D" w:rsidRPr="009A4A22">
        <w:rPr>
          <w:noProof/>
        </w:rPr>
        <w:t xml:space="preserve"> a</w:t>
      </w:r>
      <w:r w:rsidR="00BE6F6D">
        <w:rPr>
          <w:noProof/>
        </w:rPr>
        <w:t> </w:t>
      </w:r>
      <w:r w:rsidR="00BE6F6D" w:rsidRPr="009A4A22">
        <w:rPr>
          <w:noProof/>
        </w:rPr>
        <w:t>odb</w:t>
      </w:r>
      <w:r w:rsidR="00946C4E" w:rsidRPr="009A4A22">
        <w:rPr>
          <w:noProof/>
        </w:rPr>
        <w:t>iorcą tej usługi</w:t>
      </w:r>
      <w:r w:rsidR="00BE6F6D" w:rsidRPr="009A4A22">
        <w:rPr>
          <w:noProof/>
        </w:rPr>
        <w:t xml:space="preserve"> w</w:t>
      </w:r>
      <w:r w:rsidR="00BE6F6D">
        <w:rPr>
          <w:noProof/>
        </w:rPr>
        <w:t> </w:t>
      </w:r>
      <w:r w:rsidR="00BE6F6D" w:rsidRPr="009A4A22">
        <w:rPr>
          <w:noProof/>
        </w:rPr>
        <w:t>zwi</w:t>
      </w:r>
      <w:r w:rsidR="00946C4E" w:rsidRPr="009A4A22">
        <w:rPr>
          <w:noProof/>
        </w:rPr>
        <w:t>ązku</w:t>
      </w:r>
      <w:r w:rsidR="00BE6F6D" w:rsidRPr="009A4A22">
        <w:rPr>
          <w:noProof/>
        </w:rPr>
        <w:t xml:space="preserve"> z</w:t>
      </w:r>
      <w:r w:rsidR="00BE6F6D">
        <w:rPr>
          <w:noProof/>
        </w:rPr>
        <w:t> </w:t>
      </w:r>
      <w:r w:rsidR="00BE6F6D" w:rsidRPr="009A4A22">
        <w:rPr>
          <w:noProof/>
        </w:rPr>
        <w:t>dzi</w:t>
      </w:r>
      <w:r w:rsidR="00946C4E" w:rsidRPr="009A4A22">
        <w:rPr>
          <w:noProof/>
        </w:rPr>
        <w:t xml:space="preserve">ałaniami tego dostawcy polegającymi na moderowaniu nielegalnych lub szkodliwych treści na jego platformie, do tego sporu zastosowanie ma </w:t>
      </w:r>
      <w:r w:rsidR="00946C4E" w:rsidRPr="00BE6F6D">
        <w:rPr>
          <w:noProof/>
        </w:rPr>
        <w:t>art.</w:t>
      </w:r>
      <w:r w:rsidR="00BE6F6D" w:rsidRPr="00BE6F6D">
        <w:rPr>
          <w:noProof/>
        </w:rPr>
        <w:t> </w:t>
      </w:r>
      <w:r w:rsidR="00946C4E" w:rsidRPr="00BE6F6D">
        <w:rPr>
          <w:noProof/>
        </w:rPr>
        <w:t>2</w:t>
      </w:r>
      <w:r w:rsidR="00946C4E" w:rsidRPr="009A4A22">
        <w:rPr>
          <w:noProof/>
        </w:rPr>
        <w:t>1 rozporządzenia Parlamentu Europejskiego</w:t>
      </w:r>
      <w:r w:rsidR="00BE6F6D" w:rsidRPr="009A4A22">
        <w:rPr>
          <w:noProof/>
        </w:rPr>
        <w:t xml:space="preserve"> i</w:t>
      </w:r>
      <w:r w:rsidR="00BE6F6D">
        <w:rPr>
          <w:noProof/>
        </w:rPr>
        <w:t> </w:t>
      </w:r>
      <w:r w:rsidR="00BE6F6D" w:rsidRPr="009A4A22">
        <w:rPr>
          <w:noProof/>
        </w:rPr>
        <w:t>Rad</w:t>
      </w:r>
      <w:r w:rsidR="00946C4E" w:rsidRPr="009A4A22">
        <w:rPr>
          <w:noProof/>
        </w:rPr>
        <w:t>y (UE) 2022/2065</w:t>
      </w:r>
      <w:r w:rsidR="00E2659F" w:rsidRPr="009A4A22">
        <w:rPr>
          <w:rStyle w:val="FootnoteReference"/>
          <w:noProof/>
        </w:rPr>
        <w:footnoteReference w:id="36"/>
      </w:r>
      <w:r w:rsidR="00BE6F6D" w:rsidRPr="009A4A22">
        <w:rPr>
          <w:noProof/>
        </w:rPr>
        <w:t xml:space="preserve"> w</w:t>
      </w:r>
      <w:r w:rsidR="00BE6F6D">
        <w:rPr>
          <w:noProof/>
        </w:rPr>
        <w:t> </w:t>
      </w:r>
      <w:r w:rsidR="00BE6F6D" w:rsidRPr="009A4A22">
        <w:rPr>
          <w:noProof/>
        </w:rPr>
        <w:t>spr</w:t>
      </w:r>
      <w:r w:rsidR="00946C4E" w:rsidRPr="009A4A22">
        <w:rPr>
          <w:noProof/>
        </w:rPr>
        <w:t>awie pozasądowego rozstrzygania sporów, zgodnie</w:t>
      </w:r>
      <w:r w:rsidR="00BE6F6D" w:rsidRPr="009A4A22">
        <w:rPr>
          <w:noProof/>
        </w:rPr>
        <w:t xml:space="preserve"> z</w:t>
      </w:r>
      <w:r w:rsidR="00BE6F6D">
        <w:rPr>
          <w:noProof/>
        </w:rPr>
        <w:t> </w:t>
      </w:r>
      <w:r w:rsidR="00BE6F6D" w:rsidRPr="00BE6F6D">
        <w:rPr>
          <w:noProof/>
        </w:rPr>
        <w:t>art</w:t>
      </w:r>
      <w:r w:rsidR="00946C4E" w:rsidRPr="00BE6F6D">
        <w:rPr>
          <w:noProof/>
        </w:rPr>
        <w:t>.</w:t>
      </w:r>
      <w:r w:rsidR="00BE6F6D" w:rsidRPr="00BE6F6D">
        <w:rPr>
          <w:noProof/>
        </w:rPr>
        <w:t> </w:t>
      </w:r>
      <w:r w:rsidR="00946C4E" w:rsidRPr="00BE6F6D">
        <w:rPr>
          <w:noProof/>
        </w:rPr>
        <w:t>2</w:t>
      </w:r>
      <w:r w:rsidR="00946C4E" w:rsidRPr="009A4A22">
        <w:rPr>
          <w:noProof/>
        </w:rPr>
        <w:t xml:space="preserve"> </w:t>
      </w:r>
      <w:r w:rsidR="00946C4E" w:rsidRPr="00BE6F6D">
        <w:rPr>
          <w:noProof/>
        </w:rPr>
        <w:t>ust.</w:t>
      </w:r>
      <w:r w:rsidR="00BE6F6D" w:rsidRPr="00BE6F6D">
        <w:rPr>
          <w:noProof/>
        </w:rPr>
        <w:t> </w:t>
      </w:r>
      <w:r w:rsidR="00946C4E" w:rsidRPr="00BE6F6D">
        <w:rPr>
          <w:noProof/>
        </w:rPr>
        <w:t>4</w:t>
      </w:r>
      <w:r w:rsidR="00946C4E" w:rsidRPr="009A4A22">
        <w:rPr>
          <w:noProof/>
        </w:rPr>
        <w:t xml:space="preserve"> tego rozporządzenia, ponieważ przepis ten określa bardziej szczegółowe zasady dotyczące takich sporów.</w:t>
      </w:r>
    </w:p>
    <w:p w14:paraId="319C02FC" w14:textId="2D185FDB" w:rsidR="000E4D0D" w:rsidRPr="009A4A22" w:rsidRDefault="001755F8" w:rsidP="001755F8">
      <w:pPr>
        <w:pStyle w:val="ManualConsidrant"/>
        <w:rPr>
          <w:noProof/>
        </w:rPr>
      </w:pPr>
      <w:r w:rsidRPr="001755F8">
        <w:t>(8)</w:t>
      </w:r>
      <w:r w:rsidRPr="001755F8">
        <w:tab/>
      </w:r>
      <w:r w:rsidR="000E4D0D" w:rsidRPr="009A4A22">
        <w:rPr>
          <w:noProof/>
        </w:rPr>
        <w:t xml:space="preserve">Należy odpowiednio dostosować definicje „sporu krajowego” i „sporu transgranicznego”, aby odzwierciedlały one rozszerzenie zakresu dyrektywy 2013/11/UE. </w:t>
      </w:r>
    </w:p>
    <w:p w14:paraId="492B3C90" w14:textId="10C33D6E" w:rsidR="001D27F9" w:rsidRPr="009A4A22" w:rsidRDefault="001755F8" w:rsidP="001755F8">
      <w:pPr>
        <w:pStyle w:val="ManualConsidrant"/>
        <w:rPr>
          <w:noProof/>
        </w:rPr>
      </w:pPr>
      <w:r w:rsidRPr="001755F8">
        <w:t>(9)</w:t>
      </w:r>
      <w:r w:rsidRPr="001755F8">
        <w:tab/>
      </w:r>
      <w:r w:rsidR="00310D36" w:rsidRPr="009A4A22">
        <w:rPr>
          <w:noProof/>
        </w:rPr>
        <w:t>Aby zapewnić odpowiednie dostosowanie postępowań ADR do epoki cyfrowej,</w:t>
      </w:r>
      <w:r w:rsidR="00BE6F6D" w:rsidRPr="009A4A22">
        <w:rPr>
          <w:noProof/>
        </w:rPr>
        <w:t xml:space="preserve"> w</w:t>
      </w:r>
      <w:r w:rsidR="00BE6F6D">
        <w:rPr>
          <w:noProof/>
        </w:rPr>
        <w:t> </w:t>
      </w:r>
      <w:r w:rsidR="00BE6F6D" w:rsidRPr="009A4A22">
        <w:rPr>
          <w:noProof/>
        </w:rPr>
        <w:t>któ</w:t>
      </w:r>
      <w:r w:rsidR="00310D36" w:rsidRPr="009A4A22">
        <w:rPr>
          <w:noProof/>
        </w:rPr>
        <w:t>rej komunikacja odbywa się online, również</w:t>
      </w:r>
      <w:r w:rsidR="00BE6F6D" w:rsidRPr="009A4A22">
        <w:rPr>
          <w:noProof/>
        </w:rPr>
        <w:t xml:space="preserve"> w</w:t>
      </w:r>
      <w:r w:rsidR="00BE6F6D">
        <w:rPr>
          <w:noProof/>
        </w:rPr>
        <w:t> </w:t>
      </w:r>
      <w:r w:rsidR="00BE6F6D" w:rsidRPr="009A4A22">
        <w:rPr>
          <w:noProof/>
        </w:rPr>
        <w:t>kon</w:t>
      </w:r>
      <w:r w:rsidR="00310D36" w:rsidRPr="009A4A22">
        <w:rPr>
          <w:noProof/>
        </w:rPr>
        <w:t>tekście transgranicznym, konieczne jest zapewnienie wszystkim konsumentom szybkich</w:t>
      </w:r>
      <w:r w:rsidR="00BE6F6D" w:rsidRPr="009A4A22">
        <w:rPr>
          <w:noProof/>
        </w:rPr>
        <w:t xml:space="preserve"> i</w:t>
      </w:r>
      <w:r w:rsidR="00BE6F6D">
        <w:rPr>
          <w:noProof/>
        </w:rPr>
        <w:t> </w:t>
      </w:r>
      <w:r w:rsidR="00BE6F6D" w:rsidRPr="009A4A22">
        <w:rPr>
          <w:noProof/>
        </w:rPr>
        <w:t>ucz</w:t>
      </w:r>
      <w:r w:rsidR="00310D36" w:rsidRPr="009A4A22">
        <w:rPr>
          <w:noProof/>
        </w:rPr>
        <w:t>ciwych procedur. Państwa członkowskie powinny zapewnić, aby podmioty ADR mające siedzibę na ich terytorium miały kompetencje do prowadzenia postępowań</w:t>
      </w:r>
      <w:r w:rsidR="00BE6F6D" w:rsidRPr="009A4A22">
        <w:rPr>
          <w:noProof/>
        </w:rPr>
        <w:t xml:space="preserve"> w</w:t>
      </w:r>
      <w:r w:rsidR="00BE6F6D">
        <w:rPr>
          <w:noProof/>
        </w:rPr>
        <w:t> </w:t>
      </w:r>
      <w:r w:rsidR="00BE6F6D" w:rsidRPr="009A4A22">
        <w:rPr>
          <w:noProof/>
        </w:rPr>
        <w:t>zak</w:t>
      </w:r>
      <w:r w:rsidR="00310D36" w:rsidRPr="009A4A22">
        <w:rPr>
          <w:noProof/>
        </w:rPr>
        <w:t>resie rozstrzygania sporów między przedsiębiorcami mającymi siedzibę poza Unią</w:t>
      </w:r>
      <w:r w:rsidR="00BE6F6D" w:rsidRPr="009A4A22">
        <w:rPr>
          <w:noProof/>
        </w:rPr>
        <w:t xml:space="preserve"> a</w:t>
      </w:r>
      <w:r w:rsidR="00BE6F6D">
        <w:rPr>
          <w:noProof/>
        </w:rPr>
        <w:t> </w:t>
      </w:r>
      <w:r w:rsidR="00BE6F6D" w:rsidRPr="009A4A22">
        <w:rPr>
          <w:noProof/>
        </w:rPr>
        <w:t>kon</w:t>
      </w:r>
      <w:r w:rsidR="00310D36" w:rsidRPr="009A4A22">
        <w:rPr>
          <w:noProof/>
        </w:rPr>
        <w:t>sumentami zamieszkałymi na terytorium tych państw członkowskich.</w:t>
      </w:r>
    </w:p>
    <w:p w14:paraId="1ABF30F0" w14:textId="566F8EB9" w:rsidR="0090418A" w:rsidRPr="009A4A22" w:rsidRDefault="001755F8" w:rsidP="001755F8">
      <w:pPr>
        <w:pStyle w:val="ManualConsidrant"/>
        <w:rPr>
          <w:noProof/>
        </w:rPr>
      </w:pPr>
      <w:r w:rsidRPr="001755F8">
        <w:t>(10)</w:t>
      </w:r>
      <w:r w:rsidRPr="001755F8">
        <w:tab/>
      </w:r>
      <w:r w:rsidR="00310D36" w:rsidRPr="009A4A22">
        <w:rPr>
          <w:noProof/>
        </w:rPr>
        <w:t>Państwa członkowskie powinny zapewnić, aby ADR umożliwiały konsumentowi inicjowanie</w:t>
      </w:r>
      <w:r w:rsidR="00BE6F6D" w:rsidRPr="009A4A22">
        <w:rPr>
          <w:noProof/>
        </w:rPr>
        <w:t xml:space="preserve"> i</w:t>
      </w:r>
      <w:r w:rsidR="00BE6F6D">
        <w:rPr>
          <w:noProof/>
        </w:rPr>
        <w:t> </w:t>
      </w:r>
      <w:r w:rsidR="00BE6F6D" w:rsidRPr="009A4A22">
        <w:rPr>
          <w:noProof/>
        </w:rPr>
        <w:t>śle</w:t>
      </w:r>
      <w:r w:rsidR="00310D36" w:rsidRPr="009A4A22">
        <w:rPr>
          <w:noProof/>
        </w:rPr>
        <w:t>dzenie postępowań również offline, jeżeli zostanie wyrażone takie zapotrzebowanie. Należy również zapewnić, aby</w:t>
      </w:r>
      <w:r w:rsidR="00BE6F6D" w:rsidRPr="009A4A22">
        <w:rPr>
          <w:noProof/>
        </w:rPr>
        <w:t xml:space="preserve"> w</w:t>
      </w:r>
      <w:r w:rsidR="00BE6F6D">
        <w:rPr>
          <w:noProof/>
        </w:rPr>
        <w:t> </w:t>
      </w:r>
      <w:r w:rsidR="00BE6F6D" w:rsidRPr="009A4A22">
        <w:rPr>
          <w:noProof/>
        </w:rPr>
        <w:t>prz</w:t>
      </w:r>
      <w:r w:rsidR="00310D36" w:rsidRPr="009A4A22">
        <w:rPr>
          <w:noProof/>
        </w:rPr>
        <w:t>ypadku udostępnienia narzędzi cyfrowych mogli</w:t>
      </w:r>
      <w:r w:rsidR="00BE6F6D" w:rsidRPr="009A4A22">
        <w:rPr>
          <w:noProof/>
        </w:rPr>
        <w:t xml:space="preserve"> z</w:t>
      </w:r>
      <w:r w:rsidR="00BE6F6D">
        <w:rPr>
          <w:noProof/>
        </w:rPr>
        <w:t> </w:t>
      </w:r>
      <w:r w:rsidR="00BE6F6D" w:rsidRPr="009A4A22">
        <w:rPr>
          <w:noProof/>
        </w:rPr>
        <w:t>nic</w:t>
      </w:r>
      <w:r w:rsidR="00310D36" w:rsidRPr="009A4A22">
        <w:rPr>
          <w:noProof/>
        </w:rPr>
        <w:t>h korzystać wszyscy konsumenci,</w:t>
      </w:r>
      <w:r w:rsidR="00BE6F6D" w:rsidRPr="009A4A22">
        <w:rPr>
          <w:noProof/>
        </w:rPr>
        <w:t xml:space="preserve"> w</w:t>
      </w:r>
      <w:r w:rsidR="00BE6F6D">
        <w:rPr>
          <w:noProof/>
        </w:rPr>
        <w:t> </w:t>
      </w:r>
      <w:r w:rsidR="00BE6F6D" w:rsidRPr="009A4A22">
        <w:rPr>
          <w:noProof/>
        </w:rPr>
        <w:t>tym</w:t>
      </w:r>
      <w:r w:rsidR="00310D36" w:rsidRPr="009A4A22">
        <w:rPr>
          <w:noProof/>
        </w:rPr>
        <w:t xml:space="preserve"> konsumenci podatni na zagrożenia</w:t>
      </w:r>
      <w:r w:rsidR="00BE6F6D" w:rsidRPr="009A4A22">
        <w:rPr>
          <w:noProof/>
        </w:rPr>
        <w:t xml:space="preserve"> i</w:t>
      </w:r>
      <w:r w:rsidR="00BE6F6D">
        <w:rPr>
          <w:noProof/>
        </w:rPr>
        <w:t> </w:t>
      </w:r>
      <w:r w:rsidR="00BE6F6D" w:rsidRPr="009A4A22">
        <w:rPr>
          <w:noProof/>
        </w:rPr>
        <w:t>oso</w:t>
      </w:r>
      <w:r w:rsidR="00310D36" w:rsidRPr="009A4A22">
        <w:rPr>
          <w:noProof/>
        </w:rPr>
        <w:t>by</w:t>
      </w:r>
      <w:r w:rsidR="00BE6F6D" w:rsidRPr="009A4A22">
        <w:rPr>
          <w:noProof/>
        </w:rPr>
        <w:t xml:space="preserve"> o</w:t>
      </w:r>
      <w:r w:rsidR="00BE6F6D">
        <w:rPr>
          <w:noProof/>
        </w:rPr>
        <w:t> </w:t>
      </w:r>
      <w:r w:rsidR="00BE6F6D" w:rsidRPr="009A4A22">
        <w:rPr>
          <w:noProof/>
        </w:rPr>
        <w:t>róż</w:t>
      </w:r>
      <w:r w:rsidR="00310D36" w:rsidRPr="009A4A22">
        <w:rPr>
          <w:noProof/>
        </w:rPr>
        <w:t xml:space="preserve">nym poziomie umiejętności cyfrowych. Państwa członkowskie powinny zapewnić, aby zawsze – na żądanie – możliwy był dostęp do kontroli zautomatyzowanych procedur przez osobę fizyczną. </w:t>
      </w:r>
    </w:p>
    <w:p w14:paraId="33C52BBF" w14:textId="7E81D905" w:rsidR="0002624B" w:rsidRPr="009A4A22" w:rsidRDefault="001755F8" w:rsidP="001755F8">
      <w:pPr>
        <w:pStyle w:val="ManualConsidrant"/>
        <w:rPr>
          <w:noProof/>
        </w:rPr>
      </w:pPr>
      <w:r w:rsidRPr="001755F8">
        <w:t>(11)</w:t>
      </w:r>
      <w:r w:rsidRPr="001755F8">
        <w:tab/>
      </w:r>
      <w:r w:rsidR="00310D36" w:rsidRPr="009A4A22">
        <w:rPr>
          <w:noProof/>
        </w:rPr>
        <w:t>Państwa członkowskie powinny również umożliwić podmiotom ADR łączenie podobnych spraw przeciwko jednemu przedsiębiorcy, tak aby wyniki ADR były spójniejsze wobec konsumentów objętych tą samą nielegalną praktyką oraz bardziej efektywne kosztowo dla podmiotów ADR</w:t>
      </w:r>
      <w:r w:rsidR="00BE6F6D" w:rsidRPr="009A4A22">
        <w:rPr>
          <w:noProof/>
        </w:rPr>
        <w:t xml:space="preserve"> i</w:t>
      </w:r>
      <w:r w:rsidR="00BE6F6D">
        <w:rPr>
          <w:noProof/>
        </w:rPr>
        <w:t> </w:t>
      </w:r>
      <w:r w:rsidR="00BE6F6D" w:rsidRPr="009A4A22">
        <w:rPr>
          <w:noProof/>
        </w:rPr>
        <w:t>prz</w:t>
      </w:r>
      <w:r w:rsidR="00310D36" w:rsidRPr="009A4A22">
        <w:rPr>
          <w:noProof/>
        </w:rPr>
        <w:t>edsiębiorców. Konsumentów należy</w:t>
      </w:r>
      <w:r w:rsidR="00BE6F6D" w:rsidRPr="009A4A22">
        <w:rPr>
          <w:noProof/>
        </w:rPr>
        <w:t xml:space="preserve"> o</w:t>
      </w:r>
      <w:r w:rsidR="00BE6F6D">
        <w:rPr>
          <w:noProof/>
        </w:rPr>
        <w:t> </w:t>
      </w:r>
      <w:r w:rsidR="00BE6F6D" w:rsidRPr="009A4A22">
        <w:rPr>
          <w:noProof/>
        </w:rPr>
        <w:t>tym</w:t>
      </w:r>
      <w:r w:rsidR="00310D36" w:rsidRPr="009A4A22">
        <w:rPr>
          <w:noProof/>
        </w:rPr>
        <w:t xml:space="preserve"> odpowiednio informować</w:t>
      </w:r>
      <w:r w:rsidR="00BE6F6D" w:rsidRPr="009A4A22">
        <w:rPr>
          <w:noProof/>
        </w:rPr>
        <w:t xml:space="preserve"> i</w:t>
      </w:r>
      <w:r w:rsidR="00BE6F6D">
        <w:rPr>
          <w:noProof/>
        </w:rPr>
        <w:t> </w:t>
      </w:r>
      <w:r w:rsidR="00BE6F6D" w:rsidRPr="009A4A22">
        <w:rPr>
          <w:noProof/>
        </w:rPr>
        <w:t>umo</w:t>
      </w:r>
      <w:r w:rsidR="00310D36" w:rsidRPr="009A4A22">
        <w:rPr>
          <w:noProof/>
        </w:rPr>
        <w:t>żliwić im odmowę połączenia ich sporu</w:t>
      </w:r>
      <w:r w:rsidR="00BE6F6D" w:rsidRPr="009A4A22">
        <w:rPr>
          <w:noProof/>
        </w:rPr>
        <w:t xml:space="preserve"> z</w:t>
      </w:r>
      <w:r w:rsidR="00BE6F6D">
        <w:rPr>
          <w:noProof/>
        </w:rPr>
        <w:t> </w:t>
      </w:r>
      <w:r w:rsidR="00BE6F6D" w:rsidRPr="009A4A22">
        <w:rPr>
          <w:noProof/>
        </w:rPr>
        <w:t>inn</w:t>
      </w:r>
      <w:r w:rsidR="00310D36" w:rsidRPr="009A4A22">
        <w:rPr>
          <w:noProof/>
        </w:rPr>
        <w:t>ymi.</w:t>
      </w:r>
    </w:p>
    <w:p w14:paraId="2E2C1FF2" w14:textId="23AB5252" w:rsidR="006A7624" w:rsidRPr="009A4A22" w:rsidRDefault="001755F8" w:rsidP="001755F8">
      <w:pPr>
        <w:pStyle w:val="ManualConsidrant"/>
        <w:rPr>
          <w:noProof/>
        </w:rPr>
      </w:pPr>
      <w:r w:rsidRPr="001755F8">
        <w:t>(12)</w:t>
      </w:r>
      <w:r w:rsidRPr="001755F8">
        <w:tab/>
      </w:r>
      <w:r w:rsidR="00310D36" w:rsidRPr="009A4A22">
        <w:rPr>
          <w:noProof/>
        </w:rPr>
        <w:t>Państwa członkowskie nie powinny również zezwalać na wprowadzanie nieproporcjonalnych zasad co do powodów, na które podmiot ADR może się powołać</w:t>
      </w:r>
      <w:r w:rsidR="00BE6F6D" w:rsidRPr="009A4A22">
        <w:rPr>
          <w:noProof/>
        </w:rPr>
        <w:t xml:space="preserve"> w</w:t>
      </w:r>
      <w:r w:rsidR="00BE6F6D">
        <w:rPr>
          <w:noProof/>
        </w:rPr>
        <w:t> </w:t>
      </w:r>
      <w:r w:rsidR="00BE6F6D" w:rsidRPr="009A4A22">
        <w:rPr>
          <w:noProof/>
        </w:rPr>
        <w:t>cel</w:t>
      </w:r>
      <w:r w:rsidR="00310D36" w:rsidRPr="009A4A22">
        <w:rPr>
          <w:noProof/>
        </w:rPr>
        <w:t>u odmowy rozpatrzenia sporu, takich jak obowiązek, aby po pierwszym negatywnym kontakcie</w:t>
      </w:r>
      <w:r w:rsidR="00BE6F6D" w:rsidRPr="009A4A22">
        <w:rPr>
          <w:noProof/>
        </w:rPr>
        <w:t xml:space="preserve"> z</w:t>
      </w:r>
      <w:r w:rsidR="00BE6F6D">
        <w:rPr>
          <w:noProof/>
        </w:rPr>
        <w:t> </w:t>
      </w:r>
      <w:r w:rsidR="00BE6F6D" w:rsidRPr="009A4A22">
        <w:rPr>
          <w:noProof/>
        </w:rPr>
        <w:t>dzi</w:t>
      </w:r>
      <w:r w:rsidR="00310D36" w:rsidRPr="009A4A22">
        <w:rPr>
          <w:noProof/>
        </w:rPr>
        <w:t>ałem skarg skorzystać</w:t>
      </w:r>
      <w:r w:rsidR="00BE6F6D" w:rsidRPr="009A4A22">
        <w:rPr>
          <w:noProof/>
        </w:rPr>
        <w:t xml:space="preserve"> z</w:t>
      </w:r>
      <w:r w:rsidR="00BE6F6D">
        <w:rPr>
          <w:noProof/>
        </w:rPr>
        <w:t> </w:t>
      </w:r>
      <w:r w:rsidR="00BE6F6D" w:rsidRPr="009A4A22">
        <w:rPr>
          <w:noProof/>
        </w:rPr>
        <w:t>sys</w:t>
      </w:r>
      <w:r w:rsidR="00310D36" w:rsidRPr="009A4A22">
        <w:rPr>
          <w:noProof/>
        </w:rPr>
        <w:t>temu kaskadowego</w:t>
      </w:r>
      <w:r w:rsidR="00BE6F6D" w:rsidRPr="009A4A22">
        <w:rPr>
          <w:noProof/>
        </w:rPr>
        <w:t xml:space="preserve"> w</w:t>
      </w:r>
      <w:r w:rsidR="00BE6F6D">
        <w:rPr>
          <w:noProof/>
        </w:rPr>
        <w:t> </w:t>
      </w:r>
      <w:r w:rsidR="00BE6F6D" w:rsidRPr="009A4A22">
        <w:rPr>
          <w:noProof/>
        </w:rPr>
        <w:t>prz</w:t>
      </w:r>
      <w:r w:rsidR="00310D36" w:rsidRPr="009A4A22">
        <w:rPr>
          <w:noProof/>
        </w:rPr>
        <w:t>edsiębiorstwie lub obowiązek, aby wykazać, że skontaktowano się</w:t>
      </w:r>
      <w:r w:rsidR="00BE6F6D" w:rsidRPr="009A4A22">
        <w:rPr>
          <w:noProof/>
        </w:rPr>
        <w:t xml:space="preserve"> z</w:t>
      </w:r>
      <w:r w:rsidR="00BE6F6D">
        <w:rPr>
          <w:noProof/>
        </w:rPr>
        <w:t> </w:t>
      </w:r>
      <w:r w:rsidR="00BE6F6D" w:rsidRPr="009A4A22">
        <w:rPr>
          <w:noProof/>
        </w:rPr>
        <w:t>kon</w:t>
      </w:r>
      <w:r w:rsidR="00310D36" w:rsidRPr="009A4A22">
        <w:rPr>
          <w:noProof/>
        </w:rPr>
        <w:t>kretnym działem serwisu posprzedażnego przedsiębiorstwa.</w:t>
      </w:r>
    </w:p>
    <w:p w14:paraId="6DD24D6B" w14:textId="059441C2" w:rsidR="006A7624" w:rsidRPr="009A4A22" w:rsidRDefault="001755F8" w:rsidP="001755F8">
      <w:pPr>
        <w:pStyle w:val="ManualConsidrant"/>
        <w:rPr>
          <w:noProof/>
        </w:rPr>
      </w:pPr>
      <w:r w:rsidRPr="001755F8">
        <w:t>(13)</w:t>
      </w:r>
      <w:r w:rsidRPr="001755F8">
        <w:tab/>
      </w:r>
      <w:r w:rsidR="000D489F" w:rsidRPr="009A4A22">
        <w:rPr>
          <w:noProof/>
        </w:rPr>
        <w:t>Zgodnie</w:t>
      </w:r>
      <w:r w:rsidR="00BE6F6D" w:rsidRPr="009A4A22">
        <w:rPr>
          <w:noProof/>
        </w:rPr>
        <w:t xml:space="preserve"> z</w:t>
      </w:r>
      <w:r w:rsidR="00BE6F6D">
        <w:rPr>
          <w:noProof/>
        </w:rPr>
        <w:t> </w:t>
      </w:r>
      <w:r w:rsidR="00BE6F6D" w:rsidRPr="009A4A22">
        <w:rPr>
          <w:noProof/>
        </w:rPr>
        <w:t>dyr</w:t>
      </w:r>
      <w:r w:rsidR="000D489F" w:rsidRPr="009A4A22">
        <w:rPr>
          <w:noProof/>
        </w:rPr>
        <w:t>ektywą 2013/11/UE państwa członkowskie mogą – oprócz sektorowych przepisów unijnych, które przewidują obowiązkowy udział przedsiębiorców w ADR – wprowadzić przepisy krajowe, na mocy których udział przedsiębiorcy w ADR byłby obowiązkowy</w:t>
      </w:r>
      <w:r w:rsidR="00BE6F6D" w:rsidRPr="009A4A22">
        <w:rPr>
          <w:noProof/>
        </w:rPr>
        <w:t xml:space="preserve"> w</w:t>
      </w:r>
      <w:r w:rsidR="00BE6F6D">
        <w:rPr>
          <w:noProof/>
        </w:rPr>
        <w:t> </w:t>
      </w:r>
      <w:r w:rsidR="00BE6F6D" w:rsidRPr="009A4A22">
        <w:rPr>
          <w:noProof/>
        </w:rPr>
        <w:t>sek</w:t>
      </w:r>
      <w:r w:rsidR="000D489F" w:rsidRPr="009A4A22">
        <w:rPr>
          <w:noProof/>
        </w:rPr>
        <w:t>torach uznanych za odpowiednie. Aby zachęcać przedsiębiorców do udziału</w:t>
      </w:r>
      <w:r w:rsidR="00BE6F6D" w:rsidRPr="009A4A22">
        <w:rPr>
          <w:noProof/>
        </w:rPr>
        <w:t xml:space="preserve"> w</w:t>
      </w:r>
      <w:r w:rsidR="00BE6F6D">
        <w:rPr>
          <w:noProof/>
        </w:rPr>
        <w:t> </w:t>
      </w:r>
      <w:r w:rsidR="00BE6F6D" w:rsidRPr="009A4A22">
        <w:rPr>
          <w:noProof/>
        </w:rPr>
        <w:t>pos</w:t>
      </w:r>
      <w:r w:rsidR="000D489F" w:rsidRPr="009A4A22">
        <w:rPr>
          <w:noProof/>
        </w:rPr>
        <w:t>tępowaniach ADR oraz zapewnić terminowy</w:t>
      </w:r>
      <w:r w:rsidR="00BE6F6D" w:rsidRPr="009A4A22">
        <w:rPr>
          <w:noProof/>
        </w:rPr>
        <w:t xml:space="preserve"> i</w:t>
      </w:r>
      <w:r w:rsidR="00BE6F6D">
        <w:rPr>
          <w:noProof/>
        </w:rPr>
        <w:t> </w:t>
      </w:r>
      <w:r w:rsidR="00BE6F6D" w:rsidRPr="009A4A22">
        <w:rPr>
          <w:noProof/>
        </w:rPr>
        <w:t>spr</w:t>
      </w:r>
      <w:r w:rsidR="000D489F" w:rsidRPr="009A4A22">
        <w:rPr>
          <w:noProof/>
        </w:rPr>
        <w:t>awny przebieg tych postępowań, od przedsiębiorców należy wymagać udzielenia</w:t>
      </w:r>
      <w:r w:rsidR="00BE6F6D" w:rsidRPr="009A4A22">
        <w:rPr>
          <w:noProof/>
        </w:rPr>
        <w:t xml:space="preserve"> w</w:t>
      </w:r>
      <w:r w:rsidR="00BE6F6D">
        <w:rPr>
          <w:noProof/>
        </w:rPr>
        <w:t> </w:t>
      </w:r>
      <w:r w:rsidR="00BE6F6D" w:rsidRPr="009A4A22">
        <w:rPr>
          <w:noProof/>
        </w:rPr>
        <w:t>okr</w:t>
      </w:r>
      <w:r w:rsidR="000D489F" w:rsidRPr="009A4A22">
        <w:rPr>
          <w:noProof/>
        </w:rPr>
        <w:t>eślonym terminie odpowiedzi na pytanie podmiotów ADR, czy zamierzają wziąć udział</w:t>
      </w:r>
      <w:r w:rsidR="00BE6F6D" w:rsidRPr="009A4A22">
        <w:rPr>
          <w:noProof/>
        </w:rPr>
        <w:t xml:space="preserve"> w</w:t>
      </w:r>
      <w:r w:rsidR="00BE6F6D">
        <w:rPr>
          <w:noProof/>
        </w:rPr>
        <w:t> </w:t>
      </w:r>
      <w:r w:rsidR="00BE6F6D" w:rsidRPr="009A4A22">
        <w:rPr>
          <w:noProof/>
        </w:rPr>
        <w:t>pro</w:t>
      </w:r>
      <w:r w:rsidR="000D489F" w:rsidRPr="009A4A22">
        <w:rPr>
          <w:noProof/>
        </w:rPr>
        <w:t>ponowanym postępowaniu, zwłaszcza jeśli ich udział nie jest obowiązkowy.</w:t>
      </w:r>
    </w:p>
    <w:p w14:paraId="37F0FF27" w14:textId="05721B76" w:rsidR="006A7624" w:rsidRPr="009A4A22" w:rsidRDefault="001755F8" w:rsidP="001755F8">
      <w:pPr>
        <w:pStyle w:val="ManualConsidrant"/>
        <w:rPr>
          <w:noProof/>
        </w:rPr>
      </w:pPr>
      <w:r w:rsidRPr="001755F8">
        <w:t>(14)</w:t>
      </w:r>
      <w:r w:rsidRPr="001755F8">
        <w:tab/>
      </w:r>
      <w:r w:rsidR="00310D36" w:rsidRPr="009A4A22">
        <w:rPr>
          <w:noProof/>
        </w:rPr>
        <w:t>Aby ograniczyć wymogi</w:t>
      </w:r>
      <w:r w:rsidR="00BE6F6D" w:rsidRPr="009A4A22">
        <w:rPr>
          <w:noProof/>
        </w:rPr>
        <w:t xml:space="preserve"> w</w:t>
      </w:r>
      <w:r w:rsidR="00BE6F6D">
        <w:rPr>
          <w:noProof/>
        </w:rPr>
        <w:t> </w:t>
      </w:r>
      <w:r w:rsidR="00BE6F6D" w:rsidRPr="009A4A22">
        <w:rPr>
          <w:noProof/>
        </w:rPr>
        <w:t>zak</w:t>
      </w:r>
      <w:r w:rsidR="00310D36" w:rsidRPr="009A4A22">
        <w:rPr>
          <w:noProof/>
        </w:rPr>
        <w:t>resie informacji</w:t>
      </w:r>
      <w:r w:rsidR="00BE6F6D" w:rsidRPr="009A4A22">
        <w:rPr>
          <w:noProof/>
        </w:rPr>
        <w:t xml:space="preserve"> i</w:t>
      </w:r>
      <w:r w:rsidR="00BE6F6D">
        <w:rPr>
          <w:noProof/>
        </w:rPr>
        <w:t> </w:t>
      </w:r>
      <w:r w:rsidR="00BE6F6D" w:rsidRPr="009A4A22">
        <w:rPr>
          <w:noProof/>
        </w:rPr>
        <w:t>spr</w:t>
      </w:r>
      <w:r w:rsidR="00310D36" w:rsidRPr="009A4A22">
        <w:rPr>
          <w:noProof/>
        </w:rPr>
        <w:t>awozdawczości oraz ograniczyć koszty ponoszone przez podmioty ADR, właściwe organy krajowe</w:t>
      </w:r>
      <w:r w:rsidR="00BE6F6D" w:rsidRPr="009A4A22">
        <w:rPr>
          <w:noProof/>
        </w:rPr>
        <w:t xml:space="preserve"> i</w:t>
      </w:r>
      <w:r w:rsidR="00BE6F6D">
        <w:rPr>
          <w:noProof/>
        </w:rPr>
        <w:t> </w:t>
      </w:r>
      <w:r w:rsidR="00BE6F6D" w:rsidRPr="009A4A22">
        <w:rPr>
          <w:noProof/>
        </w:rPr>
        <w:t>prz</w:t>
      </w:r>
      <w:r w:rsidR="00310D36" w:rsidRPr="009A4A22">
        <w:rPr>
          <w:noProof/>
        </w:rPr>
        <w:t>edsiębiorców, należy uprościć wymogi</w:t>
      </w:r>
      <w:r w:rsidR="00BE6F6D" w:rsidRPr="009A4A22">
        <w:rPr>
          <w:noProof/>
        </w:rPr>
        <w:t xml:space="preserve"> w</w:t>
      </w:r>
      <w:r w:rsidR="00BE6F6D">
        <w:rPr>
          <w:noProof/>
        </w:rPr>
        <w:t> </w:t>
      </w:r>
      <w:r w:rsidR="00BE6F6D" w:rsidRPr="009A4A22">
        <w:rPr>
          <w:noProof/>
        </w:rPr>
        <w:t>zak</w:t>
      </w:r>
      <w:r w:rsidR="00310D36" w:rsidRPr="009A4A22">
        <w:rPr>
          <w:noProof/>
        </w:rPr>
        <w:t>resie sprawozdawczości</w:t>
      </w:r>
      <w:r w:rsidR="00BE6F6D" w:rsidRPr="009A4A22">
        <w:rPr>
          <w:noProof/>
        </w:rPr>
        <w:t xml:space="preserve"> i</w:t>
      </w:r>
      <w:r w:rsidR="00BE6F6D">
        <w:rPr>
          <w:noProof/>
        </w:rPr>
        <w:t> </w:t>
      </w:r>
      <w:r w:rsidR="00BE6F6D" w:rsidRPr="009A4A22">
        <w:rPr>
          <w:noProof/>
        </w:rPr>
        <w:t>inf</w:t>
      </w:r>
      <w:r w:rsidR="00310D36" w:rsidRPr="009A4A22">
        <w:rPr>
          <w:noProof/>
        </w:rPr>
        <w:t>ormacji oraz zmniejszyć ilość informacji przekazywanych właściwym organom przez podmioty ADR.</w:t>
      </w:r>
    </w:p>
    <w:p w14:paraId="3379499E" w14:textId="3027E467" w:rsidR="006A7624" w:rsidRPr="009A4A22" w:rsidRDefault="001755F8" w:rsidP="001755F8">
      <w:pPr>
        <w:pStyle w:val="ManualConsidrant"/>
        <w:rPr>
          <w:noProof/>
        </w:rPr>
      </w:pPr>
      <w:r w:rsidRPr="001755F8">
        <w:t>(15)</w:t>
      </w:r>
      <w:r w:rsidRPr="001755F8">
        <w:tab/>
      </w:r>
      <w:r w:rsidR="00310D36" w:rsidRPr="009A4A22">
        <w:rPr>
          <w:noProof/>
        </w:rPr>
        <w:t>Aby pomoc konsumentom</w:t>
      </w:r>
      <w:r w:rsidR="00BE6F6D" w:rsidRPr="009A4A22">
        <w:rPr>
          <w:noProof/>
        </w:rPr>
        <w:t xml:space="preserve"> i</w:t>
      </w:r>
      <w:r w:rsidR="00BE6F6D">
        <w:rPr>
          <w:noProof/>
        </w:rPr>
        <w:t> </w:t>
      </w:r>
      <w:r w:rsidR="00BE6F6D" w:rsidRPr="009A4A22">
        <w:rPr>
          <w:noProof/>
        </w:rPr>
        <w:t>prz</w:t>
      </w:r>
      <w:r w:rsidR="00310D36" w:rsidRPr="009A4A22">
        <w:rPr>
          <w:noProof/>
        </w:rPr>
        <w:t>edsiębiorcom</w:t>
      </w:r>
      <w:r w:rsidR="00BE6F6D" w:rsidRPr="009A4A22">
        <w:rPr>
          <w:noProof/>
        </w:rPr>
        <w:t xml:space="preserve"> w</w:t>
      </w:r>
      <w:r w:rsidR="00BE6F6D">
        <w:rPr>
          <w:noProof/>
        </w:rPr>
        <w:t> </w:t>
      </w:r>
      <w:r w:rsidR="00BE6F6D" w:rsidRPr="009A4A22">
        <w:rPr>
          <w:noProof/>
        </w:rPr>
        <w:t>spo</w:t>
      </w:r>
      <w:r w:rsidR="00310D36" w:rsidRPr="009A4A22">
        <w:rPr>
          <w:noProof/>
        </w:rPr>
        <w:t>rach transgranicznych była skuteczna, konieczne jest zapewnienie, aby państwa członkowskie utworzyły punkty kontaktowe ADR</w:t>
      </w:r>
      <w:r w:rsidR="00BE6F6D" w:rsidRPr="009A4A22">
        <w:rPr>
          <w:noProof/>
        </w:rPr>
        <w:t xml:space="preserve"> o</w:t>
      </w:r>
      <w:r w:rsidR="00BE6F6D">
        <w:rPr>
          <w:noProof/>
        </w:rPr>
        <w:t> </w:t>
      </w:r>
      <w:r w:rsidR="00BE6F6D" w:rsidRPr="009A4A22">
        <w:rPr>
          <w:noProof/>
        </w:rPr>
        <w:t>jas</w:t>
      </w:r>
      <w:r w:rsidR="00310D36" w:rsidRPr="009A4A22">
        <w:rPr>
          <w:noProof/>
        </w:rPr>
        <w:t>no określonych zadaniach. Europejskie Centra Konsumenckie („ECC”) są dobrze przygotowane do wykonywania takich zadań, ponieważ specjalizują się</w:t>
      </w:r>
      <w:r w:rsidR="00BE6F6D" w:rsidRPr="009A4A22">
        <w:rPr>
          <w:noProof/>
        </w:rPr>
        <w:t xml:space="preserve"> w</w:t>
      </w:r>
      <w:r w:rsidR="00BE6F6D">
        <w:rPr>
          <w:noProof/>
        </w:rPr>
        <w:t> </w:t>
      </w:r>
      <w:r w:rsidR="00BE6F6D" w:rsidRPr="009A4A22">
        <w:rPr>
          <w:noProof/>
        </w:rPr>
        <w:t>udz</w:t>
      </w:r>
      <w:r w:rsidR="00310D36" w:rsidRPr="009A4A22">
        <w:rPr>
          <w:noProof/>
        </w:rPr>
        <w:t>ielaniu konsumentom pomocy</w:t>
      </w:r>
      <w:r w:rsidR="00BE6F6D" w:rsidRPr="009A4A22">
        <w:rPr>
          <w:noProof/>
        </w:rPr>
        <w:t xml:space="preserve"> w</w:t>
      </w:r>
      <w:r w:rsidR="00BE6F6D">
        <w:rPr>
          <w:noProof/>
        </w:rPr>
        <w:t> </w:t>
      </w:r>
      <w:r w:rsidR="00BE6F6D" w:rsidRPr="009A4A22">
        <w:rPr>
          <w:noProof/>
        </w:rPr>
        <w:t>kwe</w:t>
      </w:r>
      <w:r w:rsidR="00310D36" w:rsidRPr="009A4A22">
        <w:rPr>
          <w:noProof/>
        </w:rPr>
        <w:t>stiach związanych</w:t>
      </w:r>
      <w:r w:rsidR="00BE6F6D" w:rsidRPr="009A4A22">
        <w:rPr>
          <w:noProof/>
        </w:rPr>
        <w:t xml:space="preserve"> z</w:t>
      </w:r>
      <w:r w:rsidR="00BE6F6D">
        <w:rPr>
          <w:noProof/>
        </w:rPr>
        <w:t> </w:t>
      </w:r>
      <w:r w:rsidR="00BE6F6D" w:rsidRPr="009A4A22">
        <w:rPr>
          <w:noProof/>
        </w:rPr>
        <w:t>tra</w:t>
      </w:r>
      <w:r w:rsidR="00310D36" w:rsidRPr="009A4A22">
        <w:rPr>
          <w:noProof/>
        </w:rPr>
        <w:t>nsgranicznymi zakupami, ale państwa członkowskie powinny mieć możliwość wskazania do tych celów innych organów posiadających odpowiednią wiedzę fachową. Informacje</w:t>
      </w:r>
      <w:r w:rsidR="00BE6F6D" w:rsidRPr="009A4A22">
        <w:rPr>
          <w:noProof/>
        </w:rPr>
        <w:t xml:space="preserve"> o</w:t>
      </w:r>
      <w:r w:rsidR="00BE6F6D">
        <w:rPr>
          <w:noProof/>
        </w:rPr>
        <w:t> </w:t>
      </w:r>
      <w:r w:rsidR="00BE6F6D" w:rsidRPr="009A4A22">
        <w:rPr>
          <w:noProof/>
        </w:rPr>
        <w:t>tyc</w:t>
      </w:r>
      <w:r w:rsidR="00310D36" w:rsidRPr="009A4A22">
        <w:rPr>
          <w:noProof/>
        </w:rPr>
        <w:t>h wyznaczonych punktach kontaktowych ADR powinny być przekazywane Komisji.</w:t>
      </w:r>
    </w:p>
    <w:p w14:paraId="4F0A130E" w14:textId="307C6B2A" w:rsidR="006A7624" w:rsidRPr="009A4A22" w:rsidRDefault="001755F8" w:rsidP="001755F8">
      <w:pPr>
        <w:pStyle w:val="ManualConsidrant"/>
        <w:rPr>
          <w:noProof/>
        </w:rPr>
      </w:pPr>
      <w:r w:rsidRPr="001755F8">
        <w:t>(16)</w:t>
      </w:r>
      <w:r w:rsidRPr="001755F8">
        <w:tab/>
      </w:r>
      <w:r w:rsidR="00371899" w:rsidRPr="009A4A22">
        <w:rPr>
          <w:noProof/>
        </w:rPr>
        <w:t>Pomimo tego, że postępowania ADR mają być proste, konsumenci mogą korzystać</w:t>
      </w:r>
      <w:r w:rsidR="00BE6F6D" w:rsidRPr="009A4A22">
        <w:rPr>
          <w:noProof/>
        </w:rPr>
        <w:t xml:space="preserve"> w</w:t>
      </w:r>
      <w:r w:rsidR="00BE6F6D">
        <w:rPr>
          <w:noProof/>
        </w:rPr>
        <w:t> </w:t>
      </w:r>
      <w:r w:rsidR="00BE6F6D" w:rsidRPr="009A4A22">
        <w:rPr>
          <w:noProof/>
        </w:rPr>
        <w:t>ich</w:t>
      </w:r>
      <w:r w:rsidR="00371899" w:rsidRPr="009A4A22">
        <w:rPr>
          <w:noProof/>
        </w:rPr>
        <w:t xml:space="preserve"> trakcie</w:t>
      </w:r>
      <w:r w:rsidR="00BE6F6D" w:rsidRPr="009A4A22">
        <w:rPr>
          <w:noProof/>
        </w:rPr>
        <w:t xml:space="preserve"> z</w:t>
      </w:r>
      <w:r w:rsidR="00BE6F6D">
        <w:rPr>
          <w:noProof/>
        </w:rPr>
        <w:t> </w:t>
      </w:r>
      <w:r w:rsidR="00BE6F6D" w:rsidRPr="009A4A22">
        <w:rPr>
          <w:noProof/>
        </w:rPr>
        <w:t>pom</w:t>
      </w:r>
      <w:r w:rsidR="00371899" w:rsidRPr="009A4A22">
        <w:rPr>
          <w:noProof/>
        </w:rPr>
        <w:t>ocy wybranej przez siebie osoby trzeciej. Państwa członkowskie powinny zapewnić, aby pomocy takiej udzielano</w:t>
      </w:r>
      <w:r w:rsidR="00BE6F6D" w:rsidRPr="009A4A22">
        <w:rPr>
          <w:noProof/>
        </w:rPr>
        <w:t xml:space="preserve"> w</w:t>
      </w:r>
      <w:r w:rsidR="00BE6F6D">
        <w:rPr>
          <w:noProof/>
        </w:rPr>
        <w:t> </w:t>
      </w:r>
      <w:r w:rsidR="00BE6F6D" w:rsidRPr="009A4A22">
        <w:rPr>
          <w:noProof/>
        </w:rPr>
        <w:t>dob</w:t>
      </w:r>
      <w:r w:rsidR="00371899" w:rsidRPr="009A4A22">
        <w:rPr>
          <w:noProof/>
        </w:rPr>
        <w:t>rej wierze, przy zachowaniu uczciwości</w:t>
      </w:r>
      <w:r w:rsidR="00BE6F6D" w:rsidRPr="009A4A22">
        <w:rPr>
          <w:noProof/>
        </w:rPr>
        <w:t xml:space="preserve"> i</w:t>
      </w:r>
      <w:r w:rsidR="00BE6F6D">
        <w:rPr>
          <w:noProof/>
        </w:rPr>
        <w:t> </w:t>
      </w:r>
      <w:r w:rsidR="00BE6F6D" w:rsidRPr="009A4A22">
        <w:rPr>
          <w:noProof/>
        </w:rPr>
        <w:t>peł</w:t>
      </w:r>
      <w:r w:rsidR="00371899" w:rsidRPr="009A4A22">
        <w:rPr>
          <w:noProof/>
        </w:rPr>
        <w:t>nej przejrzystości procedury,</w:t>
      </w:r>
      <w:r w:rsidR="00BE6F6D" w:rsidRPr="009A4A22">
        <w:rPr>
          <w:noProof/>
        </w:rPr>
        <w:t xml:space="preserve"> w</w:t>
      </w:r>
      <w:r w:rsidR="00BE6F6D">
        <w:rPr>
          <w:noProof/>
        </w:rPr>
        <w:t> </w:t>
      </w:r>
      <w:r w:rsidR="00BE6F6D" w:rsidRPr="009A4A22">
        <w:rPr>
          <w:noProof/>
        </w:rPr>
        <w:t>szc</w:t>
      </w:r>
      <w:r w:rsidR="00371899" w:rsidRPr="009A4A22">
        <w:rPr>
          <w:noProof/>
        </w:rPr>
        <w:t>zególności</w:t>
      </w:r>
      <w:r w:rsidR="00BE6F6D" w:rsidRPr="009A4A22">
        <w:rPr>
          <w:noProof/>
        </w:rPr>
        <w:t xml:space="preserve"> w</w:t>
      </w:r>
      <w:r w:rsidR="00BE6F6D">
        <w:rPr>
          <w:noProof/>
        </w:rPr>
        <w:t> </w:t>
      </w:r>
      <w:r w:rsidR="00BE6F6D" w:rsidRPr="009A4A22">
        <w:rPr>
          <w:noProof/>
        </w:rPr>
        <w:t>odn</w:t>
      </w:r>
      <w:r w:rsidR="00371899" w:rsidRPr="009A4A22">
        <w:rPr>
          <w:noProof/>
        </w:rPr>
        <w:t>iesieniu do ewentualnych opłat za taką pomoc.</w:t>
      </w:r>
    </w:p>
    <w:p w14:paraId="5089E610" w14:textId="55BC364F" w:rsidR="00A14155" w:rsidRPr="009A4A22" w:rsidRDefault="001755F8" w:rsidP="001755F8">
      <w:pPr>
        <w:pStyle w:val="ManualConsidrant"/>
        <w:rPr>
          <w:noProof/>
        </w:rPr>
      </w:pPr>
      <w:r w:rsidRPr="001755F8">
        <w:t>(17)</w:t>
      </w:r>
      <w:r w:rsidRPr="001755F8">
        <w:tab/>
      </w:r>
      <w:r w:rsidR="00310D36" w:rsidRPr="009A4A22">
        <w:rPr>
          <w:noProof/>
        </w:rPr>
        <w:t>Aby zapewnić konsumentom możliwość łatwego wyszukania odpowiedniego podmiotu ADR, zwłaszcza</w:t>
      </w:r>
      <w:r w:rsidR="00BE6F6D" w:rsidRPr="009A4A22">
        <w:rPr>
          <w:noProof/>
        </w:rPr>
        <w:t xml:space="preserve"> w</w:t>
      </w:r>
      <w:r w:rsidR="00BE6F6D">
        <w:rPr>
          <w:noProof/>
        </w:rPr>
        <w:t> </w:t>
      </w:r>
      <w:r w:rsidR="00BE6F6D" w:rsidRPr="009A4A22">
        <w:rPr>
          <w:noProof/>
        </w:rPr>
        <w:t>kon</w:t>
      </w:r>
      <w:r w:rsidR="00310D36" w:rsidRPr="009A4A22">
        <w:rPr>
          <w:noProof/>
        </w:rPr>
        <w:t>tekście transgranicznym, Komisja powinna opracować</w:t>
      </w:r>
      <w:r w:rsidR="00BE6F6D" w:rsidRPr="009A4A22">
        <w:rPr>
          <w:noProof/>
        </w:rPr>
        <w:t xml:space="preserve"> i</w:t>
      </w:r>
      <w:r w:rsidR="00BE6F6D">
        <w:rPr>
          <w:noProof/>
        </w:rPr>
        <w:t> </w:t>
      </w:r>
      <w:r w:rsidR="00BE6F6D" w:rsidRPr="009A4A22">
        <w:rPr>
          <w:noProof/>
        </w:rPr>
        <w:t>utr</w:t>
      </w:r>
      <w:r w:rsidR="00310D36" w:rsidRPr="009A4A22">
        <w:rPr>
          <w:noProof/>
        </w:rPr>
        <w:t>zymywać interaktywne narzędzie cyfrowe, umożliwiające znalezienie najważniejszych informacji</w:t>
      </w:r>
      <w:r w:rsidR="00BE6F6D" w:rsidRPr="009A4A22">
        <w:rPr>
          <w:noProof/>
        </w:rPr>
        <w:t xml:space="preserve"> o</w:t>
      </w:r>
      <w:r w:rsidR="00BE6F6D">
        <w:rPr>
          <w:noProof/>
        </w:rPr>
        <w:t> </w:t>
      </w:r>
      <w:r w:rsidR="00BE6F6D" w:rsidRPr="009A4A22">
        <w:rPr>
          <w:noProof/>
        </w:rPr>
        <w:t>pod</w:t>
      </w:r>
      <w:r w:rsidR="00310D36" w:rsidRPr="009A4A22">
        <w:rPr>
          <w:noProof/>
        </w:rPr>
        <w:t>miotach ADR oraz linków do stron internetowych tych podmiotów, zgłoszonych Komisji.</w:t>
      </w:r>
    </w:p>
    <w:p w14:paraId="554BD5D1" w14:textId="2B903133" w:rsidR="00A14155" w:rsidRPr="009A4A22" w:rsidRDefault="001755F8" w:rsidP="001755F8">
      <w:pPr>
        <w:pStyle w:val="ManualConsidrant"/>
        <w:rPr>
          <w:noProof/>
        </w:rPr>
      </w:pPr>
      <w:r w:rsidRPr="001755F8">
        <w:t>(18)</w:t>
      </w:r>
      <w:r w:rsidRPr="001755F8">
        <w:tab/>
      </w:r>
      <w:r w:rsidR="00A14155" w:rsidRPr="009A4A22">
        <w:rPr>
          <w:noProof/>
        </w:rPr>
        <w:t>Należy zatem odpowiednio zmienić dyrektywę 2013/11/UE.</w:t>
      </w:r>
    </w:p>
    <w:p w14:paraId="5956A33E" w14:textId="2BCB267C" w:rsidR="00310D36" w:rsidRPr="009A4A22" w:rsidRDefault="001755F8" w:rsidP="001755F8">
      <w:pPr>
        <w:pStyle w:val="ManualConsidrant"/>
        <w:rPr>
          <w:noProof/>
        </w:rPr>
      </w:pPr>
      <w:r w:rsidRPr="001755F8">
        <w:t>(19)</w:t>
      </w:r>
      <w:r w:rsidRPr="001755F8">
        <w:tab/>
      </w:r>
      <w:r w:rsidR="00A14155" w:rsidRPr="009A4A22">
        <w:rPr>
          <w:noProof/>
        </w:rPr>
        <w:t xml:space="preserve">Zważywszy, że rozporządzenie (UE) </w:t>
      </w:r>
      <w:r w:rsidR="00A14155" w:rsidRPr="00BE6F6D">
        <w:rPr>
          <w:noProof/>
        </w:rPr>
        <w:t>nr</w:t>
      </w:r>
      <w:r w:rsidR="00BE6F6D" w:rsidRPr="00BE6F6D">
        <w:rPr>
          <w:noProof/>
        </w:rPr>
        <w:t> </w:t>
      </w:r>
      <w:r w:rsidR="00A14155" w:rsidRPr="00BE6F6D">
        <w:rPr>
          <w:noProof/>
        </w:rPr>
        <w:t>5</w:t>
      </w:r>
      <w:r w:rsidR="00A14155" w:rsidRPr="009A4A22">
        <w:rPr>
          <w:noProof/>
        </w:rPr>
        <w:t>24/2013 ma zostać uchylone odrębnym aktem,</w:t>
      </w:r>
      <w:r w:rsidR="00BE6F6D" w:rsidRPr="009A4A22">
        <w:rPr>
          <w:noProof/>
        </w:rPr>
        <w:t xml:space="preserve"> w</w:t>
      </w:r>
      <w:r w:rsidR="00BE6F6D">
        <w:rPr>
          <w:noProof/>
        </w:rPr>
        <w:t> </w:t>
      </w:r>
      <w:r w:rsidR="00BE6F6D" w:rsidRPr="009A4A22">
        <w:rPr>
          <w:noProof/>
        </w:rPr>
        <w:t>zwi</w:t>
      </w:r>
      <w:r w:rsidR="00A14155" w:rsidRPr="009A4A22">
        <w:rPr>
          <w:noProof/>
        </w:rPr>
        <w:t>ązku</w:t>
      </w:r>
      <w:r w:rsidR="00BE6F6D" w:rsidRPr="009A4A22">
        <w:rPr>
          <w:noProof/>
        </w:rPr>
        <w:t xml:space="preserve"> z</w:t>
      </w:r>
      <w:r w:rsidR="00BE6F6D">
        <w:rPr>
          <w:noProof/>
        </w:rPr>
        <w:t> </w:t>
      </w:r>
      <w:r w:rsidR="00BE6F6D" w:rsidRPr="009A4A22">
        <w:rPr>
          <w:noProof/>
        </w:rPr>
        <w:t>tym</w:t>
      </w:r>
      <w:r w:rsidR="00A14155" w:rsidRPr="009A4A22">
        <w:rPr>
          <w:noProof/>
        </w:rPr>
        <w:t xml:space="preserve"> uchyleniem konieczna jest również zmiana dyrektyw Parlamentu Europejskiego</w:t>
      </w:r>
      <w:r w:rsidR="00BE6F6D" w:rsidRPr="009A4A22">
        <w:rPr>
          <w:noProof/>
        </w:rPr>
        <w:t xml:space="preserve"> i</w:t>
      </w:r>
      <w:r w:rsidR="00BE6F6D">
        <w:rPr>
          <w:noProof/>
        </w:rPr>
        <w:t> </w:t>
      </w:r>
      <w:r w:rsidR="00BE6F6D" w:rsidRPr="009A4A22">
        <w:rPr>
          <w:noProof/>
        </w:rPr>
        <w:t>Rad</w:t>
      </w:r>
      <w:r w:rsidR="00A14155" w:rsidRPr="009A4A22">
        <w:rPr>
          <w:noProof/>
        </w:rPr>
        <w:t>y (UE) 2015/2302</w:t>
      </w:r>
      <w:r w:rsidR="00A14155" w:rsidRPr="009A4A22">
        <w:rPr>
          <w:rStyle w:val="FootnoteReference"/>
          <w:noProof/>
        </w:rPr>
        <w:footnoteReference w:id="37"/>
      </w:r>
      <w:r w:rsidR="00A14155" w:rsidRPr="009A4A22">
        <w:rPr>
          <w:noProof/>
        </w:rPr>
        <w:t>, (UE) 2019/2161</w:t>
      </w:r>
      <w:r w:rsidR="00A14155" w:rsidRPr="009A4A22">
        <w:rPr>
          <w:rStyle w:val="FootnoteReference"/>
          <w:noProof/>
        </w:rPr>
        <w:footnoteReference w:id="38"/>
      </w:r>
      <w:r w:rsidR="00A14155" w:rsidRPr="009A4A22">
        <w:rPr>
          <w:noProof/>
        </w:rPr>
        <w:t xml:space="preserve"> i (UE) 2020/1828</w:t>
      </w:r>
      <w:r w:rsidR="00A14155" w:rsidRPr="009A4A22">
        <w:rPr>
          <w:rStyle w:val="FootnoteReference"/>
          <w:noProof/>
        </w:rPr>
        <w:footnoteReference w:id="39"/>
      </w:r>
      <w:r w:rsidR="00A14155" w:rsidRPr="009A4A22">
        <w:rPr>
          <w:noProof/>
        </w:rPr>
        <w:t>,</w:t>
      </w:r>
    </w:p>
    <w:p w14:paraId="6BC16613" w14:textId="77777777" w:rsidR="00310D36" w:rsidRPr="009A4A22" w:rsidRDefault="00310D36" w:rsidP="006A7624">
      <w:pPr>
        <w:pStyle w:val="Formuledadoption"/>
        <w:rPr>
          <w:noProof/>
        </w:rPr>
      </w:pPr>
      <w:r w:rsidRPr="009A4A22">
        <w:rPr>
          <w:noProof/>
        </w:rPr>
        <w:t>PRZYJMUJĄ NINIEJSZĄ DYREKTYWĘ:</w:t>
      </w:r>
    </w:p>
    <w:p w14:paraId="7575DDF6" w14:textId="78E41AA7" w:rsidR="00310D36" w:rsidRPr="009A4A22" w:rsidRDefault="00310D36" w:rsidP="006A7624">
      <w:pPr>
        <w:pStyle w:val="Titrearticle"/>
        <w:rPr>
          <w:noProof/>
        </w:rPr>
      </w:pPr>
      <w:r w:rsidRPr="009A4A22">
        <w:rPr>
          <w:noProof/>
        </w:rPr>
        <w:t>Artykuł 1</w:t>
      </w:r>
      <w:r w:rsidRPr="009A4A22">
        <w:rPr>
          <w:noProof/>
        </w:rPr>
        <w:br/>
      </w:r>
      <w:r w:rsidRPr="009A4A22">
        <w:rPr>
          <w:b/>
          <w:noProof/>
        </w:rPr>
        <w:t>Zmiany</w:t>
      </w:r>
      <w:r w:rsidR="00BE6F6D" w:rsidRPr="009A4A22">
        <w:rPr>
          <w:b/>
          <w:noProof/>
        </w:rPr>
        <w:t xml:space="preserve"> w</w:t>
      </w:r>
      <w:r w:rsidR="00BE6F6D">
        <w:rPr>
          <w:b/>
          <w:noProof/>
        </w:rPr>
        <w:t> </w:t>
      </w:r>
      <w:r w:rsidR="00BE6F6D" w:rsidRPr="009A4A22">
        <w:rPr>
          <w:b/>
          <w:noProof/>
        </w:rPr>
        <w:t>dyr</w:t>
      </w:r>
      <w:r w:rsidRPr="009A4A22">
        <w:rPr>
          <w:b/>
          <w:noProof/>
        </w:rPr>
        <w:t>ektywie 2013/11/UE</w:t>
      </w:r>
    </w:p>
    <w:p w14:paraId="45D11855" w14:textId="77777777" w:rsidR="0068073D" w:rsidRPr="009A4A22" w:rsidRDefault="0068073D" w:rsidP="00310D36">
      <w:pPr>
        <w:spacing w:line="276" w:lineRule="auto"/>
        <w:rPr>
          <w:noProof/>
          <w:szCs w:val="24"/>
        </w:rPr>
      </w:pPr>
      <w:r w:rsidRPr="009A4A22">
        <w:rPr>
          <w:noProof/>
        </w:rPr>
        <w:t xml:space="preserve">W dyrektywie 2013/11/UE wprowadza się następujące zmiany: </w:t>
      </w:r>
    </w:p>
    <w:p w14:paraId="019F595D" w14:textId="6F47AD2A" w:rsidR="00310D36" w:rsidRPr="009A4A22" w:rsidRDefault="001755F8" w:rsidP="001755F8">
      <w:pPr>
        <w:pStyle w:val="ManualNumPar1"/>
        <w:rPr>
          <w:noProof/>
        </w:rPr>
      </w:pPr>
      <w:r w:rsidRPr="001755F8">
        <w:t>1.</w:t>
      </w:r>
      <w:r w:rsidRPr="001755F8">
        <w:tab/>
      </w:r>
      <w:r w:rsidR="0068073D" w:rsidRPr="00BE6F6D">
        <w:rPr>
          <w:noProof/>
        </w:rPr>
        <w:t>art.</w:t>
      </w:r>
      <w:r w:rsidR="00BE6F6D" w:rsidRPr="00BE6F6D">
        <w:rPr>
          <w:noProof/>
        </w:rPr>
        <w:t> </w:t>
      </w:r>
      <w:r w:rsidR="0068073D" w:rsidRPr="00BE6F6D">
        <w:rPr>
          <w:noProof/>
        </w:rPr>
        <w:t>2</w:t>
      </w:r>
      <w:r w:rsidR="0068073D" w:rsidRPr="009A4A22">
        <w:rPr>
          <w:noProof/>
        </w:rPr>
        <w:t xml:space="preserve"> </w:t>
      </w:r>
      <w:r w:rsidR="0068073D" w:rsidRPr="00BE6F6D">
        <w:rPr>
          <w:noProof/>
        </w:rPr>
        <w:t>ust.</w:t>
      </w:r>
      <w:r w:rsidR="00BE6F6D" w:rsidRPr="00BE6F6D">
        <w:rPr>
          <w:noProof/>
        </w:rPr>
        <w:t> </w:t>
      </w:r>
      <w:r w:rsidR="0068073D" w:rsidRPr="00BE6F6D">
        <w:rPr>
          <w:noProof/>
        </w:rPr>
        <w:t>1</w:t>
      </w:r>
      <w:r w:rsidR="0068073D" w:rsidRPr="009A4A22">
        <w:rPr>
          <w:noProof/>
        </w:rPr>
        <w:t xml:space="preserve"> otrzymuje brzmienie:</w:t>
      </w:r>
    </w:p>
    <w:p w14:paraId="5933E826" w14:textId="51DA630F" w:rsidR="00D9744D" w:rsidRPr="009A4A22" w:rsidRDefault="00310D36" w:rsidP="00D9744D">
      <w:pPr>
        <w:spacing w:line="276" w:lineRule="auto"/>
        <w:rPr>
          <w:noProof/>
          <w:szCs w:val="24"/>
        </w:rPr>
      </w:pPr>
      <w:r w:rsidRPr="009A4A22">
        <w:rPr>
          <w:noProof/>
        </w:rPr>
        <w:t>„1. Niniejsza dyrektywa ma zastosowanie do postępowań mających na celu pozasądowe rozstrzygnięcie sporów między konsumentami zamieszkałymi</w:t>
      </w:r>
      <w:r w:rsidR="00BE6F6D" w:rsidRPr="009A4A22">
        <w:rPr>
          <w:noProof/>
        </w:rPr>
        <w:t xml:space="preserve"> w</w:t>
      </w:r>
      <w:r w:rsidR="00BE6F6D">
        <w:rPr>
          <w:noProof/>
        </w:rPr>
        <w:t> </w:t>
      </w:r>
      <w:r w:rsidR="00BE6F6D" w:rsidRPr="009A4A22">
        <w:rPr>
          <w:noProof/>
        </w:rPr>
        <w:t>Uni</w:t>
      </w:r>
      <w:r w:rsidRPr="009A4A22">
        <w:rPr>
          <w:noProof/>
        </w:rPr>
        <w:t>i</w:t>
      </w:r>
      <w:r w:rsidR="00BE6F6D" w:rsidRPr="009A4A22">
        <w:rPr>
          <w:noProof/>
        </w:rPr>
        <w:t xml:space="preserve"> a</w:t>
      </w:r>
      <w:r w:rsidR="00BE6F6D">
        <w:rPr>
          <w:noProof/>
        </w:rPr>
        <w:t> </w:t>
      </w:r>
      <w:r w:rsidR="00BE6F6D" w:rsidRPr="009A4A22">
        <w:rPr>
          <w:noProof/>
        </w:rPr>
        <w:t>prz</w:t>
      </w:r>
      <w:r w:rsidRPr="009A4A22">
        <w:rPr>
          <w:noProof/>
        </w:rPr>
        <w:t>edsiębiorcami oferującymi tym konsumentom towary lub usługi,</w:t>
      </w:r>
      <w:r w:rsidR="00BE6F6D" w:rsidRPr="009A4A22">
        <w:rPr>
          <w:noProof/>
        </w:rPr>
        <w:t xml:space="preserve"> w</w:t>
      </w:r>
      <w:r w:rsidR="00BE6F6D">
        <w:rPr>
          <w:noProof/>
        </w:rPr>
        <w:t> </w:t>
      </w:r>
      <w:r w:rsidR="00BE6F6D" w:rsidRPr="009A4A22">
        <w:rPr>
          <w:noProof/>
        </w:rPr>
        <w:t>tym</w:t>
      </w:r>
      <w:r w:rsidRPr="009A4A22">
        <w:rPr>
          <w:noProof/>
        </w:rPr>
        <w:t xml:space="preserve"> treści</w:t>
      </w:r>
      <w:r w:rsidR="00BE6F6D" w:rsidRPr="009A4A22">
        <w:rPr>
          <w:noProof/>
        </w:rPr>
        <w:t xml:space="preserve"> i</w:t>
      </w:r>
      <w:r w:rsidR="00BE6F6D">
        <w:rPr>
          <w:noProof/>
        </w:rPr>
        <w:t> </w:t>
      </w:r>
      <w:r w:rsidR="00BE6F6D" w:rsidRPr="009A4A22">
        <w:rPr>
          <w:noProof/>
        </w:rPr>
        <w:t>usł</w:t>
      </w:r>
      <w:r w:rsidRPr="009A4A22">
        <w:rPr>
          <w:noProof/>
        </w:rPr>
        <w:t>ugi cyfrowe, poprzez interwencję podmiotu ADR, który proponuje lub narzuca rozwiązanie bądź doprowadza do spotkania stron</w:t>
      </w:r>
      <w:r w:rsidR="00BE6F6D" w:rsidRPr="009A4A22">
        <w:rPr>
          <w:noProof/>
        </w:rPr>
        <w:t xml:space="preserve"> w</w:t>
      </w:r>
      <w:r w:rsidR="00BE6F6D">
        <w:rPr>
          <w:noProof/>
        </w:rPr>
        <w:t> </w:t>
      </w:r>
      <w:r w:rsidR="00BE6F6D" w:rsidRPr="009A4A22">
        <w:rPr>
          <w:noProof/>
        </w:rPr>
        <w:t>cel</w:t>
      </w:r>
      <w:r w:rsidRPr="009A4A22">
        <w:rPr>
          <w:noProof/>
        </w:rPr>
        <w:t>u ułatwienia polubownego rozstrzygnięcia dotyczącego jednej</w:t>
      </w:r>
      <w:r w:rsidR="00BE6F6D" w:rsidRPr="009A4A22">
        <w:rPr>
          <w:noProof/>
        </w:rPr>
        <w:t xml:space="preserve"> z</w:t>
      </w:r>
      <w:r w:rsidR="00BE6F6D">
        <w:rPr>
          <w:noProof/>
        </w:rPr>
        <w:t> </w:t>
      </w:r>
      <w:r w:rsidR="00BE6F6D" w:rsidRPr="009A4A22">
        <w:rPr>
          <w:noProof/>
        </w:rPr>
        <w:t>nas</w:t>
      </w:r>
      <w:r w:rsidRPr="009A4A22">
        <w:rPr>
          <w:noProof/>
        </w:rPr>
        <w:t>tępujących kwestii:</w:t>
      </w:r>
    </w:p>
    <w:p w14:paraId="2899E2C2" w14:textId="6C237629" w:rsidR="004E1C00" w:rsidRPr="009A4A22" w:rsidRDefault="00F2091F" w:rsidP="00F2091F">
      <w:pPr>
        <w:pStyle w:val="Point0"/>
        <w:rPr>
          <w:noProof/>
        </w:rPr>
      </w:pPr>
      <w:r w:rsidRPr="00F2091F">
        <w:rPr>
          <w:noProof/>
        </w:rPr>
        <w:t>a)</w:t>
      </w:r>
      <w:r w:rsidRPr="00F2091F">
        <w:rPr>
          <w:noProof/>
        </w:rPr>
        <w:tab/>
      </w:r>
      <w:r w:rsidR="00310D36" w:rsidRPr="009A4A22">
        <w:rPr>
          <w:noProof/>
        </w:rPr>
        <w:t>zobowiązania umowne wynikające</w:t>
      </w:r>
      <w:r w:rsidR="00BE6F6D" w:rsidRPr="009A4A22">
        <w:rPr>
          <w:noProof/>
        </w:rPr>
        <w:t xml:space="preserve"> z</w:t>
      </w:r>
      <w:r w:rsidR="00BE6F6D">
        <w:rPr>
          <w:noProof/>
        </w:rPr>
        <w:t> </w:t>
      </w:r>
      <w:r w:rsidR="00BE6F6D" w:rsidRPr="009A4A22">
        <w:rPr>
          <w:noProof/>
        </w:rPr>
        <w:t>umó</w:t>
      </w:r>
      <w:r w:rsidR="00310D36" w:rsidRPr="009A4A22">
        <w:rPr>
          <w:noProof/>
        </w:rPr>
        <w:t>w sprzedaży,</w:t>
      </w:r>
      <w:r w:rsidR="00BE6F6D" w:rsidRPr="009A4A22">
        <w:rPr>
          <w:noProof/>
        </w:rPr>
        <w:t xml:space="preserve"> w</w:t>
      </w:r>
      <w:r w:rsidR="00BE6F6D">
        <w:rPr>
          <w:noProof/>
        </w:rPr>
        <w:t> </w:t>
      </w:r>
      <w:r w:rsidR="00BE6F6D" w:rsidRPr="009A4A22">
        <w:rPr>
          <w:noProof/>
        </w:rPr>
        <w:t>tym</w:t>
      </w:r>
      <w:r w:rsidR="00310D36" w:rsidRPr="009A4A22">
        <w:rPr>
          <w:noProof/>
        </w:rPr>
        <w:t xml:space="preserve"> umów</w:t>
      </w:r>
      <w:r w:rsidR="00BE6F6D" w:rsidRPr="009A4A22">
        <w:rPr>
          <w:noProof/>
        </w:rPr>
        <w:t xml:space="preserve"> o</w:t>
      </w:r>
      <w:r w:rsidR="00BE6F6D">
        <w:rPr>
          <w:noProof/>
        </w:rPr>
        <w:t> </w:t>
      </w:r>
      <w:r w:rsidR="00BE6F6D" w:rsidRPr="009A4A22">
        <w:rPr>
          <w:noProof/>
        </w:rPr>
        <w:t>dos</w:t>
      </w:r>
      <w:r w:rsidR="00310D36" w:rsidRPr="009A4A22">
        <w:rPr>
          <w:noProof/>
        </w:rPr>
        <w:t>tarczanie treści cyfrowych, lub</w:t>
      </w:r>
      <w:r w:rsidR="00BE6F6D" w:rsidRPr="009A4A22">
        <w:rPr>
          <w:noProof/>
        </w:rPr>
        <w:t xml:space="preserve"> z</w:t>
      </w:r>
      <w:r w:rsidR="00BE6F6D">
        <w:rPr>
          <w:noProof/>
        </w:rPr>
        <w:t> </w:t>
      </w:r>
      <w:r w:rsidR="00BE6F6D" w:rsidRPr="009A4A22">
        <w:rPr>
          <w:noProof/>
        </w:rPr>
        <w:t>umó</w:t>
      </w:r>
      <w:r w:rsidR="00310D36" w:rsidRPr="009A4A22">
        <w:rPr>
          <w:noProof/>
        </w:rPr>
        <w:t>w</w:t>
      </w:r>
      <w:r w:rsidR="00BE6F6D" w:rsidRPr="009A4A22">
        <w:rPr>
          <w:noProof/>
        </w:rPr>
        <w:t xml:space="preserve"> o</w:t>
      </w:r>
      <w:r w:rsidR="00BE6F6D">
        <w:rPr>
          <w:noProof/>
        </w:rPr>
        <w:t> </w:t>
      </w:r>
      <w:r w:rsidR="00BE6F6D" w:rsidRPr="009A4A22">
        <w:rPr>
          <w:noProof/>
        </w:rPr>
        <w:t>świ</w:t>
      </w:r>
      <w:r w:rsidR="00310D36" w:rsidRPr="009A4A22">
        <w:rPr>
          <w:noProof/>
        </w:rPr>
        <w:t>adczenie usług;</w:t>
      </w:r>
      <w:bookmarkStart w:id="4" w:name="_Hlk147755155"/>
    </w:p>
    <w:p w14:paraId="29C60D74" w14:textId="1474EA0E" w:rsidR="000D32C1" w:rsidRPr="009A4A22" w:rsidRDefault="00F2091F" w:rsidP="00F2091F">
      <w:pPr>
        <w:pStyle w:val="Point0"/>
        <w:rPr>
          <w:noProof/>
        </w:rPr>
      </w:pPr>
      <w:r w:rsidRPr="00F2091F">
        <w:rPr>
          <w:noProof/>
        </w:rPr>
        <w:t>b)</w:t>
      </w:r>
      <w:r w:rsidRPr="00F2091F">
        <w:rPr>
          <w:noProof/>
        </w:rPr>
        <w:tab/>
      </w:r>
      <w:r w:rsidR="00310D36" w:rsidRPr="009A4A22">
        <w:rPr>
          <w:noProof/>
        </w:rPr>
        <w:t>prawa konsumentów mające zastosowanie</w:t>
      </w:r>
      <w:r w:rsidR="00BE6F6D" w:rsidRPr="009A4A22">
        <w:rPr>
          <w:noProof/>
        </w:rPr>
        <w:t xml:space="preserve"> w</w:t>
      </w:r>
      <w:r w:rsidR="00BE6F6D">
        <w:rPr>
          <w:noProof/>
        </w:rPr>
        <w:t> </w:t>
      </w:r>
      <w:r w:rsidR="00BE6F6D" w:rsidRPr="009A4A22">
        <w:rPr>
          <w:noProof/>
        </w:rPr>
        <w:t>syt</w:t>
      </w:r>
      <w:r w:rsidR="00310D36" w:rsidRPr="009A4A22">
        <w:rPr>
          <w:noProof/>
        </w:rPr>
        <w:t>uacjach pozaumownych</w:t>
      </w:r>
      <w:r w:rsidR="00BE6F6D" w:rsidRPr="009A4A22">
        <w:rPr>
          <w:noProof/>
        </w:rPr>
        <w:t xml:space="preserve"> i</w:t>
      </w:r>
      <w:r w:rsidR="00BE6F6D">
        <w:rPr>
          <w:noProof/>
        </w:rPr>
        <w:t> </w:t>
      </w:r>
      <w:r w:rsidR="00BE6F6D" w:rsidRPr="009A4A22">
        <w:rPr>
          <w:noProof/>
        </w:rPr>
        <w:t>prz</w:t>
      </w:r>
      <w:r w:rsidR="00310D36" w:rsidRPr="009A4A22">
        <w:rPr>
          <w:noProof/>
        </w:rPr>
        <w:t>edumownych oraz przewidziane</w:t>
      </w:r>
      <w:r w:rsidR="00BE6F6D" w:rsidRPr="009A4A22">
        <w:rPr>
          <w:noProof/>
        </w:rPr>
        <w:t xml:space="preserve"> w</w:t>
      </w:r>
      <w:r w:rsidR="00BE6F6D">
        <w:rPr>
          <w:noProof/>
        </w:rPr>
        <w:t> </w:t>
      </w:r>
      <w:r w:rsidR="00BE6F6D" w:rsidRPr="009A4A22">
        <w:rPr>
          <w:noProof/>
        </w:rPr>
        <w:t>pra</w:t>
      </w:r>
      <w:r w:rsidR="00310D36" w:rsidRPr="009A4A22">
        <w:rPr>
          <w:noProof/>
        </w:rPr>
        <w:t xml:space="preserve">wie Unii </w:t>
      </w:r>
      <w:bookmarkEnd w:id="4"/>
      <w:r w:rsidR="00310D36" w:rsidRPr="009A4A22">
        <w:rPr>
          <w:noProof/>
        </w:rPr>
        <w:t>dotyczące:</w:t>
      </w:r>
    </w:p>
    <w:p w14:paraId="2DFEDD87" w14:textId="50E3C78C" w:rsidR="00994395" w:rsidRPr="009A4A22" w:rsidRDefault="004E1C00" w:rsidP="004E1C00">
      <w:pPr>
        <w:pStyle w:val="Point1"/>
        <w:rPr>
          <w:noProof/>
        </w:rPr>
      </w:pPr>
      <w:r w:rsidRPr="009A4A22">
        <w:rPr>
          <w:noProof/>
        </w:rPr>
        <w:t>(i)</w:t>
      </w:r>
      <w:r w:rsidRPr="009A4A22">
        <w:rPr>
          <w:noProof/>
        </w:rPr>
        <w:tab/>
        <w:t>nieuczciwych praktyk</w:t>
      </w:r>
      <w:r w:rsidR="00BE6F6D" w:rsidRPr="009A4A22">
        <w:rPr>
          <w:noProof/>
        </w:rPr>
        <w:t xml:space="preserve"> i</w:t>
      </w:r>
      <w:r w:rsidR="00BE6F6D">
        <w:rPr>
          <w:noProof/>
        </w:rPr>
        <w:t> </w:t>
      </w:r>
      <w:r w:rsidR="00BE6F6D" w:rsidRPr="009A4A22">
        <w:rPr>
          <w:noProof/>
        </w:rPr>
        <w:t>war</w:t>
      </w:r>
      <w:r w:rsidRPr="009A4A22">
        <w:rPr>
          <w:noProof/>
        </w:rPr>
        <w:t>unków handlowych,</w:t>
      </w:r>
    </w:p>
    <w:p w14:paraId="25855B56" w14:textId="39996930" w:rsidR="00335FDA" w:rsidRPr="009A4A22" w:rsidRDefault="004E1C00" w:rsidP="004E1C00">
      <w:pPr>
        <w:pStyle w:val="Point1"/>
        <w:rPr>
          <w:noProof/>
        </w:rPr>
      </w:pPr>
      <w:r w:rsidRPr="009A4A22">
        <w:rPr>
          <w:noProof/>
        </w:rPr>
        <w:t>(ii)</w:t>
      </w:r>
      <w:r w:rsidRPr="009A4A22">
        <w:rPr>
          <w:noProof/>
        </w:rPr>
        <w:tab/>
        <w:t>informacji obowiązkowo udzielanych przed zawarciem umowy,</w:t>
      </w:r>
    </w:p>
    <w:p w14:paraId="080DBD2D" w14:textId="3D02B096" w:rsidR="005A3307" w:rsidRPr="009A4A22" w:rsidRDefault="004E1C00" w:rsidP="004E1C00">
      <w:pPr>
        <w:pStyle w:val="Point1"/>
        <w:rPr>
          <w:noProof/>
        </w:rPr>
      </w:pPr>
      <w:r w:rsidRPr="009A4A22">
        <w:rPr>
          <w:noProof/>
        </w:rPr>
        <w:t>(iii)</w:t>
      </w:r>
      <w:r w:rsidRPr="009A4A22">
        <w:rPr>
          <w:noProof/>
        </w:rPr>
        <w:tab/>
        <w:t>niedyskryminacji ze względu na obywatelstwo lub miejsce zamieszkania,</w:t>
      </w:r>
    </w:p>
    <w:p w14:paraId="121F0D0A" w14:textId="1714E1C0" w:rsidR="000D32C1" w:rsidRPr="009A4A22" w:rsidRDefault="004E1C00" w:rsidP="004E1C00">
      <w:pPr>
        <w:pStyle w:val="Point1"/>
        <w:rPr>
          <w:noProof/>
        </w:rPr>
      </w:pPr>
      <w:r w:rsidRPr="009A4A22">
        <w:rPr>
          <w:noProof/>
        </w:rPr>
        <w:t>(iv)</w:t>
      </w:r>
      <w:r w:rsidRPr="009A4A22">
        <w:rPr>
          <w:noProof/>
        </w:rPr>
        <w:tab/>
        <w:t>dostępu do usług</w:t>
      </w:r>
      <w:r w:rsidR="00BE6F6D" w:rsidRPr="009A4A22">
        <w:rPr>
          <w:noProof/>
        </w:rPr>
        <w:t xml:space="preserve"> i</w:t>
      </w:r>
      <w:r w:rsidR="00BE6F6D">
        <w:rPr>
          <w:noProof/>
        </w:rPr>
        <w:t> </w:t>
      </w:r>
      <w:r w:rsidR="00BE6F6D" w:rsidRPr="009A4A22">
        <w:rPr>
          <w:noProof/>
        </w:rPr>
        <w:t>dos</w:t>
      </w:r>
      <w:r w:rsidRPr="009A4A22">
        <w:rPr>
          <w:noProof/>
        </w:rPr>
        <w:t>taw,</w:t>
      </w:r>
    </w:p>
    <w:p w14:paraId="4C43FA1F" w14:textId="2A4D3BC0" w:rsidR="00936AED" w:rsidRPr="009A4A22" w:rsidRDefault="004E1C00" w:rsidP="004E1C00">
      <w:pPr>
        <w:pStyle w:val="Point1"/>
        <w:rPr>
          <w:noProof/>
        </w:rPr>
      </w:pPr>
      <w:r w:rsidRPr="009A4A22">
        <w:rPr>
          <w:noProof/>
        </w:rPr>
        <w:t>(v)</w:t>
      </w:r>
      <w:r w:rsidRPr="009A4A22">
        <w:rPr>
          <w:noProof/>
        </w:rPr>
        <w:tab/>
        <w:t>środków ochrony prawnej</w:t>
      </w:r>
      <w:r w:rsidR="00BE6F6D" w:rsidRPr="009A4A22">
        <w:rPr>
          <w:noProof/>
        </w:rPr>
        <w:t xml:space="preserve"> w</w:t>
      </w:r>
      <w:r w:rsidR="00BE6F6D">
        <w:rPr>
          <w:noProof/>
        </w:rPr>
        <w:t> </w:t>
      </w:r>
      <w:r w:rsidR="00BE6F6D" w:rsidRPr="009A4A22">
        <w:rPr>
          <w:noProof/>
        </w:rPr>
        <w:t>prz</w:t>
      </w:r>
      <w:r w:rsidRPr="009A4A22">
        <w:rPr>
          <w:noProof/>
        </w:rPr>
        <w:t>ypadku niezgodności produktów</w:t>
      </w:r>
      <w:r w:rsidR="00BE6F6D" w:rsidRPr="009A4A22">
        <w:rPr>
          <w:noProof/>
        </w:rPr>
        <w:t xml:space="preserve"> i</w:t>
      </w:r>
      <w:r w:rsidR="00BE6F6D">
        <w:rPr>
          <w:noProof/>
        </w:rPr>
        <w:t> </w:t>
      </w:r>
      <w:r w:rsidR="00BE6F6D" w:rsidRPr="009A4A22">
        <w:rPr>
          <w:noProof/>
        </w:rPr>
        <w:t>tre</w:t>
      </w:r>
      <w:r w:rsidRPr="009A4A22">
        <w:rPr>
          <w:noProof/>
        </w:rPr>
        <w:t>ści cyfrowych,</w:t>
      </w:r>
      <w:bookmarkStart w:id="5" w:name="_Hlk147839987"/>
    </w:p>
    <w:bookmarkEnd w:id="5"/>
    <w:p w14:paraId="66DF47A8" w14:textId="385EF4D8" w:rsidR="003B39AB" w:rsidRPr="009A4A22" w:rsidRDefault="004E1C00" w:rsidP="004E1C00">
      <w:pPr>
        <w:pStyle w:val="Point1"/>
        <w:rPr>
          <w:noProof/>
        </w:rPr>
      </w:pPr>
      <w:r w:rsidRPr="009A4A22">
        <w:rPr>
          <w:noProof/>
        </w:rPr>
        <w:t>(vi)</w:t>
      </w:r>
      <w:r w:rsidRPr="009A4A22">
        <w:rPr>
          <w:noProof/>
        </w:rPr>
        <w:tab/>
        <w:t>prawa do zmiany dostawcy oraz</w:t>
      </w:r>
    </w:p>
    <w:p w14:paraId="1ECCF46A" w14:textId="43F36854" w:rsidR="00D9744D" w:rsidRPr="009A4A22" w:rsidRDefault="004E1C00" w:rsidP="004E1C00">
      <w:pPr>
        <w:pStyle w:val="Point1"/>
        <w:rPr>
          <w:noProof/>
        </w:rPr>
      </w:pPr>
      <w:r w:rsidRPr="009A4A22">
        <w:rPr>
          <w:noProof/>
        </w:rPr>
        <w:t>(vii)</w:t>
      </w:r>
      <w:r w:rsidRPr="009A4A22">
        <w:rPr>
          <w:noProof/>
        </w:rPr>
        <w:tab/>
        <w:t>praw pasażerów</w:t>
      </w:r>
      <w:r w:rsidR="00BE6F6D" w:rsidRPr="009A4A22">
        <w:rPr>
          <w:noProof/>
        </w:rPr>
        <w:t xml:space="preserve"> i</w:t>
      </w:r>
      <w:r w:rsidR="00BE6F6D">
        <w:rPr>
          <w:noProof/>
        </w:rPr>
        <w:t> </w:t>
      </w:r>
      <w:r w:rsidR="00BE6F6D" w:rsidRPr="009A4A22">
        <w:rPr>
          <w:noProof/>
        </w:rPr>
        <w:t>pod</w:t>
      </w:r>
      <w:r w:rsidRPr="009A4A22">
        <w:rPr>
          <w:noProof/>
        </w:rPr>
        <w:t>różnych.</w:t>
      </w:r>
    </w:p>
    <w:p w14:paraId="37C94E11" w14:textId="457C3E42" w:rsidR="000D32C1" w:rsidRPr="009A4A22" w:rsidRDefault="000D32C1" w:rsidP="00F60227">
      <w:pPr>
        <w:spacing w:line="276" w:lineRule="auto"/>
        <w:rPr>
          <w:noProof/>
          <w:szCs w:val="24"/>
        </w:rPr>
      </w:pPr>
      <w:r w:rsidRPr="009A4A22">
        <w:rPr>
          <w:noProof/>
        </w:rPr>
        <w:t>Państwa członkowskie mogą zastosować postępowania ADR określone</w:t>
      </w:r>
      <w:r w:rsidR="00BE6F6D" w:rsidRPr="009A4A22">
        <w:rPr>
          <w:noProof/>
        </w:rPr>
        <w:t xml:space="preserve"> w</w:t>
      </w:r>
      <w:r w:rsidR="00BE6F6D">
        <w:rPr>
          <w:noProof/>
        </w:rPr>
        <w:t> </w:t>
      </w:r>
      <w:r w:rsidR="00BE6F6D" w:rsidRPr="009A4A22">
        <w:rPr>
          <w:noProof/>
        </w:rPr>
        <w:t>nin</w:t>
      </w:r>
      <w:r w:rsidRPr="009A4A22">
        <w:rPr>
          <w:noProof/>
        </w:rPr>
        <w:t>iejszej dyrektywie również do kategorii sporów innych niż wymienione</w:t>
      </w:r>
      <w:r w:rsidR="00BE6F6D" w:rsidRPr="009A4A22">
        <w:rPr>
          <w:noProof/>
        </w:rPr>
        <w:t xml:space="preserve"> w</w:t>
      </w:r>
      <w:r w:rsidR="00BE6F6D">
        <w:rPr>
          <w:noProof/>
        </w:rPr>
        <w:t> </w:t>
      </w:r>
      <w:r w:rsidR="00BE6F6D" w:rsidRPr="009A4A22">
        <w:rPr>
          <w:noProof/>
        </w:rPr>
        <w:t>aka</w:t>
      </w:r>
      <w:r w:rsidRPr="009A4A22">
        <w:rPr>
          <w:noProof/>
        </w:rPr>
        <w:t xml:space="preserve">picie pierwszym </w:t>
      </w:r>
      <w:r w:rsidRPr="00BE6F6D">
        <w:rPr>
          <w:noProof/>
        </w:rPr>
        <w:t>lit.</w:t>
      </w:r>
      <w:r w:rsidR="00BE6F6D" w:rsidRPr="00BE6F6D">
        <w:rPr>
          <w:noProof/>
        </w:rPr>
        <w:t> </w:t>
      </w:r>
      <w:r w:rsidRPr="00BE6F6D">
        <w:rPr>
          <w:noProof/>
        </w:rPr>
        <w:t>b)</w:t>
      </w:r>
      <w:r w:rsidRPr="009A4A22">
        <w:rPr>
          <w:noProof/>
        </w:rPr>
        <w:t xml:space="preserve">.”; </w:t>
      </w:r>
    </w:p>
    <w:p w14:paraId="40C4A78F" w14:textId="0BD7C25A" w:rsidR="00E80D78" w:rsidRPr="009A4A22" w:rsidRDefault="001755F8" w:rsidP="001755F8">
      <w:pPr>
        <w:pStyle w:val="ManualNumPar1"/>
        <w:rPr>
          <w:noProof/>
        </w:rPr>
      </w:pPr>
      <w:r w:rsidRPr="001755F8">
        <w:t>2.</w:t>
      </w:r>
      <w:r w:rsidRPr="001755F8">
        <w:tab/>
      </w:r>
      <w:r w:rsidR="00E80D78" w:rsidRPr="00BE6F6D">
        <w:rPr>
          <w:noProof/>
        </w:rPr>
        <w:t>art.</w:t>
      </w:r>
      <w:r w:rsidR="00BE6F6D" w:rsidRPr="00BE6F6D">
        <w:rPr>
          <w:noProof/>
        </w:rPr>
        <w:t> </w:t>
      </w:r>
      <w:r w:rsidR="00E80D78" w:rsidRPr="00BE6F6D">
        <w:rPr>
          <w:noProof/>
        </w:rPr>
        <w:t>4</w:t>
      </w:r>
      <w:r w:rsidR="00E80D78" w:rsidRPr="009A4A22">
        <w:rPr>
          <w:noProof/>
        </w:rPr>
        <w:t xml:space="preserve"> </w:t>
      </w:r>
      <w:r w:rsidR="00E80D78" w:rsidRPr="00BE6F6D">
        <w:rPr>
          <w:noProof/>
        </w:rPr>
        <w:t>ust.</w:t>
      </w:r>
      <w:r w:rsidR="00BE6F6D" w:rsidRPr="00BE6F6D">
        <w:rPr>
          <w:noProof/>
        </w:rPr>
        <w:t> </w:t>
      </w:r>
      <w:r w:rsidR="00E80D78" w:rsidRPr="00BE6F6D">
        <w:rPr>
          <w:noProof/>
        </w:rPr>
        <w:t>1</w:t>
      </w:r>
      <w:r w:rsidR="00E80D78" w:rsidRPr="009A4A22">
        <w:rPr>
          <w:noProof/>
        </w:rPr>
        <w:t xml:space="preserve"> </w:t>
      </w:r>
      <w:r w:rsidR="00E80D78" w:rsidRPr="00BE6F6D">
        <w:rPr>
          <w:noProof/>
        </w:rPr>
        <w:t>lit.</w:t>
      </w:r>
      <w:r w:rsidR="00BE6F6D" w:rsidRPr="00BE6F6D">
        <w:rPr>
          <w:noProof/>
        </w:rPr>
        <w:t> </w:t>
      </w:r>
      <w:r w:rsidR="00E80D78" w:rsidRPr="00BE6F6D">
        <w:rPr>
          <w:noProof/>
        </w:rPr>
        <w:t>e)</w:t>
      </w:r>
      <w:r w:rsidR="00E80D78" w:rsidRPr="009A4A22">
        <w:rPr>
          <w:noProof/>
        </w:rPr>
        <w:t xml:space="preserve"> i f) otrzymują brzmienie:</w:t>
      </w:r>
    </w:p>
    <w:p w14:paraId="535CFA6E" w14:textId="55331AB0" w:rsidR="00087057" w:rsidRPr="009A4A22" w:rsidRDefault="00E77C80" w:rsidP="00087057">
      <w:pPr>
        <w:rPr>
          <w:noProof/>
        </w:rPr>
      </w:pPr>
      <w:r w:rsidRPr="009A4A22">
        <w:rPr>
          <w:noProof/>
        </w:rPr>
        <w:t>„e) »spór krajowy« oznacza spór między konsumentem</w:t>
      </w:r>
      <w:r w:rsidR="00BE6F6D" w:rsidRPr="009A4A22">
        <w:rPr>
          <w:noProof/>
        </w:rPr>
        <w:t xml:space="preserve"> a</w:t>
      </w:r>
      <w:r w:rsidR="00BE6F6D">
        <w:rPr>
          <w:noProof/>
        </w:rPr>
        <w:t> </w:t>
      </w:r>
      <w:r w:rsidR="00BE6F6D" w:rsidRPr="009A4A22">
        <w:rPr>
          <w:noProof/>
        </w:rPr>
        <w:t>prz</w:t>
      </w:r>
      <w:r w:rsidRPr="009A4A22">
        <w:rPr>
          <w:noProof/>
        </w:rPr>
        <w:t>edsiębiorcą, dotyczący zobowiązań umownych lub praw konsumentów przewidzianych</w:t>
      </w:r>
      <w:r w:rsidR="00BE6F6D" w:rsidRPr="009A4A22">
        <w:rPr>
          <w:noProof/>
        </w:rPr>
        <w:t xml:space="preserve"> w</w:t>
      </w:r>
      <w:r w:rsidR="00BE6F6D">
        <w:rPr>
          <w:noProof/>
        </w:rPr>
        <w:t> </w:t>
      </w:r>
      <w:r w:rsidR="00BE6F6D" w:rsidRPr="009A4A22">
        <w:rPr>
          <w:noProof/>
        </w:rPr>
        <w:t>pra</w:t>
      </w:r>
      <w:r w:rsidRPr="009A4A22">
        <w:rPr>
          <w:noProof/>
        </w:rPr>
        <w:t>wie Unii,</w:t>
      </w:r>
      <w:r w:rsidR="00BE6F6D" w:rsidRPr="009A4A22">
        <w:rPr>
          <w:noProof/>
        </w:rPr>
        <w:t xml:space="preserve"> o</w:t>
      </w:r>
      <w:r w:rsidR="00BE6F6D">
        <w:rPr>
          <w:noProof/>
        </w:rPr>
        <w:t> </w:t>
      </w:r>
      <w:r w:rsidR="00BE6F6D" w:rsidRPr="009A4A22">
        <w:rPr>
          <w:noProof/>
        </w:rPr>
        <w:t>czy</w:t>
      </w:r>
      <w:r w:rsidRPr="009A4A22">
        <w:rPr>
          <w:noProof/>
        </w:rPr>
        <w:t>m mowa</w:t>
      </w:r>
      <w:r w:rsidR="00BE6F6D" w:rsidRPr="009A4A22">
        <w:rPr>
          <w:noProof/>
        </w:rPr>
        <w:t xml:space="preserve"> w</w:t>
      </w:r>
      <w:r w:rsidR="00BE6F6D">
        <w:rPr>
          <w:noProof/>
        </w:rPr>
        <w:t> </w:t>
      </w:r>
      <w:r w:rsidR="00BE6F6D" w:rsidRPr="00BE6F6D">
        <w:rPr>
          <w:noProof/>
        </w:rPr>
        <w:t>art</w:t>
      </w:r>
      <w:r w:rsidRPr="00BE6F6D">
        <w:rPr>
          <w:noProof/>
        </w:rPr>
        <w:t>.</w:t>
      </w:r>
      <w:r w:rsidR="00BE6F6D" w:rsidRPr="00BE6F6D">
        <w:rPr>
          <w:noProof/>
        </w:rPr>
        <w:t> </w:t>
      </w:r>
      <w:r w:rsidRPr="00BE6F6D">
        <w:rPr>
          <w:noProof/>
        </w:rPr>
        <w:t>2</w:t>
      </w:r>
      <w:r w:rsidRPr="009A4A22">
        <w:rPr>
          <w:noProof/>
        </w:rPr>
        <w:t xml:space="preserve"> </w:t>
      </w:r>
      <w:r w:rsidRPr="00BE6F6D">
        <w:rPr>
          <w:noProof/>
        </w:rPr>
        <w:t>ust.</w:t>
      </w:r>
      <w:r w:rsidR="00BE6F6D" w:rsidRPr="00BE6F6D">
        <w:rPr>
          <w:noProof/>
        </w:rPr>
        <w:t> </w:t>
      </w:r>
      <w:r w:rsidRPr="00BE6F6D">
        <w:rPr>
          <w:noProof/>
        </w:rPr>
        <w:t>1</w:t>
      </w:r>
      <w:r w:rsidRPr="009A4A22">
        <w:rPr>
          <w:noProof/>
        </w:rPr>
        <w:t>,</w:t>
      </w:r>
      <w:r w:rsidR="00BE6F6D" w:rsidRPr="009A4A22">
        <w:rPr>
          <w:noProof/>
        </w:rPr>
        <w:t xml:space="preserve"> w</w:t>
      </w:r>
      <w:r w:rsidR="00BE6F6D">
        <w:rPr>
          <w:noProof/>
        </w:rPr>
        <w:t> </w:t>
      </w:r>
      <w:r w:rsidR="00BE6F6D" w:rsidRPr="009A4A22">
        <w:rPr>
          <w:noProof/>
        </w:rPr>
        <w:t>prz</w:t>
      </w:r>
      <w:r w:rsidRPr="009A4A22">
        <w:rPr>
          <w:noProof/>
        </w:rPr>
        <w:t>ypadku gdy konsument zamieszkuje</w:t>
      </w:r>
      <w:r w:rsidR="00BE6F6D" w:rsidRPr="009A4A22">
        <w:rPr>
          <w:noProof/>
        </w:rPr>
        <w:t xml:space="preserve"> w</w:t>
      </w:r>
      <w:r w:rsidR="00BE6F6D">
        <w:rPr>
          <w:noProof/>
        </w:rPr>
        <w:t> </w:t>
      </w:r>
      <w:r w:rsidR="00BE6F6D" w:rsidRPr="009A4A22">
        <w:rPr>
          <w:noProof/>
        </w:rPr>
        <w:t>tym</w:t>
      </w:r>
      <w:r w:rsidRPr="009A4A22">
        <w:rPr>
          <w:noProof/>
        </w:rPr>
        <w:t xml:space="preserve"> samym państwie członkowskim,</w:t>
      </w:r>
      <w:r w:rsidR="00BE6F6D" w:rsidRPr="009A4A22">
        <w:rPr>
          <w:noProof/>
        </w:rPr>
        <w:t xml:space="preserve"> w</w:t>
      </w:r>
      <w:r w:rsidR="00BE6F6D">
        <w:rPr>
          <w:noProof/>
        </w:rPr>
        <w:t> </w:t>
      </w:r>
      <w:r w:rsidR="00BE6F6D" w:rsidRPr="009A4A22">
        <w:rPr>
          <w:noProof/>
        </w:rPr>
        <w:t>któ</w:t>
      </w:r>
      <w:r w:rsidRPr="009A4A22">
        <w:rPr>
          <w:noProof/>
        </w:rPr>
        <w:t>rym przedsiębiorca ma siedzibę;</w:t>
      </w:r>
    </w:p>
    <w:p w14:paraId="310033DD" w14:textId="0CDE0E66" w:rsidR="00E80D78" w:rsidRPr="009A4A22" w:rsidRDefault="00087057" w:rsidP="005669E0">
      <w:pPr>
        <w:rPr>
          <w:noProof/>
        </w:rPr>
      </w:pPr>
      <w:r w:rsidRPr="009A4A22">
        <w:rPr>
          <w:noProof/>
        </w:rPr>
        <w:t>f) »spór transgraniczny« oznacza spór między konsumentem</w:t>
      </w:r>
      <w:r w:rsidR="00BE6F6D" w:rsidRPr="009A4A22">
        <w:rPr>
          <w:noProof/>
        </w:rPr>
        <w:t xml:space="preserve"> a</w:t>
      </w:r>
      <w:r w:rsidR="00BE6F6D">
        <w:rPr>
          <w:noProof/>
        </w:rPr>
        <w:t> </w:t>
      </w:r>
      <w:r w:rsidR="00BE6F6D" w:rsidRPr="009A4A22">
        <w:rPr>
          <w:noProof/>
        </w:rPr>
        <w:t>prz</w:t>
      </w:r>
      <w:r w:rsidRPr="009A4A22">
        <w:rPr>
          <w:noProof/>
        </w:rPr>
        <w:t>edsiębiorcą, dotyczący zobowiązań umownych lub praw konsumentów przewidzianych</w:t>
      </w:r>
      <w:r w:rsidR="00BE6F6D" w:rsidRPr="009A4A22">
        <w:rPr>
          <w:noProof/>
        </w:rPr>
        <w:t xml:space="preserve"> w</w:t>
      </w:r>
      <w:r w:rsidR="00BE6F6D">
        <w:rPr>
          <w:noProof/>
        </w:rPr>
        <w:t> </w:t>
      </w:r>
      <w:r w:rsidR="00BE6F6D" w:rsidRPr="009A4A22">
        <w:rPr>
          <w:noProof/>
        </w:rPr>
        <w:t>akt</w:t>
      </w:r>
      <w:r w:rsidRPr="009A4A22">
        <w:rPr>
          <w:noProof/>
        </w:rPr>
        <w:t>ach Unii,</w:t>
      </w:r>
      <w:r w:rsidR="00BE6F6D" w:rsidRPr="009A4A22">
        <w:rPr>
          <w:noProof/>
        </w:rPr>
        <w:t xml:space="preserve"> o</w:t>
      </w:r>
      <w:r w:rsidR="00BE6F6D">
        <w:rPr>
          <w:noProof/>
        </w:rPr>
        <w:t> </w:t>
      </w:r>
      <w:r w:rsidR="00BE6F6D" w:rsidRPr="009A4A22">
        <w:rPr>
          <w:noProof/>
        </w:rPr>
        <w:t>czy</w:t>
      </w:r>
      <w:r w:rsidRPr="009A4A22">
        <w:rPr>
          <w:noProof/>
        </w:rPr>
        <w:t>m mowa</w:t>
      </w:r>
      <w:r w:rsidR="00BE6F6D" w:rsidRPr="009A4A22">
        <w:rPr>
          <w:noProof/>
        </w:rPr>
        <w:t xml:space="preserve"> w</w:t>
      </w:r>
      <w:r w:rsidR="00BE6F6D">
        <w:rPr>
          <w:noProof/>
        </w:rPr>
        <w:t> </w:t>
      </w:r>
      <w:r w:rsidR="00BE6F6D" w:rsidRPr="00BE6F6D">
        <w:rPr>
          <w:noProof/>
        </w:rPr>
        <w:t>art</w:t>
      </w:r>
      <w:r w:rsidRPr="00BE6F6D">
        <w:rPr>
          <w:noProof/>
        </w:rPr>
        <w:t>.</w:t>
      </w:r>
      <w:r w:rsidR="00BE6F6D" w:rsidRPr="00BE6F6D">
        <w:rPr>
          <w:noProof/>
        </w:rPr>
        <w:t> </w:t>
      </w:r>
      <w:r w:rsidRPr="00BE6F6D">
        <w:rPr>
          <w:noProof/>
        </w:rPr>
        <w:t>2</w:t>
      </w:r>
      <w:r w:rsidRPr="009A4A22">
        <w:rPr>
          <w:noProof/>
        </w:rPr>
        <w:t xml:space="preserve"> </w:t>
      </w:r>
      <w:r w:rsidRPr="00BE6F6D">
        <w:rPr>
          <w:noProof/>
        </w:rPr>
        <w:t>ust.</w:t>
      </w:r>
      <w:r w:rsidR="00BE6F6D" w:rsidRPr="00BE6F6D">
        <w:rPr>
          <w:noProof/>
        </w:rPr>
        <w:t> </w:t>
      </w:r>
      <w:r w:rsidRPr="00BE6F6D">
        <w:rPr>
          <w:noProof/>
        </w:rPr>
        <w:t>1</w:t>
      </w:r>
      <w:r w:rsidRPr="009A4A22">
        <w:rPr>
          <w:noProof/>
        </w:rPr>
        <w:t>,</w:t>
      </w:r>
      <w:r w:rsidR="00BE6F6D" w:rsidRPr="009A4A22">
        <w:rPr>
          <w:noProof/>
        </w:rPr>
        <w:t xml:space="preserve"> w</w:t>
      </w:r>
      <w:r w:rsidR="00BE6F6D">
        <w:rPr>
          <w:noProof/>
        </w:rPr>
        <w:t> </w:t>
      </w:r>
      <w:r w:rsidR="00BE6F6D" w:rsidRPr="009A4A22">
        <w:rPr>
          <w:noProof/>
        </w:rPr>
        <w:t>prz</w:t>
      </w:r>
      <w:r w:rsidRPr="009A4A22">
        <w:rPr>
          <w:noProof/>
        </w:rPr>
        <w:t>ypadku gdy konsument zamieszkuje</w:t>
      </w:r>
      <w:r w:rsidR="00BE6F6D" w:rsidRPr="009A4A22">
        <w:rPr>
          <w:noProof/>
        </w:rPr>
        <w:t xml:space="preserve"> w</w:t>
      </w:r>
      <w:r w:rsidR="00BE6F6D">
        <w:rPr>
          <w:noProof/>
        </w:rPr>
        <w:t> </w:t>
      </w:r>
      <w:r w:rsidR="00BE6F6D" w:rsidRPr="009A4A22">
        <w:rPr>
          <w:noProof/>
        </w:rPr>
        <w:t>pań</w:t>
      </w:r>
      <w:r w:rsidRPr="009A4A22">
        <w:rPr>
          <w:noProof/>
        </w:rPr>
        <w:t>stwie członkowskim innym niż państwo członkowskie,</w:t>
      </w:r>
      <w:r w:rsidR="00BE6F6D" w:rsidRPr="009A4A22">
        <w:rPr>
          <w:noProof/>
        </w:rPr>
        <w:t xml:space="preserve"> w</w:t>
      </w:r>
      <w:r w:rsidR="00BE6F6D">
        <w:rPr>
          <w:noProof/>
        </w:rPr>
        <w:t> </w:t>
      </w:r>
      <w:r w:rsidR="00BE6F6D" w:rsidRPr="009A4A22">
        <w:rPr>
          <w:noProof/>
        </w:rPr>
        <w:t>któ</w:t>
      </w:r>
      <w:r w:rsidRPr="009A4A22">
        <w:rPr>
          <w:noProof/>
        </w:rPr>
        <w:t>rym przedsiębiorca ma siedzibę, lub</w:t>
      </w:r>
      <w:r w:rsidR="00BE6F6D" w:rsidRPr="009A4A22">
        <w:rPr>
          <w:noProof/>
        </w:rPr>
        <w:t xml:space="preserve"> w</w:t>
      </w:r>
      <w:r w:rsidR="00BE6F6D">
        <w:rPr>
          <w:noProof/>
        </w:rPr>
        <w:t> </w:t>
      </w:r>
      <w:r w:rsidR="00BE6F6D" w:rsidRPr="009A4A22">
        <w:rPr>
          <w:noProof/>
        </w:rPr>
        <w:t>prz</w:t>
      </w:r>
      <w:r w:rsidRPr="009A4A22">
        <w:rPr>
          <w:noProof/>
        </w:rPr>
        <w:t>ypadku gdy konsument zamieszkuje</w:t>
      </w:r>
      <w:r w:rsidR="00BE6F6D" w:rsidRPr="009A4A22">
        <w:rPr>
          <w:noProof/>
        </w:rPr>
        <w:t xml:space="preserve"> w</w:t>
      </w:r>
      <w:r w:rsidR="00BE6F6D">
        <w:rPr>
          <w:noProof/>
        </w:rPr>
        <w:t> </w:t>
      </w:r>
      <w:r w:rsidR="00BE6F6D" w:rsidRPr="009A4A22">
        <w:rPr>
          <w:noProof/>
        </w:rPr>
        <w:t>pań</w:t>
      </w:r>
      <w:r w:rsidRPr="009A4A22">
        <w:rPr>
          <w:noProof/>
        </w:rPr>
        <w:t>stwie członkowskim,</w:t>
      </w:r>
      <w:r w:rsidR="00BE6F6D" w:rsidRPr="009A4A22">
        <w:rPr>
          <w:noProof/>
        </w:rPr>
        <w:t xml:space="preserve"> a</w:t>
      </w:r>
      <w:r w:rsidR="00BE6F6D">
        <w:rPr>
          <w:noProof/>
        </w:rPr>
        <w:t> </w:t>
      </w:r>
      <w:r w:rsidR="00BE6F6D" w:rsidRPr="009A4A22">
        <w:rPr>
          <w:noProof/>
        </w:rPr>
        <w:t>prz</w:t>
      </w:r>
      <w:r w:rsidRPr="009A4A22">
        <w:rPr>
          <w:noProof/>
        </w:rPr>
        <w:t>edsiębiorca ma siedzibę poza Unią;”;</w:t>
      </w:r>
    </w:p>
    <w:p w14:paraId="6FD28052" w14:textId="716A0892" w:rsidR="00D9744D" w:rsidRPr="009A4A22" w:rsidRDefault="001755F8" w:rsidP="001755F8">
      <w:pPr>
        <w:pStyle w:val="ManualNumPar1"/>
        <w:rPr>
          <w:noProof/>
        </w:rPr>
      </w:pPr>
      <w:r w:rsidRPr="001755F8">
        <w:t>3.</w:t>
      </w:r>
      <w:r w:rsidRPr="001755F8">
        <w:tab/>
      </w:r>
      <w:r w:rsidR="00310D36" w:rsidRPr="009A4A22">
        <w:rPr>
          <w:noProof/>
        </w:rPr>
        <w:t xml:space="preserve">w </w:t>
      </w:r>
      <w:r w:rsidR="00310D36" w:rsidRPr="00BE6F6D">
        <w:rPr>
          <w:noProof/>
        </w:rPr>
        <w:t>art.</w:t>
      </w:r>
      <w:r w:rsidR="00BE6F6D" w:rsidRPr="00BE6F6D">
        <w:rPr>
          <w:noProof/>
        </w:rPr>
        <w:t> </w:t>
      </w:r>
      <w:r w:rsidR="00310D36" w:rsidRPr="00BE6F6D">
        <w:rPr>
          <w:noProof/>
        </w:rPr>
        <w:t>5</w:t>
      </w:r>
      <w:r w:rsidR="00310D36" w:rsidRPr="009A4A22">
        <w:rPr>
          <w:noProof/>
        </w:rPr>
        <w:t xml:space="preserve"> wprowadza się następujące zmiany:</w:t>
      </w:r>
    </w:p>
    <w:p w14:paraId="7991BE39" w14:textId="3095A3B5" w:rsidR="00087057" w:rsidRPr="009A4A22" w:rsidRDefault="00F2091F" w:rsidP="00F2091F">
      <w:pPr>
        <w:pStyle w:val="Point0"/>
        <w:rPr>
          <w:noProof/>
        </w:rPr>
      </w:pPr>
      <w:r w:rsidRPr="00F2091F">
        <w:rPr>
          <w:noProof/>
        </w:rPr>
        <w:t>a)</w:t>
      </w:r>
      <w:r w:rsidRPr="00F2091F">
        <w:rPr>
          <w:noProof/>
        </w:rPr>
        <w:tab/>
      </w:r>
      <w:r w:rsidR="00A14155" w:rsidRPr="00BE6F6D">
        <w:rPr>
          <w:noProof/>
        </w:rPr>
        <w:t>ust.</w:t>
      </w:r>
      <w:r w:rsidR="00BE6F6D" w:rsidRPr="00BE6F6D">
        <w:rPr>
          <w:noProof/>
        </w:rPr>
        <w:t> </w:t>
      </w:r>
      <w:r w:rsidR="00A14155" w:rsidRPr="00BE6F6D">
        <w:rPr>
          <w:noProof/>
        </w:rPr>
        <w:t>1</w:t>
      </w:r>
      <w:r w:rsidR="00A14155" w:rsidRPr="009A4A22">
        <w:rPr>
          <w:noProof/>
        </w:rPr>
        <w:t xml:space="preserve"> otrzymuje brzmienie:</w:t>
      </w:r>
    </w:p>
    <w:p w14:paraId="673B9B66" w14:textId="2D775CC9" w:rsidR="00087057" w:rsidRPr="009A4A22" w:rsidRDefault="00072483" w:rsidP="004E1C00">
      <w:pPr>
        <w:rPr>
          <w:noProof/>
        </w:rPr>
      </w:pPr>
      <w:r w:rsidRPr="009A4A22">
        <w:rPr>
          <w:noProof/>
        </w:rPr>
        <w:t>„1.   Państwa członkowskie ułatwiają konsumentom dostęp do postępowań ADR</w:t>
      </w:r>
      <w:r w:rsidR="00BE6F6D" w:rsidRPr="009A4A22">
        <w:rPr>
          <w:noProof/>
        </w:rPr>
        <w:t xml:space="preserve"> i</w:t>
      </w:r>
      <w:r w:rsidR="00BE6F6D">
        <w:rPr>
          <w:noProof/>
        </w:rPr>
        <w:t> </w:t>
      </w:r>
      <w:r w:rsidR="00BE6F6D" w:rsidRPr="009A4A22">
        <w:rPr>
          <w:noProof/>
        </w:rPr>
        <w:t>zap</w:t>
      </w:r>
      <w:r w:rsidRPr="009A4A22">
        <w:rPr>
          <w:noProof/>
        </w:rPr>
        <w:t>ewniają możliwość poddania sporów objętych niniejszą dyrektywą</w:t>
      </w:r>
      <w:r w:rsidR="00BE6F6D" w:rsidRPr="009A4A22">
        <w:rPr>
          <w:noProof/>
        </w:rPr>
        <w:t xml:space="preserve"> i</w:t>
      </w:r>
      <w:r w:rsidR="00BE6F6D">
        <w:rPr>
          <w:noProof/>
        </w:rPr>
        <w:t> </w:t>
      </w:r>
      <w:r w:rsidR="00BE6F6D" w:rsidRPr="009A4A22">
        <w:rPr>
          <w:noProof/>
        </w:rPr>
        <w:t>dot</w:t>
      </w:r>
      <w:r w:rsidRPr="009A4A22">
        <w:rPr>
          <w:noProof/>
        </w:rPr>
        <w:t>yczących przedsiębiorcy mającego siedzibę na ich terytoriach lub przedsiębiorcy niemającego siedziby na terytorium żadnego państwa członkowskiego, ale oferującego towary lub usługi,</w:t>
      </w:r>
      <w:r w:rsidR="00BE6F6D" w:rsidRPr="009A4A22">
        <w:rPr>
          <w:noProof/>
        </w:rPr>
        <w:t xml:space="preserve"> w</w:t>
      </w:r>
      <w:r w:rsidR="00BE6F6D">
        <w:rPr>
          <w:noProof/>
        </w:rPr>
        <w:t> </w:t>
      </w:r>
      <w:r w:rsidR="00BE6F6D" w:rsidRPr="009A4A22">
        <w:rPr>
          <w:noProof/>
        </w:rPr>
        <w:t>tym</w:t>
      </w:r>
      <w:r w:rsidRPr="009A4A22">
        <w:rPr>
          <w:noProof/>
        </w:rPr>
        <w:t xml:space="preserve"> treści</w:t>
      </w:r>
      <w:r w:rsidR="00BE6F6D" w:rsidRPr="009A4A22">
        <w:rPr>
          <w:noProof/>
        </w:rPr>
        <w:t xml:space="preserve"> i</w:t>
      </w:r>
      <w:r w:rsidR="00BE6F6D">
        <w:rPr>
          <w:noProof/>
        </w:rPr>
        <w:t> </w:t>
      </w:r>
      <w:r w:rsidR="00BE6F6D" w:rsidRPr="009A4A22">
        <w:rPr>
          <w:noProof/>
        </w:rPr>
        <w:t>usł</w:t>
      </w:r>
      <w:r w:rsidRPr="009A4A22">
        <w:rPr>
          <w:noProof/>
        </w:rPr>
        <w:t>ugi cyfrowe, konsumentom zamieszkałym na ich terytorium, pod rozstrzygnięcie podmiotowi ADR, które spełnia wymogi określone</w:t>
      </w:r>
      <w:r w:rsidR="00BE6F6D" w:rsidRPr="009A4A22">
        <w:rPr>
          <w:noProof/>
        </w:rPr>
        <w:t xml:space="preserve"> w</w:t>
      </w:r>
      <w:r w:rsidR="00BE6F6D">
        <w:rPr>
          <w:noProof/>
        </w:rPr>
        <w:t> </w:t>
      </w:r>
      <w:r w:rsidR="00BE6F6D" w:rsidRPr="009A4A22">
        <w:rPr>
          <w:noProof/>
        </w:rPr>
        <w:t>nin</w:t>
      </w:r>
      <w:r w:rsidRPr="009A4A22">
        <w:rPr>
          <w:noProof/>
        </w:rPr>
        <w:t>iejszej dyrektywie.”;</w:t>
      </w:r>
    </w:p>
    <w:p w14:paraId="74C57A48" w14:textId="6BAF038B" w:rsidR="00D9744D" w:rsidRPr="009A4A22" w:rsidRDefault="00F2091F" w:rsidP="00F2091F">
      <w:pPr>
        <w:pStyle w:val="Point0"/>
        <w:rPr>
          <w:noProof/>
        </w:rPr>
      </w:pPr>
      <w:r w:rsidRPr="00F2091F">
        <w:rPr>
          <w:noProof/>
        </w:rPr>
        <w:t>b)</w:t>
      </w:r>
      <w:r w:rsidRPr="00F2091F">
        <w:rPr>
          <w:noProof/>
        </w:rPr>
        <w:tab/>
      </w:r>
      <w:r w:rsidR="00A14155" w:rsidRPr="00BE6F6D">
        <w:rPr>
          <w:noProof/>
        </w:rPr>
        <w:t>ust.</w:t>
      </w:r>
      <w:r w:rsidR="00BE6F6D" w:rsidRPr="00BE6F6D">
        <w:rPr>
          <w:noProof/>
        </w:rPr>
        <w:t> </w:t>
      </w:r>
      <w:r w:rsidR="00A14155" w:rsidRPr="00BE6F6D">
        <w:rPr>
          <w:noProof/>
        </w:rPr>
        <w:t>2</w:t>
      </w:r>
      <w:r w:rsidR="00A14155" w:rsidRPr="009A4A22">
        <w:rPr>
          <w:noProof/>
        </w:rPr>
        <w:t xml:space="preserve"> </w:t>
      </w:r>
      <w:r w:rsidR="00A14155" w:rsidRPr="00BE6F6D">
        <w:rPr>
          <w:noProof/>
        </w:rPr>
        <w:t>lit.</w:t>
      </w:r>
      <w:r w:rsidR="00BE6F6D" w:rsidRPr="00BE6F6D">
        <w:rPr>
          <w:noProof/>
        </w:rPr>
        <w:t> </w:t>
      </w:r>
      <w:r w:rsidR="00A14155" w:rsidRPr="00BE6F6D">
        <w:rPr>
          <w:noProof/>
        </w:rPr>
        <w:t>a)</w:t>
      </w:r>
      <w:r w:rsidR="00A14155" w:rsidRPr="009A4A22">
        <w:rPr>
          <w:noProof/>
        </w:rPr>
        <w:t xml:space="preserve">–d) otrzymują brzmienie: </w:t>
      </w:r>
    </w:p>
    <w:p w14:paraId="56F12161" w14:textId="68D1645B" w:rsidR="00310D36" w:rsidRPr="009A4A22" w:rsidRDefault="00310D36" w:rsidP="00767FD9">
      <w:pPr>
        <w:spacing w:line="276" w:lineRule="auto"/>
        <w:rPr>
          <w:rFonts w:eastAsia="Times New Roman"/>
          <w:noProof/>
        </w:rPr>
      </w:pPr>
      <w:r w:rsidRPr="009A4A22">
        <w:rPr>
          <w:noProof/>
        </w:rPr>
        <w:t>„a) zapewniały konsumentom możliwość składania skarg</w:t>
      </w:r>
      <w:r w:rsidR="00BE6F6D" w:rsidRPr="009A4A22">
        <w:rPr>
          <w:noProof/>
        </w:rPr>
        <w:t xml:space="preserve"> i</w:t>
      </w:r>
      <w:r w:rsidR="00BE6F6D">
        <w:rPr>
          <w:noProof/>
        </w:rPr>
        <w:t> </w:t>
      </w:r>
      <w:r w:rsidR="00BE6F6D" w:rsidRPr="009A4A22">
        <w:rPr>
          <w:noProof/>
        </w:rPr>
        <w:t>wym</w:t>
      </w:r>
      <w:r w:rsidRPr="009A4A22">
        <w:rPr>
          <w:noProof/>
        </w:rPr>
        <w:t>aganych dokumentów towarzyszących przez internet</w:t>
      </w:r>
      <w:r w:rsidR="00BE6F6D" w:rsidRPr="009A4A22">
        <w:rPr>
          <w:noProof/>
        </w:rPr>
        <w:t xml:space="preserve"> w</w:t>
      </w:r>
      <w:r w:rsidR="00BE6F6D">
        <w:rPr>
          <w:noProof/>
        </w:rPr>
        <w:t> </w:t>
      </w:r>
      <w:r w:rsidR="00BE6F6D" w:rsidRPr="009A4A22">
        <w:rPr>
          <w:noProof/>
        </w:rPr>
        <w:t>spo</w:t>
      </w:r>
      <w:r w:rsidRPr="009A4A22">
        <w:rPr>
          <w:noProof/>
        </w:rPr>
        <w:t>sób umożliwiający ich śledzenie oraz – na żądanie – zapewniały konsumentom możliwość składania tych dokumentów</w:t>
      </w:r>
      <w:r w:rsidR="00BE6F6D" w:rsidRPr="009A4A22">
        <w:rPr>
          <w:noProof/>
        </w:rPr>
        <w:t xml:space="preserve"> i</w:t>
      </w:r>
      <w:r w:rsidR="00BE6F6D">
        <w:rPr>
          <w:noProof/>
        </w:rPr>
        <w:t> </w:t>
      </w:r>
      <w:r w:rsidR="00BE6F6D" w:rsidRPr="009A4A22">
        <w:rPr>
          <w:noProof/>
        </w:rPr>
        <w:t>dos</w:t>
      </w:r>
      <w:r w:rsidRPr="009A4A22">
        <w:rPr>
          <w:noProof/>
        </w:rPr>
        <w:t>tępu do nich</w:t>
      </w:r>
      <w:r w:rsidR="00BE6F6D" w:rsidRPr="009A4A22">
        <w:rPr>
          <w:noProof/>
        </w:rPr>
        <w:t xml:space="preserve"> w</w:t>
      </w:r>
      <w:r w:rsidR="00BE6F6D">
        <w:rPr>
          <w:noProof/>
        </w:rPr>
        <w:t> </w:t>
      </w:r>
      <w:r w:rsidR="00BE6F6D" w:rsidRPr="009A4A22">
        <w:rPr>
          <w:noProof/>
        </w:rPr>
        <w:t>for</w:t>
      </w:r>
      <w:r w:rsidRPr="009A4A22">
        <w:rPr>
          <w:noProof/>
        </w:rPr>
        <w:t xml:space="preserve">macie niecyfrowym; </w:t>
      </w:r>
    </w:p>
    <w:p w14:paraId="7B9A5E93" w14:textId="39B44E5D" w:rsidR="00310D36" w:rsidRPr="009A4A22" w:rsidRDefault="007475F1" w:rsidP="00310D36">
      <w:pPr>
        <w:spacing w:line="276" w:lineRule="auto"/>
        <w:rPr>
          <w:rFonts w:eastAsia="Times New Roman"/>
          <w:noProof/>
          <w:szCs w:val="24"/>
        </w:rPr>
      </w:pPr>
      <w:r w:rsidRPr="009A4A22">
        <w:rPr>
          <w:noProof/>
        </w:rPr>
        <w:t>b</w:t>
      </w:r>
      <w:bookmarkStart w:id="6" w:name="_Hlk147840396"/>
      <w:r w:rsidRPr="009A4A22">
        <w:rPr>
          <w:noProof/>
        </w:rPr>
        <w:t>) oferowały cyfrowe postępowania ADR</w:t>
      </w:r>
      <w:r w:rsidR="00BE6F6D" w:rsidRPr="009A4A22">
        <w:rPr>
          <w:noProof/>
        </w:rPr>
        <w:t xml:space="preserve"> z</w:t>
      </w:r>
      <w:r w:rsidR="00BE6F6D">
        <w:rPr>
          <w:noProof/>
        </w:rPr>
        <w:t> </w:t>
      </w:r>
      <w:r w:rsidR="00BE6F6D" w:rsidRPr="009A4A22">
        <w:rPr>
          <w:noProof/>
        </w:rPr>
        <w:t>wyk</w:t>
      </w:r>
      <w:r w:rsidRPr="009A4A22">
        <w:rPr>
          <w:noProof/>
        </w:rPr>
        <w:t>orzystaniem łatwo dostępnych</w:t>
      </w:r>
      <w:r w:rsidR="00BE6F6D" w:rsidRPr="009A4A22">
        <w:rPr>
          <w:noProof/>
        </w:rPr>
        <w:t xml:space="preserve"> i</w:t>
      </w:r>
      <w:r w:rsidR="00BE6F6D">
        <w:rPr>
          <w:noProof/>
        </w:rPr>
        <w:t> </w:t>
      </w:r>
      <w:r w:rsidR="00BE6F6D" w:rsidRPr="009A4A22">
        <w:rPr>
          <w:noProof/>
        </w:rPr>
        <w:t>ink</w:t>
      </w:r>
      <w:r w:rsidRPr="009A4A22">
        <w:rPr>
          <w:noProof/>
        </w:rPr>
        <w:t>luzywnych narzędzi</w:t>
      </w:r>
      <w:bookmarkEnd w:id="6"/>
      <w:r w:rsidRPr="009A4A22">
        <w:rPr>
          <w:noProof/>
        </w:rPr>
        <w:t>;</w:t>
      </w:r>
    </w:p>
    <w:p w14:paraId="6C2B3386" w14:textId="5C62D1E9" w:rsidR="00310D36" w:rsidRPr="009A4A22" w:rsidRDefault="007475F1" w:rsidP="00310D36">
      <w:pPr>
        <w:spacing w:line="276" w:lineRule="auto"/>
        <w:rPr>
          <w:rFonts w:eastAsia="Times New Roman"/>
          <w:noProof/>
          <w:szCs w:val="24"/>
        </w:rPr>
      </w:pPr>
      <w:r w:rsidRPr="009A4A22">
        <w:rPr>
          <w:noProof/>
        </w:rPr>
        <w:t>c) przyznawały stronom sporu prawo do wystąpienia</w:t>
      </w:r>
      <w:r w:rsidR="00BE6F6D" w:rsidRPr="009A4A22">
        <w:rPr>
          <w:noProof/>
        </w:rPr>
        <w:t xml:space="preserve"> z</w:t>
      </w:r>
      <w:r w:rsidR="00BE6F6D">
        <w:rPr>
          <w:noProof/>
        </w:rPr>
        <w:t> </w:t>
      </w:r>
      <w:r w:rsidR="00BE6F6D" w:rsidRPr="009A4A22">
        <w:rPr>
          <w:noProof/>
        </w:rPr>
        <w:t>wni</w:t>
      </w:r>
      <w:r w:rsidRPr="009A4A22">
        <w:rPr>
          <w:noProof/>
        </w:rPr>
        <w:t>oskiem</w:t>
      </w:r>
      <w:r w:rsidR="00BE6F6D" w:rsidRPr="009A4A22">
        <w:rPr>
          <w:noProof/>
        </w:rPr>
        <w:t xml:space="preserve"> o</w:t>
      </w:r>
      <w:r w:rsidR="00BE6F6D">
        <w:rPr>
          <w:noProof/>
        </w:rPr>
        <w:t> </w:t>
      </w:r>
      <w:r w:rsidR="00BE6F6D" w:rsidRPr="009A4A22">
        <w:rPr>
          <w:noProof/>
        </w:rPr>
        <w:t>kon</w:t>
      </w:r>
      <w:r w:rsidRPr="009A4A22">
        <w:rPr>
          <w:noProof/>
        </w:rPr>
        <w:t>trolę wyniku postępowania ADR przez osobę fizyczną, jeżeli postępowanie przeprowadzono</w:t>
      </w:r>
      <w:r w:rsidR="00BE6F6D" w:rsidRPr="009A4A22">
        <w:rPr>
          <w:noProof/>
        </w:rPr>
        <w:t xml:space="preserve"> w</w:t>
      </w:r>
      <w:r w:rsidR="00BE6F6D">
        <w:rPr>
          <w:noProof/>
        </w:rPr>
        <w:t> </w:t>
      </w:r>
      <w:r w:rsidR="00BE6F6D" w:rsidRPr="009A4A22">
        <w:rPr>
          <w:noProof/>
        </w:rPr>
        <w:t>spo</w:t>
      </w:r>
      <w:r w:rsidRPr="009A4A22">
        <w:rPr>
          <w:noProof/>
        </w:rPr>
        <w:t>sób zautomatyzowany;</w:t>
      </w:r>
    </w:p>
    <w:p w14:paraId="50647AEA" w14:textId="7CA80B02" w:rsidR="00310D36" w:rsidRPr="009A4A22" w:rsidRDefault="00310D36" w:rsidP="00A62161">
      <w:pPr>
        <w:rPr>
          <w:noProof/>
          <w:szCs w:val="24"/>
        </w:rPr>
      </w:pPr>
      <w:r w:rsidRPr="009A4A22">
        <w:rPr>
          <w:noProof/>
        </w:rPr>
        <w:t xml:space="preserve">d) </w:t>
      </w:r>
      <w:bookmarkStart w:id="7" w:name="_Hlk147519357"/>
      <w:r w:rsidRPr="009A4A22">
        <w:rPr>
          <w:noProof/>
        </w:rPr>
        <w:t>mogły łączyć podobne sprawy przeciwko temu samemu przedsiębiorcy</w:t>
      </w:r>
      <w:r w:rsidR="00BE6F6D" w:rsidRPr="009A4A22">
        <w:rPr>
          <w:noProof/>
        </w:rPr>
        <w:t xml:space="preserve"> w</w:t>
      </w:r>
      <w:r w:rsidR="00BE6F6D">
        <w:rPr>
          <w:noProof/>
        </w:rPr>
        <w:t> </w:t>
      </w:r>
      <w:r w:rsidR="00BE6F6D" w:rsidRPr="009A4A22">
        <w:rPr>
          <w:noProof/>
        </w:rPr>
        <w:t>ram</w:t>
      </w:r>
      <w:r w:rsidRPr="009A4A22">
        <w:rPr>
          <w:noProof/>
        </w:rPr>
        <w:t>ach jednego postępowania, pod warunkiem że zainteresowany konsument zostanie</w:t>
      </w:r>
      <w:r w:rsidR="00BE6F6D" w:rsidRPr="009A4A22">
        <w:rPr>
          <w:noProof/>
        </w:rPr>
        <w:t xml:space="preserve"> o</w:t>
      </w:r>
      <w:r w:rsidR="00BE6F6D">
        <w:rPr>
          <w:noProof/>
        </w:rPr>
        <w:t> </w:t>
      </w:r>
      <w:r w:rsidR="00BE6F6D" w:rsidRPr="009A4A22">
        <w:rPr>
          <w:noProof/>
        </w:rPr>
        <w:t>tym</w:t>
      </w:r>
      <w:r w:rsidRPr="009A4A22">
        <w:rPr>
          <w:noProof/>
        </w:rPr>
        <w:t xml:space="preserve"> poinformowany</w:t>
      </w:r>
      <w:r w:rsidR="00BE6F6D" w:rsidRPr="009A4A22">
        <w:rPr>
          <w:noProof/>
        </w:rPr>
        <w:t xml:space="preserve"> i</w:t>
      </w:r>
      <w:r w:rsidR="00BE6F6D">
        <w:rPr>
          <w:noProof/>
        </w:rPr>
        <w:t> </w:t>
      </w:r>
      <w:r w:rsidR="00BE6F6D" w:rsidRPr="009A4A22">
        <w:rPr>
          <w:noProof/>
        </w:rPr>
        <w:t>nie</w:t>
      </w:r>
      <w:r w:rsidRPr="009A4A22">
        <w:rPr>
          <w:noProof/>
        </w:rPr>
        <w:t xml:space="preserve"> wyrazi sprzeciwu;”</w:t>
      </w:r>
      <w:bookmarkEnd w:id="7"/>
      <w:r w:rsidRPr="009A4A22">
        <w:rPr>
          <w:noProof/>
        </w:rPr>
        <w:t>;</w:t>
      </w:r>
    </w:p>
    <w:p w14:paraId="39CC37C1" w14:textId="7A7F8E37" w:rsidR="0088767B" w:rsidRPr="009A4A22" w:rsidRDefault="00F2091F" w:rsidP="00F2091F">
      <w:pPr>
        <w:pStyle w:val="Point0"/>
        <w:rPr>
          <w:noProof/>
        </w:rPr>
      </w:pPr>
      <w:r>
        <w:rPr>
          <w:noProof/>
        </w:rPr>
        <w:t>c</w:t>
      </w:r>
      <w:r w:rsidRPr="00F2091F">
        <w:rPr>
          <w:noProof/>
        </w:rPr>
        <w:t>)</w:t>
      </w:r>
      <w:r w:rsidRPr="00F2091F">
        <w:rPr>
          <w:noProof/>
        </w:rPr>
        <w:tab/>
      </w:r>
      <w:r w:rsidR="00A6304B" w:rsidRPr="00BE6F6D">
        <w:rPr>
          <w:noProof/>
        </w:rPr>
        <w:t>ust.</w:t>
      </w:r>
      <w:r w:rsidR="00BE6F6D" w:rsidRPr="00BE6F6D">
        <w:rPr>
          <w:noProof/>
        </w:rPr>
        <w:t> </w:t>
      </w:r>
      <w:r w:rsidR="00A6304B" w:rsidRPr="00BE6F6D">
        <w:rPr>
          <w:noProof/>
        </w:rPr>
        <w:t>4</w:t>
      </w:r>
      <w:r w:rsidR="00A6304B" w:rsidRPr="009A4A22">
        <w:rPr>
          <w:noProof/>
        </w:rPr>
        <w:t xml:space="preserve"> </w:t>
      </w:r>
      <w:r w:rsidR="00A6304B" w:rsidRPr="00BE6F6D">
        <w:rPr>
          <w:noProof/>
        </w:rPr>
        <w:t>lit.</w:t>
      </w:r>
      <w:r w:rsidR="00BE6F6D" w:rsidRPr="00BE6F6D">
        <w:rPr>
          <w:noProof/>
        </w:rPr>
        <w:t> </w:t>
      </w:r>
      <w:r w:rsidR="00A6304B" w:rsidRPr="00BE6F6D">
        <w:rPr>
          <w:noProof/>
        </w:rPr>
        <w:t>a)</w:t>
      </w:r>
      <w:r w:rsidR="00A6304B" w:rsidRPr="009A4A22">
        <w:rPr>
          <w:noProof/>
        </w:rPr>
        <w:t xml:space="preserve"> otrzymuje brzmienie:</w:t>
      </w:r>
    </w:p>
    <w:p w14:paraId="6A83AB4C" w14:textId="66018713" w:rsidR="00310D36" w:rsidRPr="009A4A22" w:rsidRDefault="0088767B" w:rsidP="0088767B">
      <w:pPr>
        <w:rPr>
          <w:noProof/>
        </w:rPr>
      </w:pPr>
      <w:r w:rsidRPr="009A4A22">
        <w:rPr>
          <w:noProof/>
        </w:rPr>
        <w:t xml:space="preserve"> „a) konsument nie podjął próby skontaktowania się</w:t>
      </w:r>
      <w:r w:rsidR="00BE6F6D" w:rsidRPr="009A4A22">
        <w:rPr>
          <w:noProof/>
        </w:rPr>
        <w:t xml:space="preserve"> z</w:t>
      </w:r>
      <w:r w:rsidR="00BE6F6D">
        <w:rPr>
          <w:noProof/>
        </w:rPr>
        <w:t> </w:t>
      </w:r>
      <w:r w:rsidR="00BE6F6D" w:rsidRPr="009A4A22">
        <w:rPr>
          <w:noProof/>
        </w:rPr>
        <w:t>dan</w:t>
      </w:r>
      <w:r w:rsidRPr="009A4A22">
        <w:rPr>
          <w:noProof/>
        </w:rPr>
        <w:t>ym przedsiębiorcą, aby omówić swoją skargę</w:t>
      </w:r>
      <w:r w:rsidR="00BE6F6D" w:rsidRPr="009A4A22">
        <w:rPr>
          <w:noProof/>
        </w:rPr>
        <w:t xml:space="preserve"> i</w:t>
      </w:r>
      <w:r w:rsidR="00BE6F6D">
        <w:rPr>
          <w:noProof/>
        </w:rPr>
        <w:t> </w:t>
      </w:r>
      <w:r w:rsidR="00BE6F6D" w:rsidRPr="009A4A22">
        <w:rPr>
          <w:noProof/>
        </w:rPr>
        <w:t>roz</w:t>
      </w:r>
      <w:r w:rsidRPr="009A4A22">
        <w:rPr>
          <w:noProof/>
        </w:rPr>
        <w:t>wiązać problem bezpośrednio</w:t>
      </w:r>
      <w:r w:rsidR="00BE6F6D" w:rsidRPr="009A4A22">
        <w:rPr>
          <w:noProof/>
        </w:rPr>
        <w:t xml:space="preserve"> z</w:t>
      </w:r>
      <w:r w:rsidR="00BE6F6D">
        <w:rPr>
          <w:noProof/>
        </w:rPr>
        <w:t> </w:t>
      </w:r>
      <w:r w:rsidR="00BE6F6D" w:rsidRPr="009A4A22">
        <w:rPr>
          <w:noProof/>
        </w:rPr>
        <w:t>prz</w:t>
      </w:r>
      <w:r w:rsidRPr="009A4A22">
        <w:rPr>
          <w:noProof/>
        </w:rPr>
        <w:t>edsiębiorcą, bez wprowadzania nieproporcjonalnych zasad dotyczących formy takiego kontaktu;”;</w:t>
      </w:r>
    </w:p>
    <w:p w14:paraId="584F67B0" w14:textId="48844001" w:rsidR="0088767B" w:rsidRPr="009A4A22" w:rsidRDefault="00F2091F" w:rsidP="00F2091F">
      <w:pPr>
        <w:pStyle w:val="Point0"/>
        <w:rPr>
          <w:noProof/>
        </w:rPr>
      </w:pPr>
      <w:r>
        <w:rPr>
          <w:noProof/>
        </w:rPr>
        <w:t>d</w:t>
      </w:r>
      <w:r w:rsidRPr="00F2091F">
        <w:rPr>
          <w:noProof/>
        </w:rPr>
        <w:t>)</w:t>
      </w:r>
      <w:r w:rsidRPr="00F2091F">
        <w:rPr>
          <w:noProof/>
        </w:rPr>
        <w:tab/>
      </w:r>
      <w:r w:rsidR="00A6304B" w:rsidRPr="009A4A22">
        <w:rPr>
          <w:noProof/>
        </w:rPr>
        <w:t xml:space="preserve">dodaje się </w:t>
      </w:r>
      <w:r w:rsidR="00A6304B" w:rsidRPr="00BE6F6D">
        <w:rPr>
          <w:noProof/>
        </w:rPr>
        <w:t>ust.</w:t>
      </w:r>
      <w:r w:rsidR="00BE6F6D" w:rsidRPr="00BE6F6D">
        <w:rPr>
          <w:noProof/>
        </w:rPr>
        <w:t> </w:t>
      </w:r>
      <w:r w:rsidR="00A6304B" w:rsidRPr="00BE6F6D">
        <w:rPr>
          <w:noProof/>
        </w:rPr>
        <w:t>8</w:t>
      </w:r>
      <w:r w:rsidR="00BE6F6D" w:rsidRPr="009A4A22">
        <w:rPr>
          <w:noProof/>
        </w:rPr>
        <w:t xml:space="preserve"> w</w:t>
      </w:r>
      <w:r w:rsidR="00BE6F6D">
        <w:rPr>
          <w:noProof/>
        </w:rPr>
        <w:t> </w:t>
      </w:r>
      <w:r w:rsidR="00BE6F6D" w:rsidRPr="009A4A22">
        <w:rPr>
          <w:noProof/>
        </w:rPr>
        <w:t>brz</w:t>
      </w:r>
      <w:r w:rsidR="00A6304B" w:rsidRPr="009A4A22">
        <w:rPr>
          <w:noProof/>
        </w:rPr>
        <w:t>mieniu:</w:t>
      </w:r>
    </w:p>
    <w:p w14:paraId="7949A60C" w14:textId="70B9F7B1" w:rsidR="0088767B" w:rsidRPr="009A4A22" w:rsidRDefault="00310D36" w:rsidP="0088767B">
      <w:pPr>
        <w:spacing w:line="276" w:lineRule="auto"/>
        <w:rPr>
          <w:noProof/>
          <w:szCs w:val="24"/>
        </w:rPr>
      </w:pPr>
      <w:r w:rsidRPr="009A4A22">
        <w:rPr>
          <w:noProof/>
        </w:rPr>
        <w:t>„8. Państwa członkowskie zapewniają, aby przedsiębiorcy mający siedzibę na ich terytorium,</w:t>
      </w:r>
      <w:r w:rsidR="00BE6F6D" w:rsidRPr="009A4A22">
        <w:rPr>
          <w:noProof/>
        </w:rPr>
        <w:t xml:space="preserve"> z</w:t>
      </w:r>
      <w:r w:rsidR="00BE6F6D">
        <w:rPr>
          <w:noProof/>
        </w:rPr>
        <w:t> </w:t>
      </w:r>
      <w:r w:rsidR="00BE6F6D" w:rsidRPr="009A4A22">
        <w:rPr>
          <w:noProof/>
        </w:rPr>
        <w:t>któ</w:t>
      </w:r>
      <w:r w:rsidRPr="009A4A22">
        <w:rPr>
          <w:noProof/>
        </w:rPr>
        <w:t>rymi kontaktuje się podmiot ADR</w:t>
      </w:r>
      <w:r w:rsidR="00BE6F6D" w:rsidRPr="009A4A22">
        <w:rPr>
          <w:noProof/>
        </w:rPr>
        <w:t xml:space="preserve"> z</w:t>
      </w:r>
      <w:r w:rsidR="00BE6F6D">
        <w:rPr>
          <w:noProof/>
        </w:rPr>
        <w:t> </w:t>
      </w:r>
      <w:r w:rsidR="00BE6F6D" w:rsidRPr="009A4A22">
        <w:rPr>
          <w:noProof/>
        </w:rPr>
        <w:t>teg</w:t>
      </w:r>
      <w:r w:rsidRPr="009A4A22">
        <w:rPr>
          <w:noProof/>
        </w:rPr>
        <w:t>o lub innego państwa członkowskiego, informowali ten podmiot ADR</w:t>
      </w:r>
      <w:r w:rsidR="00BE6F6D" w:rsidRPr="009A4A22">
        <w:rPr>
          <w:noProof/>
        </w:rPr>
        <w:t xml:space="preserve"> o</w:t>
      </w:r>
      <w:r w:rsidR="00BE6F6D">
        <w:rPr>
          <w:noProof/>
        </w:rPr>
        <w:t> </w:t>
      </w:r>
      <w:r w:rsidR="00BE6F6D" w:rsidRPr="009A4A22">
        <w:rPr>
          <w:noProof/>
        </w:rPr>
        <w:t>tym</w:t>
      </w:r>
      <w:r w:rsidRPr="009A4A22">
        <w:rPr>
          <w:noProof/>
        </w:rPr>
        <w:t>, czy zgadzają się na udział</w:t>
      </w:r>
      <w:r w:rsidR="00BE6F6D" w:rsidRPr="009A4A22">
        <w:rPr>
          <w:noProof/>
        </w:rPr>
        <w:t xml:space="preserve"> w</w:t>
      </w:r>
      <w:r w:rsidR="00BE6F6D">
        <w:rPr>
          <w:noProof/>
        </w:rPr>
        <w:t> </w:t>
      </w:r>
      <w:r w:rsidR="00BE6F6D" w:rsidRPr="009A4A22">
        <w:rPr>
          <w:noProof/>
        </w:rPr>
        <w:t>pro</w:t>
      </w:r>
      <w:r w:rsidRPr="009A4A22">
        <w:rPr>
          <w:noProof/>
        </w:rPr>
        <w:t>ponowanym postępowaniu, oraz udzielali odpowiedzi</w:t>
      </w:r>
      <w:r w:rsidR="00BE6F6D" w:rsidRPr="009A4A22">
        <w:rPr>
          <w:noProof/>
        </w:rPr>
        <w:t xml:space="preserve"> w</w:t>
      </w:r>
      <w:r w:rsidR="00BE6F6D">
        <w:rPr>
          <w:noProof/>
        </w:rPr>
        <w:t> </w:t>
      </w:r>
      <w:r w:rsidR="00BE6F6D" w:rsidRPr="009A4A22">
        <w:rPr>
          <w:noProof/>
        </w:rPr>
        <w:t>roz</w:t>
      </w:r>
      <w:r w:rsidRPr="009A4A22">
        <w:rPr>
          <w:noProof/>
        </w:rPr>
        <w:t>sądnym terminie nieprzekraczającym 20 dni roboczych.”;</w:t>
      </w:r>
    </w:p>
    <w:p w14:paraId="197415C5" w14:textId="758B05CA" w:rsidR="009E2348" w:rsidRPr="009A4A22" w:rsidRDefault="001755F8" w:rsidP="001755F8">
      <w:pPr>
        <w:pStyle w:val="ManualNumPar1"/>
        <w:rPr>
          <w:noProof/>
        </w:rPr>
      </w:pPr>
      <w:r w:rsidRPr="001755F8">
        <w:t>4.</w:t>
      </w:r>
      <w:r w:rsidRPr="001755F8">
        <w:tab/>
      </w:r>
      <w:r w:rsidR="00B34E7B" w:rsidRPr="009A4A22">
        <w:rPr>
          <w:noProof/>
        </w:rPr>
        <w:t xml:space="preserve">w </w:t>
      </w:r>
      <w:r w:rsidR="00B34E7B" w:rsidRPr="00BE6F6D">
        <w:rPr>
          <w:noProof/>
        </w:rPr>
        <w:t>art.</w:t>
      </w:r>
      <w:r w:rsidR="00BE6F6D" w:rsidRPr="00BE6F6D">
        <w:rPr>
          <w:noProof/>
        </w:rPr>
        <w:t> </w:t>
      </w:r>
      <w:r w:rsidR="00B34E7B" w:rsidRPr="00BE6F6D">
        <w:rPr>
          <w:noProof/>
        </w:rPr>
        <w:t>7</w:t>
      </w:r>
      <w:r w:rsidR="00B34E7B" w:rsidRPr="009A4A22">
        <w:rPr>
          <w:noProof/>
        </w:rPr>
        <w:t xml:space="preserve"> </w:t>
      </w:r>
      <w:r w:rsidR="00B34E7B" w:rsidRPr="00BE6F6D">
        <w:rPr>
          <w:noProof/>
        </w:rPr>
        <w:t>ust.</w:t>
      </w:r>
      <w:r w:rsidR="00BE6F6D" w:rsidRPr="00BE6F6D">
        <w:rPr>
          <w:noProof/>
        </w:rPr>
        <w:t> </w:t>
      </w:r>
      <w:r w:rsidR="00B34E7B" w:rsidRPr="00BE6F6D">
        <w:rPr>
          <w:noProof/>
        </w:rPr>
        <w:t>2</w:t>
      </w:r>
      <w:r w:rsidR="00B34E7B" w:rsidRPr="009A4A22">
        <w:rPr>
          <w:noProof/>
        </w:rPr>
        <w:t xml:space="preserve"> wprowadza się następujące zmiany:</w:t>
      </w:r>
    </w:p>
    <w:p w14:paraId="1573E057" w14:textId="10314DBD" w:rsidR="00B61726" w:rsidRPr="009A4A22" w:rsidRDefault="00F2091F" w:rsidP="00F2091F">
      <w:pPr>
        <w:pStyle w:val="Point0"/>
        <w:rPr>
          <w:noProof/>
        </w:rPr>
      </w:pPr>
      <w:r w:rsidRPr="00F2091F">
        <w:rPr>
          <w:noProof/>
        </w:rPr>
        <w:t>a)</w:t>
      </w:r>
      <w:r w:rsidRPr="00F2091F">
        <w:rPr>
          <w:noProof/>
        </w:rPr>
        <w:tab/>
      </w:r>
      <w:r w:rsidR="00EC7270" w:rsidRPr="009A4A22">
        <w:rPr>
          <w:noProof/>
        </w:rPr>
        <w:t>formuła wprowadzająca, zdanie pierwsze otrzymuje brzmienie:</w:t>
      </w:r>
    </w:p>
    <w:p w14:paraId="19721ECF" w14:textId="4012E11E" w:rsidR="009E2348" w:rsidRPr="009A4A22" w:rsidRDefault="00310D36" w:rsidP="004E1C00">
      <w:pPr>
        <w:rPr>
          <w:noProof/>
        </w:rPr>
      </w:pPr>
      <w:r w:rsidRPr="009A4A22">
        <w:rPr>
          <w:noProof/>
        </w:rPr>
        <w:t>„Państwa członkowskie zapewniają, by podmioty ADR udostępniały publicznie na swoich stronach internetowych, na wniosek na trwałym nośniku, oraz za pomocą wszelkich innych środków, które uznają za stosowne, dwuletnie sprawozdania</w:t>
      </w:r>
      <w:r w:rsidR="00BE6F6D" w:rsidRPr="009A4A22">
        <w:rPr>
          <w:noProof/>
        </w:rPr>
        <w:t xml:space="preserve"> z</w:t>
      </w:r>
      <w:r w:rsidR="00BE6F6D">
        <w:rPr>
          <w:noProof/>
        </w:rPr>
        <w:t> </w:t>
      </w:r>
      <w:r w:rsidR="00BE6F6D" w:rsidRPr="009A4A22">
        <w:rPr>
          <w:noProof/>
        </w:rPr>
        <w:t>dzi</w:t>
      </w:r>
      <w:r w:rsidRPr="009A4A22">
        <w:rPr>
          <w:noProof/>
        </w:rPr>
        <w:t>ałalności.”;</w:t>
      </w:r>
    </w:p>
    <w:p w14:paraId="4A149D53" w14:textId="188AE72F" w:rsidR="009E2348" w:rsidRPr="009A4A22" w:rsidRDefault="00F2091F" w:rsidP="00F2091F">
      <w:pPr>
        <w:pStyle w:val="Point0"/>
        <w:rPr>
          <w:noProof/>
        </w:rPr>
      </w:pPr>
      <w:r w:rsidRPr="00F2091F">
        <w:rPr>
          <w:noProof/>
        </w:rPr>
        <w:t>b)</w:t>
      </w:r>
      <w:r w:rsidRPr="00F2091F">
        <w:rPr>
          <w:noProof/>
        </w:rPr>
        <w:tab/>
      </w:r>
      <w:r w:rsidR="00EC7270" w:rsidRPr="009A4A22">
        <w:rPr>
          <w:noProof/>
        </w:rPr>
        <w:t xml:space="preserve">uchyla się </w:t>
      </w:r>
      <w:r w:rsidR="00EC7270" w:rsidRPr="00BE6F6D">
        <w:rPr>
          <w:noProof/>
        </w:rPr>
        <w:t>lit.</w:t>
      </w:r>
      <w:r w:rsidR="00BE6F6D" w:rsidRPr="00BE6F6D">
        <w:rPr>
          <w:noProof/>
        </w:rPr>
        <w:t> </w:t>
      </w:r>
      <w:r w:rsidR="00EC7270" w:rsidRPr="00BE6F6D">
        <w:rPr>
          <w:noProof/>
        </w:rPr>
        <w:t>h)</w:t>
      </w:r>
      <w:r w:rsidR="00EC7270" w:rsidRPr="009A4A22">
        <w:rPr>
          <w:noProof/>
        </w:rPr>
        <w:t>;</w:t>
      </w:r>
    </w:p>
    <w:p w14:paraId="351DBC3D" w14:textId="0D5E4BB5" w:rsidR="004E1C00" w:rsidRPr="009A4A22" w:rsidRDefault="001755F8" w:rsidP="001755F8">
      <w:pPr>
        <w:pStyle w:val="ManualNumPar1"/>
        <w:rPr>
          <w:noProof/>
        </w:rPr>
      </w:pPr>
      <w:r w:rsidRPr="001755F8">
        <w:t>5.</w:t>
      </w:r>
      <w:r w:rsidRPr="001755F8">
        <w:tab/>
      </w:r>
      <w:r w:rsidR="00B61726" w:rsidRPr="009A4A22">
        <w:rPr>
          <w:noProof/>
        </w:rPr>
        <w:t xml:space="preserve">uchyla się </w:t>
      </w:r>
      <w:r w:rsidR="00B61726" w:rsidRPr="00BE6F6D">
        <w:rPr>
          <w:noProof/>
        </w:rPr>
        <w:t>art.</w:t>
      </w:r>
      <w:r w:rsidR="00BE6F6D" w:rsidRPr="00BE6F6D">
        <w:rPr>
          <w:noProof/>
        </w:rPr>
        <w:t> </w:t>
      </w:r>
      <w:r w:rsidR="00B61726" w:rsidRPr="00BE6F6D">
        <w:rPr>
          <w:noProof/>
        </w:rPr>
        <w:t>1</w:t>
      </w:r>
      <w:r w:rsidR="00B61726" w:rsidRPr="009A4A22">
        <w:rPr>
          <w:noProof/>
        </w:rPr>
        <w:t xml:space="preserve">3 </w:t>
      </w:r>
      <w:r w:rsidR="00B61726" w:rsidRPr="00BE6F6D">
        <w:rPr>
          <w:noProof/>
        </w:rPr>
        <w:t>ust.</w:t>
      </w:r>
      <w:r w:rsidR="00BE6F6D" w:rsidRPr="00BE6F6D">
        <w:rPr>
          <w:noProof/>
        </w:rPr>
        <w:t> </w:t>
      </w:r>
      <w:r w:rsidR="00B61726" w:rsidRPr="00BE6F6D">
        <w:rPr>
          <w:noProof/>
        </w:rPr>
        <w:t>3</w:t>
      </w:r>
      <w:r w:rsidR="00B61726" w:rsidRPr="009A4A22">
        <w:rPr>
          <w:noProof/>
        </w:rPr>
        <w:t>;</w:t>
      </w:r>
    </w:p>
    <w:p w14:paraId="3C4A69AD" w14:textId="79FA2B5B" w:rsidR="00310D36" w:rsidRPr="009A4A22" w:rsidRDefault="001755F8" w:rsidP="001755F8">
      <w:pPr>
        <w:pStyle w:val="ManualNumPar1"/>
        <w:rPr>
          <w:noProof/>
        </w:rPr>
      </w:pPr>
      <w:r w:rsidRPr="001755F8">
        <w:t>6.</w:t>
      </w:r>
      <w:r w:rsidRPr="001755F8">
        <w:tab/>
      </w:r>
      <w:r w:rsidR="00310D36" w:rsidRPr="00BE6F6D">
        <w:rPr>
          <w:noProof/>
        </w:rPr>
        <w:t>art.</w:t>
      </w:r>
      <w:r w:rsidR="00BE6F6D" w:rsidRPr="00BE6F6D">
        <w:rPr>
          <w:noProof/>
        </w:rPr>
        <w:t> </w:t>
      </w:r>
      <w:r w:rsidR="00310D36" w:rsidRPr="00BE6F6D">
        <w:rPr>
          <w:noProof/>
        </w:rPr>
        <w:t>1</w:t>
      </w:r>
      <w:r w:rsidR="00310D36" w:rsidRPr="009A4A22">
        <w:rPr>
          <w:noProof/>
        </w:rPr>
        <w:t>4 otrzymuje brzmienie:</w:t>
      </w:r>
    </w:p>
    <w:p w14:paraId="0DC4D955" w14:textId="77777777" w:rsidR="0039248B" w:rsidRPr="009A4A22" w:rsidRDefault="00310D36" w:rsidP="0039248B">
      <w:pPr>
        <w:spacing w:line="276" w:lineRule="auto"/>
        <w:jc w:val="center"/>
        <w:rPr>
          <w:rFonts w:eastAsia="Times New Roman"/>
          <w:i/>
          <w:iCs/>
          <w:noProof/>
          <w:szCs w:val="24"/>
        </w:rPr>
      </w:pPr>
      <w:r w:rsidRPr="009A4A22">
        <w:rPr>
          <w:i/>
          <w:noProof/>
        </w:rPr>
        <w:t>„Artykuł 14</w:t>
      </w:r>
    </w:p>
    <w:p w14:paraId="53D2504B" w14:textId="77777777" w:rsidR="0039248B" w:rsidRPr="009A4A22" w:rsidRDefault="0039248B" w:rsidP="0080729A">
      <w:pPr>
        <w:spacing w:line="276" w:lineRule="auto"/>
        <w:jc w:val="center"/>
        <w:rPr>
          <w:rFonts w:eastAsia="Times New Roman"/>
          <w:b/>
          <w:bCs/>
          <w:i/>
          <w:iCs/>
          <w:noProof/>
          <w:szCs w:val="24"/>
        </w:rPr>
      </w:pPr>
      <w:r w:rsidRPr="009A4A22">
        <w:rPr>
          <w:b/>
          <w:i/>
          <w:noProof/>
        </w:rPr>
        <w:t>Pomoc konsumentom</w:t>
      </w:r>
    </w:p>
    <w:p w14:paraId="465F32D9" w14:textId="32A29862" w:rsidR="00310D36" w:rsidRPr="009A4A22" w:rsidRDefault="00B61726" w:rsidP="00767FD9">
      <w:pPr>
        <w:spacing w:line="276" w:lineRule="auto"/>
        <w:rPr>
          <w:noProof/>
        </w:rPr>
      </w:pPr>
      <w:r w:rsidRPr="009A4A22">
        <w:rPr>
          <w:noProof/>
        </w:rPr>
        <w:t>1. Państwa członkowskie zapewniają, aby</w:t>
      </w:r>
      <w:r w:rsidR="00BE6F6D" w:rsidRPr="009A4A22">
        <w:rPr>
          <w:noProof/>
        </w:rPr>
        <w:t xml:space="preserve"> w</w:t>
      </w:r>
      <w:r w:rsidR="00BE6F6D">
        <w:rPr>
          <w:noProof/>
        </w:rPr>
        <w:t> </w:t>
      </w:r>
      <w:r w:rsidR="00BE6F6D" w:rsidRPr="009A4A22">
        <w:rPr>
          <w:noProof/>
        </w:rPr>
        <w:t>odn</w:t>
      </w:r>
      <w:r w:rsidRPr="009A4A22">
        <w:rPr>
          <w:noProof/>
        </w:rPr>
        <w:t>iesieniu do sporów transgranicznych konsumenci</w:t>
      </w:r>
      <w:r w:rsidR="00BE6F6D" w:rsidRPr="009A4A22">
        <w:rPr>
          <w:noProof/>
        </w:rPr>
        <w:t xml:space="preserve"> i</w:t>
      </w:r>
      <w:r w:rsidR="00BE6F6D">
        <w:rPr>
          <w:noProof/>
        </w:rPr>
        <w:t> </w:t>
      </w:r>
      <w:r w:rsidR="00BE6F6D" w:rsidRPr="009A4A22">
        <w:rPr>
          <w:noProof/>
        </w:rPr>
        <w:t>prz</w:t>
      </w:r>
      <w:r w:rsidRPr="009A4A22">
        <w:rPr>
          <w:noProof/>
        </w:rPr>
        <w:t>edsiębiorcy mogli uzyskać pomoc</w:t>
      </w:r>
      <w:r w:rsidR="00BE6F6D" w:rsidRPr="009A4A22">
        <w:rPr>
          <w:noProof/>
        </w:rPr>
        <w:t xml:space="preserve"> w</w:t>
      </w:r>
      <w:r w:rsidR="00BE6F6D">
        <w:rPr>
          <w:noProof/>
        </w:rPr>
        <w:t> </w:t>
      </w:r>
      <w:r w:rsidR="00BE6F6D" w:rsidRPr="009A4A22">
        <w:rPr>
          <w:noProof/>
        </w:rPr>
        <w:t>dos</w:t>
      </w:r>
      <w:r w:rsidRPr="009A4A22">
        <w:rPr>
          <w:noProof/>
        </w:rPr>
        <w:t xml:space="preserve">tępie do podmiotu lub podmiotów ADR właściwych do rozstrzygnięcia ich sporu transgranicznego. </w:t>
      </w:r>
    </w:p>
    <w:p w14:paraId="4D2E945C" w14:textId="0B2AB6BD" w:rsidR="00310D36" w:rsidRPr="009A4A22" w:rsidRDefault="00B61726" w:rsidP="00310D36">
      <w:pPr>
        <w:spacing w:line="276" w:lineRule="auto"/>
        <w:rPr>
          <w:rFonts w:eastAsia="Times New Roman"/>
          <w:noProof/>
          <w:szCs w:val="24"/>
        </w:rPr>
      </w:pPr>
      <w:r w:rsidRPr="009A4A22">
        <w:rPr>
          <w:noProof/>
        </w:rPr>
        <w:t>2. Każde państwo członkowskie wyznacza punkt kontaktowy ADR odpowiedzialny za zadanie,</w:t>
      </w:r>
      <w:r w:rsidR="00BE6F6D" w:rsidRPr="009A4A22">
        <w:rPr>
          <w:noProof/>
        </w:rPr>
        <w:t xml:space="preserve"> o</w:t>
      </w:r>
      <w:r w:rsidR="00BE6F6D">
        <w:rPr>
          <w:noProof/>
        </w:rPr>
        <w:t> </w:t>
      </w:r>
      <w:r w:rsidR="00BE6F6D" w:rsidRPr="009A4A22">
        <w:rPr>
          <w:noProof/>
        </w:rPr>
        <w:t>któ</w:t>
      </w:r>
      <w:r w:rsidRPr="009A4A22">
        <w:rPr>
          <w:noProof/>
        </w:rPr>
        <w:t>rym mowa</w:t>
      </w:r>
      <w:r w:rsidR="00BE6F6D" w:rsidRPr="009A4A22">
        <w:rPr>
          <w:noProof/>
        </w:rPr>
        <w:t xml:space="preserve"> w</w:t>
      </w:r>
      <w:r w:rsidR="00BE6F6D">
        <w:rPr>
          <w:noProof/>
        </w:rPr>
        <w:t> </w:t>
      </w:r>
      <w:r w:rsidR="00BE6F6D" w:rsidRPr="00BE6F6D">
        <w:rPr>
          <w:noProof/>
        </w:rPr>
        <w:t>ust</w:t>
      </w:r>
      <w:r w:rsidRPr="00BE6F6D">
        <w:rPr>
          <w:noProof/>
        </w:rPr>
        <w:t>.</w:t>
      </w:r>
      <w:r w:rsidR="00BE6F6D" w:rsidRPr="00BE6F6D">
        <w:rPr>
          <w:noProof/>
        </w:rPr>
        <w:t> </w:t>
      </w:r>
      <w:r w:rsidRPr="00BE6F6D">
        <w:rPr>
          <w:noProof/>
        </w:rPr>
        <w:t>1</w:t>
      </w:r>
      <w:r w:rsidRPr="009A4A22">
        <w:rPr>
          <w:noProof/>
        </w:rPr>
        <w:t>. Każde państwo członkowskie przekazuje Komisji nazwę</w:t>
      </w:r>
      <w:r w:rsidR="00BE6F6D" w:rsidRPr="009A4A22">
        <w:rPr>
          <w:noProof/>
        </w:rPr>
        <w:t xml:space="preserve"> i</w:t>
      </w:r>
      <w:r w:rsidR="00BE6F6D">
        <w:rPr>
          <w:noProof/>
        </w:rPr>
        <w:t> </w:t>
      </w:r>
      <w:r w:rsidR="00BE6F6D" w:rsidRPr="009A4A22">
        <w:rPr>
          <w:noProof/>
        </w:rPr>
        <w:t>dan</w:t>
      </w:r>
      <w:r w:rsidRPr="009A4A22">
        <w:rPr>
          <w:noProof/>
        </w:rPr>
        <w:t>e kontaktowe swojego punktu kontaktowego ADR. Państwa członkowskie powierzają odpowiedzialność za prowadzenie punktów kontaktowych ADR swojemu centrum należącemu do Sieci Europejskich Centrów Konsumenckich lub, jeżeli nie jest to możliwe, organizacjom konsumenckim lub innemu organowi zajmującemu się ochroną konsumentów.</w:t>
      </w:r>
    </w:p>
    <w:p w14:paraId="0EFE6BFC" w14:textId="517520B1" w:rsidR="00310D36" w:rsidRPr="009A4A22" w:rsidRDefault="00310D36" w:rsidP="00310D36">
      <w:pPr>
        <w:spacing w:line="276" w:lineRule="auto"/>
        <w:rPr>
          <w:rFonts w:eastAsia="Times New Roman"/>
          <w:noProof/>
          <w:szCs w:val="24"/>
        </w:rPr>
      </w:pPr>
      <w:r w:rsidRPr="009A4A22">
        <w:rPr>
          <w:noProof/>
        </w:rPr>
        <w:t>3. Punkty kontaktowe ADR ułatwiają komunikację między stronami</w:t>
      </w:r>
      <w:r w:rsidR="00BE6F6D" w:rsidRPr="009A4A22">
        <w:rPr>
          <w:noProof/>
        </w:rPr>
        <w:t xml:space="preserve"> a</w:t>
      </w:r>
      <w:r w:rsidR="00BE6F6D">
        <w:rPr>
          <w:noProof/>
        </w:rPr>
        <w:t> </w:t>
      </w:r>
      <w:r w:rsidR="00BE6F6D" w:rsidRPr="009A4A22">
        <w:rPr>
          <w:noProof/>
        </w:rPr>
        <w:t>wła</w:t>
      </w:r>
      <w:r w:rsidRPr="009A4A22">
        <w:rPr>
          <w:noProof/>
        </w:rPr>
        <w:t>ściwym podmiotem ADR, co może polegać</w:t>
      </w:r>
      <w:r w:rsidR="00BE6F6D" w:rsidRPr="009A4A22">
        <w:rPr>
          <w:noProof/>
        </w:rPr>
        <w:t xml:space="preserve"> w</w:t>
      </w:r>
      <w:r w:rsidR="00BE6F6D">
        <w:rPr>
          <w:noProof/>
        </w:rPr>
        <w:t> </w:t>
      </w:r>
      <w:r w:rsidR="00BE6F6D" w:rsidRPr="009A4A22">
        <w:rPr>
          <w:noProof/>
        </w:rPr>
        <w:t>szc</w:t>
      </w:r>
      <w:r w:rsidRPr="009A4A22">
        <w:rPr>
          <w:noProof/>
        </w:rPr>
        <w:t>zególności:</w:t>
      </w:r>
    </w:p>
    <w:p w14:paraId="51815EDD" w14:textId="392BCC43" w:rsidR="009E2348" w:rsidRPr="009A4A22" w:rsidRDefault="00F2091F" w:rsidP="00F2091F">
      <w:pPr>
        <w:pStyle w:val="Point1"/>
        <w:rPr>
          <w:noProof/>
        </w:rPr>
      </w:pPr>
      <w:r w:rsidRPr="00F2091F">
        <w:rPr>
          <w:noProof/>
        </w:rPr>
        <w:t>a)</w:t>
      </w:r>
      <w:r w:rsidRPr="00F2091F">
        <w:rPr>
          <w:noProof/>
        </w:rPr>
        <w:tab/>
      </w:r>
      <w:r w:rsidR="00310D36" w:rsidRPr="009A4A22">
        <w:rPr>
          <w:noProof/>
        </w:rPr>
        <w:t>na pomocy</w:t>
      </w:r>
      <w:r w:rsidR="00BE6F6D" w:rsidRPr="009A4A22">
        <w:rPr>
          <w:noProof/>
        </w:rPr>
        <w:t xml:space="preserve"> w</w:t>
      </w:r>
      <w:r w:rsidR="00BE6F6D">
        <w:rPr>
          <w:noProof/>
        </w:rPr>
        <w:t> </w:t>
      </w:r>
      <w:r w:rsidR="00BE6F6D" w:rsidRPr="009A4A22">
        <w:rPr>
          <w:noProof/>
        </w:rPr>
        <w:t>skł</w:t>
      </w:r>
      <w:r w:rsidR="00310D36" w:rsidRPr="009A4A22">
        <w:rPr>
          <w:noProof/>
        </w:rPr>
        <w:t>adaniu skarg i,</w:t>
      </w:r>
      <w:r w:rsidR="00BE6F6D" w:rsidRPr="009A4A22">
        <w:rPr>
          <w:noProof/>
        </w:rPr>
        <w:t xml:space="preserve"> w</w:t>
      </w:r>
      <w:r w:rsidR="00BE6F6D">
        <w:rPr>
          <w:noProof/>
        </w:rPr>
        <w:t> </w:t>
      </w:r>
      <w:r w:rsidR="00BE6F6D" w:rsidRPr="009A4A22">
        <w:rPr>
          <w:noProof/>
        </w:rPr>
        <w:t>sto</w:t>
      </w:r>
      <w:r w:rsidR="00310D36" w:rsidRPr="009A4A22">
        <w:rPr>
          <w:noProof/>
        </w:rPr>
        <w:t>sownych przypadkach, odpowiedniej dokumentacji;</w:t>
      </w:r>
    </w:p>
    <w:p w14:paraId="6B212697" w14:textId="602FF097" w:rsidR="009E2348" w:rsidRPr="009A4A22" w:rsidRDefault="00F2091F" w:rsidP="00F2091F">
      <w:pPr>
        <w:pStyle w:val="Point1"/>
        <w:rPr>
          <w:noProof/>
        </w:rPr>
      </w:pPr>
      <w:r w:rsidRPr="00F2091F">
        <w:rPr>
          <w:noProof/>
        </w:rPr>
        <w:t>b)</w:t>
      </w:r>
      <w:r w:rsidRPr="00F2091F">
        <w:rPr>
          <w:noProof/>
        </w:rPr>
        <w:tab/>
      </w:r>
      <w:r w:rsidR="00310D36" w:rsidRPr="009A4A22">
        <w:rPr>
          <w:noProof/>
        </w:rPr>
        <w:t>na przekazywaniu stronom</w:t>
      </w:r>
      <w:r w:rsidR="00BE6F6D" w:rsidRPr="009A4A22">
        <w:rPr>
          <w:noProof/>
        </w:rPr>
        <w:t xml:space="preserve"> i</w:t>
      </w:r>
      <w:r w:rsidR="00BE6F6D">
        <w:rPr>
          <w:noProof/>
        </w:rPr>
        <w:t> </w:t>
      </w:r>
      <w:r w:rsidR="00BE6F6D" w:rsidRPr="009A4A22">
        <w:rPr>
          <w:noProof/>
        </w:rPr>
        <w:t>pod</w:t>
      </w:r>
      <w:r w:rsidR="00310D36" w:rsidRPr="009A4A22">
        <w:rPr>
          <w:noProof/>
        </w:rPr>
        <w:t>miotom ADR ogólnych informacji</w:t>
      </w:r>
      <w:r w:rsidR="00BE6F6D" w:rsidRPr="009A4A22">
        <w:rPr>
          <w:noProof/>
        </w:rPr>
        <w:t xml:space="preserve"> o</w:t>
      </w:r>
      <w:r w:rsidR="00BE6F6D">
        <w:rPr>
          <w:noProof/>
        </w:rPr>
        <w:t> </w:t>
      </w:r>
      <w:r w:rsidR="00BE6F6D" w:rsidRPr="009A4A22">
        <w:rPr>
          <w:noProof/>
        </w:rPr>
        <w:t>pra</w:t>
      </w:r>
      <w:r w:rsidR="00310D36" w:rsidRPr="009A4A22">
        <w:rPr>
          <w:noProof/>
        </w:rPr>
        <w:t>wach konsumentów w UE;</w:t>
      </w:r>
    </w:p>
    <w:p w14:paraId="71D254AE" w14:textId="68B09930" w:rsidR="009E2348" w:rsidRPr="009A4A22" w:rsidRDefault="00F2091F" w:rsidP="00F2091F">
      <w:pPr>
        <w:pStyle w:val="Point1"/>
        <w:rPr>
          <w:noProof/>
        </w:rPr>
      </w:pPr>
      <w:r w:rsidRPr="00F2091F">
        <w:rPr>
          <w:noProof/>
        </w:rPr>
        <w:t>c)</w:t>
      </w:r>
      <w:r w:rsidRPr="00F2091F">
        <w:rPr>
          <w:noProof/>
        </w:rPr>
        <w:tab/>
      </w:r>
      <w:r w:rsidR="00310D36" w:rsidRPr="009A4A22">
        <w:rPr>
          <w:noProof/>
        </w:rPr>
        <w:t>na dostarczaniu stronom wyjaśnień na temat przepisów proceduralnych stosowanych przez odpowiednie podmioty ADR;</w:t>
      </w:r>
    </w:p>
    <w:p w14:paraId="2D0791B8" w14:textId="086531A4" w:rsidR="00310D36" w:rsidRPr="009A4A22" w:rsidRDefault="00F2091F" w:rsidP="00F2091F">
      <w:pPr>
        <w:pStyle w:val="Point1"/>
        <w:rPr>
          <w:noProof/>
        </w:rPr>
      </w:pPr>
      <w:r w:rsidRPr="00F2091F">
        <w:rPr>
          <w:noProof/>
        </w:rPr>
        <w:t>d)</w:t>
      </w:r>
      <w:r w:rsidRPr="00F2091F">
        <w:rPr>
          <w:noProof/>
        </w:rPr>
        <w:tab/>
      </w:r>
      <w:r w:rsidR="00310D36" w:rsidRPr="009A4A22">
        <w:rPr>
          <w:noProof/>
        </w:rPr>
        <w:t>na informowaniu strony skarżącej</w:t>
      </w:r>
      <w:r w:rsidR="00BE6F6D" w:rsidRPr="009A4A22">
        <w:rPr>
          <w:noProof/>
        </w:rPr>
        <w:t xml:space="preserve"> o</w:t>
      </w:r>
      <w:r w:rsidR="00BE6F6D">
        <w:rPr>
          <w:noProof/>
        </w:rPr>
        <w:t> </w:t>
      </w:r>
      <w:r w:rsidR="00BE6F6D" w:rsidRPr="009A4A22">
        <w:rPr>
          <w:noProof/>
        </w:rPr>
        <w:t>inn</w:t>
      </w:r>
      <w:r w:rsidR="00310D36" w:rsidRPr="009A4A22">
        <w:rPr>
          <w:noProof/>
        </w:rPr>
        <w:t>ych sposobach dochodzenia roszczeń,</w:t>
      </w:r>
      <w:r w:rsidR="00BE6F6D" w:rsidRPr="009A4A22">
        <w:rPr>
          <w:noProof/>
        </w:rPr>
        <w:t xml:space="preserve"> w</w:t>
      </w:r>
      <w:r w:rsidR="00BE6F6D">
        <w:rPr>
          <w:noProof/>
        </w:rPr>
        <w:t> </w:t>
      </w:r>
      <w:r w:rsidR="00BE6F6D" w:rsidRPr="009A4A22">
        <w:rPr>
          <w:noProof/>
        </w:rPr>
        <w:t>prz</w:t>
      </w:r>
      <w:r w:rsidR="00310D36" w:rsidRPr="009A4A22">
        <w:rPr>
          <w:noProof/>
        </w:rPr>
        <w:t>ypadku gdy sporu nie można rozstrzygnąć</w:t>
      </w:r>
      <w:r w:rsidR="00BE6F6D" w:rsidRPr="009A4A22">
        <w:rPr>
          <w:noProof/>
        </w:rPr>
        <w:t xml:space="preserve"> w</w:t>
      </w:r>
      <w:r w:rsidR="00BE6F6D">
        <w:rPr>
          <w:noProof/>
        </w:rPr>
        <w:t> </w:t>
      </w:r>
      <w:r w:rsidR="00BE6F6D" w:rsidRPr="009A4A22">
        <w:rPr>
          <w:noProof/>
        </w:rPr>
        <w:t>pos</w:t>
      </w:r>
      <w:r w:rsidR="00310D36" w:rsidRPr="009A4A22">
        <w:rPr>
          <w:noProof/>
        </w:rPr>
        <w:t>tępowaniu ADR.</w:t>
      </w:r>
    </w:p>
    <w:p w14:paraId="166E1916" w14:textId="1D5F25CD" w:rsidR="009E2348" w:rsidRPr="009A4A22" w:rsidRDefault="00131CFD" w:rsidP="004E1C00">
      <w:pPr>
        <w:rPr>
          <w:noProof/>
        </w:rPr>
      </w:pPr>
      <w:r w:rsidRPr="009A4A22">
        <w:rPr>
          <w:noProof/>
        </w:rPr>
        <w:t>4. Państwa członkowskie mogą przyznać punktom kontaktowym ADR prawo do udzielania konsumentom</w:t>
      </w:r>
      <w:r w:rsidR="00BE6F6D" w:rsidRPr="009A4A22">
        <w:rPr>
          <w:noProof/>
        </w:rPr>
        <w:t xml:space="preserve"> i</w:t>
      </w:r>
      <w:r w:rsidR="00BE6F6D">
        <w:rPr>
          <w:noProof/>
        </w:rPr>
        <w:t> </w:t>
      </w:r>
      <w:r w:rsidR="00BE6F6D" w:rsidRPr="009A4A22">
        <w:rPr>
          <w:noProof/>
        </w:rPr>
        <w:t>prz</w:t>
      </w:r>
      <w:r w:rsidRPr="009A4A22">
        <w:rPr>
          <w:noProof/>
        </w:rPr>
        <w:t>edsiębiorcom pomocy</w:t>
      </w:r>
      <w:r w:rsidR="00BE6F6D" w:rsidRPr="009A4A22">
        <w:rPr>
          <w:noProof/>
        </w:rPr>
        <w:t xml:space="preserve"> w</w:t>
      </w:r>
      <w:r w:rsidR="00BE6F6D">
        <w:rPr>
          <w:noProof/>
        </w:rPr>
        <w:t> </w:t>
      </w:r>
      <w:r w:rsidR="00BE6F6D" w:rsidRPr="009A4A22">
        <w:rPr>
          <w:noProof/>
        </w:rPr>
        <w:t>dos</w:t>
      </w:r>
      <w:r w:rsidRPr="009A4A22">
        <w:rPr>
          <w:noProof/>
        </w:rPr>
        <w:t>tępie do podmiotów ADR,</w:t>
      </w:r>
      <w:r w:rsidR="00BE6F6D" w:rsidRPr="009A4A22">
        <w:rPr>
          <w:noProof/>
        </w:rPr>
        <w:t xml:space="preserve"> o</w:t>
      </w:r>
      <w:r w:rsidR="00BE6F6D">
        <w:rPr>
          <w:noProof/>
        </w:rPr>
        <w:t> </w:t>
      </w:r>
      <w:r w:rsidR="00BE6F6D" w:rsidRPr="009A4A22">
        <w:rPr>
          <w:noProof/>
        </w:rPr>
        <w:t>któ</w:t>
      </w:r>
      <w:r w:rsidRPr="009A4A22">
        <w:rPr>
          <w:noProof/>
        </w:rPr>
        <w:t>rej mowa</w:t>
      </w:r>
      <w:r w:rsidR="00BE6F6D" w:rsidRPr="009A4A22">
        <w:rPr>
          <w:noProof/>
        </w:rPr>
        <w:t xml:space="preserve"> w</w:t>
      </w:r>
      <w:r w:rsidR="00BE6F6D">
        <w:rPr>
          <w:noProof/>
        </w:rPr>
        <w:t> </w:t>
      </w:r>
      <w:r w:rsidR="00BE6F6D" w:rsidRPr="009A4A22">
        <w:rPr>
          <w:noProof/>
        </w:rPr>
        <w:t>nin</w:t>
      </w:r>
      <w:r w:rsidRPr="009A4A22">
        <w:rPr>
          <w:noProof/>
        </w:rPr>
        <w:t>iejszym artykule, również</w:t>
      </w:r>
      <w:r w:rsidR="00BE6F6D" w:rsidRPr="009A4A22">
        <w:rPr>
          <w:noProof/>
        </w:rPr>
        <w:t xml:space="preserve"> w</w:t>
      </w:r>
      <w:r w:rsidR="00BE6F6D">
        <w:rPr>
          <w:noProof/>
        </w:rPr>
        <w:t> </w:t>
      </w:r>
      <w:r w:rsidR="00BE6F6D" w:rsidRPr="009A4A22">
        <w:rPr>
          <w:noProof/>
        </w:rPr>
        <w:t>odn</w:t>
      </w:r>
      <w:r w:rsidRPr="009A4A22">
        <w:rPr>
          <w:noProof/>
        </w:rPr>
        <w:t>iesieniu do sporów krajowych.</w:t>
      </w:r>
    </w:p>
    <w:p w14:paraId="18C52149" w14:textId="3347A1B9" w:rsidR="009E2348" w:rsidRPr="009A4A22" w:rsidRDefault="00131CFD" w:rsidP="004E1C00">
      <w:pPr>
        <w:rPr>
          <w:noProof/>
        </w:rPr>
      </w:pPr>
      <w:r w:rsidRPr="009A4A22">
        <w:rPr>
          <w:noProof/>
        </w:rPr>
        <w:t>5. Państwa członkowskie zapewniają, aby wszelkie podmioty pomagające konsumentom</w:t>
      </w:r>
      <w:r w:rsidR="00BE6F6D" w:rsidRPr="009A4A22">
        <w:rPr>
          <w:noProof/>
        </w:rPr>
        <w:t xml:space="preserve"> w</w:t>
      </w:r>
      <w:r w:rsidR="00BE6F6D">
        <w:rPr>
          <w:noProof/>
        </w:rPr>
        <w:t> </w:t>
      </w:r>
      <w:r w:rsidR="00BE6F6D" w:rsidRPr="009A4A22">
        <w:rPr>
          <w:noProof/>
        </w:rPr>
        <w:t>spo</w:t>
      </w:r>
      <w:r w:rsidRPr="009A4A22">
        <w:rPr>
          <w:noProof/>
        </w:rPr>
        <w:t>rach transgranicznych lub krajowych działały</w:t>
      </w:r>
      <w:r w:rsidR="00BE6F6D" w:rsidRPr="009A4A22">
        <w:rPr>
          <w:noProof/>
        </w:rPr>
        <w:t xml:space="preserve"> w</w:t>
      </w:r>
      <w:r w:rsidR="00BE6F6D">
        <w:rPr>
          <w:noProof/>
        </w:rPr>
        <w:t> </w:t>
      </w:r>
      <w:r w:rsidR="00BE6F6D" w:rsidRPr="009A4A22">
        <w:rPr>
          <w:noProof/>
        </w:rPr>
        <w:t>dob</w:t>
      </w:r>
      <w:r w:rsidRPr="009A4A22">
        <w:rPr>
          <w:noProof/>
        </w:rPr>
        <w:t>rej wierze, aby umożliwić stronom polubowne rozstrzygnięcie sporu</w:t>
      </w:r>
      <w:r w:rsidR="00BE6F6D" w:rsidRPr="009A4A22">
        <w:rPr>
          <w:noProof/>
        </w:rPr>
        <w:t xml:space="preserve"> i</w:t>
      </w:r>
      <w:r w:rsidR="00BE6F6D">
        <w:rPr>
          <w:noProof/>
        </w:rPr>
        <w:t> </w:t>
      </w:r>
      <w:r w:rsidR="00BE6F6D" w:rsidRPr="009A4A22">
        <w:rPr>
          <w:noProof/>
        </w:rPr>
        <w:t>zac</w:t>
      </w:r>
      <w:r w:rsidRPr="009A4A22">
        <w:rPr>
          <w:noProof/>
        </w:rPr>
        <w:t>hować pełną przejrzystość przy dostarczaniu konsumentom istotnych informacji,</w:t>
      </w:r>
      <w:r w:rsidR="00BE6F6D" w:rsidRPr="009A4A22">
        <w:rPr>
          <w:noProof/>
        </w:rPr>
        <w:t xml:space="preserve"> w</w:t>
      </w:r>
      <w:r w:rsidR="00BE6F6D">
        <w:rPr>
          <w:noProof/>
        </w:rPr>
        <w:t> </w:t>
      </w:r>
      <w:r w:rsidR="00BE6F6D" w:rsidRPr="009A4A22">
        <w:rPr>
          <w:noProof/>
        </w:rPr>
        <w:t>tym</w:t>
      </w:r>
      <w:r w:rsidRPr="009A4A22">
        <w:rPr>
          <w:noProof/>
        </w:rPr>
        <w:t xml:space="preserve"> informacji dotyczących przepisów proceduralnych</w:t>
      </w:r>
      <w:r w:rsidR="00BE6F6D" w:rsidRPr="009A4A22">
        <w:rPr>
          <w:noProof/>
        </w:rPr>
        <w:t xml:space="preserve"> i</w:t>
      </w:r>
      <w:r w:rsidR="00BE6F6D">
        <w:rPr>
          <w:noProof/>
        </w:rPr>
        <w:t> </w:t>
      </w:r>
      <w:r w:rsidR="00BE6F6D" w:rsidRPr="009A4A22">
        <w:rPr>
          <w:noProof/>
        </w:rPr>
        <w:t>wsz</w:t>
      </w:r>
      <w:r w:rsidRPr="009A4A22">
        <w:rPr>
          <w:noProof/>
        </w:rPr>
        <w:t>elkich mających zastosowanie opłat.”;</w:t>
      </w:r>
    </w:p>
    <w:p w14:paraId="41EFC3AD" w14:textId="44E400A9" w:rsidR="004E1C00" w:rsidRPr="009A4A22" w:rsidRDefault="001755F8" w:rsidP="001755F8">
      <w:pPr>
        <w:pStyle w:val="ManualNumPar1"/>
        <w:rPr>
          <w:noProof/>
        </w:rPr>
      </w:pPr>
      <w:r w:rsidRPr="001755F8">
        <w:t>7.</w:t>
      </w:r>
      <w:r w:rsidRPr="001755F8">
        <w:tab/>
      </w:r>
      <w:r w:rsidR="00644497" w:rsidRPr="009A4A22">
        <w:rPr>
          <w:noProof/>
        </w:rPr>
        <w:t xml:space="preserve">uchyla się </w:t>
      </w:r>
      <w:r w:rsidR="00644497" w:rsidRPr="00BE6F6D">
        <w:rPr>
          <w:noProof/>
        </w:rPr>
        <w:t>art.</w:t>
      </w:r>
      <w:r w:rsidR="00BE6F6D" w:rsidRPr="00BE6F6D">
        <w:rPr>
          <w:noProof/>
        </w:rPr>
        <w:t> </w:t>
      </w:r>
      <w:r w:rsidR="00644497" w:rsidRPr="00BE6F6D">
        <w:rPr>
          <w:noProof/>
        </w:rPr>
        <w:t>1</w:t>
      </w:r>
      <w:r w:rsidR="00644497" w:rsidRPr="009A4A22">
        <w:rPr>
          <w:noProof/>
        </w:rPr>
        <w:t xml:space="preserve">9 </w:t>
      </w:r>
      <w:r w:rsidR="00644497" w:rsidRPr="00BE6F6D">
        <w:rPr>
          <w:noProof/>
        </w:rPr>
        <w:t>ust.</w:t>
      </w:r>
      <w:r w:rsidR="00BE6F6D" w:rsidRPr="00BE6F6D">
        <w:rPr>
          <w:noProof/>
        </w:rPr>
        <w:t> </w:t>
      </w:r>
      <w:r w:rsidR="00644497" w:rsidRPr="00BE6F6D">
        <w:rPr>
          <w:noProof/>
        </w:rPr>
        <w:t>3</w:t>
      </w:r>
      <w:r w:rsidR="00644497" w:rsidRPr="009A4A22">
        <w:rPr>
          <w:noProof/>
        </w:rPr>
        <w:t xml:space="preserve"> </w:t>
      </w:r>
      <w:r w:rsidR="00644497" w:rsidRPr="00BE6F6D">
        <w:rPr>
          <w:noProof/>
        </w:rPr>
        <w:t>lit.</w:t>
      </w:r>
      <w:r w:rsidR="00BE6F6D" w:rsidRPr="00BE6F6D">
        <w:rPr>
          <w:noProof/>
        </w:rPr>
        <w:t> </w:t>
      </w:r>
      <w:r w:rsidR="00644497" w:rsidRPr="00BE6F6D">
        <w:rPr>
          <w:noProof/>
        </w:rPr>
        <w:t>f)</w:t>
      </w:r>
      <w:r w:rsidR="00644497" w:rsidRPr="009A4A22">
        <w:rPr>
          <w:noProof/>
        </w:rPr>
        <w:t>, g) i h);</w:t>
      </w:r>
    </w:p>
    <w:p w14:paraId="0F3EF266" w14:textId="05C07F65" w:rsidR="00310D36" w:rsidRPr="009A4A22" w:rsidRDefault="001755F8" w:rsidP="001755F8">
      <w:pPr>
        <w:pStyle w:val="ManualNumPar1"/>
        <w:rPr>
          <w:noProof/>
        </w:rPr>
      </w:pPr>
      <w:r w:rsidRPr="001755F8">
        <w:t>8.</w:t>
      </w:r>
      <w:r w:rsidRPr="001755F8">
        <w:tab/>
      </w:r>
      <w:r w:rsidR="00644497" w:rsidRPr="009A4A22">
        <w:rPr>
          <w:noProof/>
        </w:rPr>
        <w:t xml:space="preserve">w </w:t>
      </w:r>
      <w:r w:rsidR="00644497" w:rsidRPr="00BE6F6D">
        <w:rPr>
          <w:noProof/>
        </w:rPr>
        <w:t>art.</w:t>
      </w:r>
      <w:r w:rsidR="00BE6F6D" w:rsidRPr="00BE6F6D">
        <w:rPr>
          <w:noProof/>
        </w:rPr>
        <w:t> </w:t>
      </w:r>
      <w:r w:rsidR="00644497" w:rsidRPr="00BE6F6D">
        <w:rPr>
          <w:noProof/>
        </w:rPr>
        <w:t>2</w:t>
      </w:r>
      <w:r w:rsidR="00644497" w:rsidRPr="009A4A22">
        <w:rPr>
          <w:noProof/>
        </w:rPr>
        <w:t>0 dodaje się ustęp</w:t>
      </w:r>
      <w:r w:rsidR="00BE6F6D" w:rsidRPr="009A4A22">
        <w:rPr>
          <w:noProof/>
        </w:rPr>
        <w:t xml:space="preserve"> w</w:t>
      </w:r>
      <w:r w:rsidR="00BE6F6D">
        <w:rPr>
          <w:noProof/>
        </w:rPr>
        <w:t> </w:t>
      </w:r>
      <w:r w:rsidR="00BE6F6D" w:rsidRPr="009A4A22">
        <w:rPr>
          <w:noProof/>
        </w:rPr>
        <w:t>brz</w:t>
      </w:r>
      <w:r w:rsidR="00644497" w:rsidRPr="009A4A22">
        <w:rPr>
          <w:noProof/>
        </w:rPr>
        <w:t xml:space="preserve">mieniu: </w:t>
      </w:r>
    </w:p>
    <w:p w14:paraId="7CE5F49D" w14:textId="430015CB" w:rsidR="009E2348" w:rsidRPr="009A4A22" w:rsidRDefault="00310D36" w:rsidP="009E2348">
      <w:pPr>
        <w:spacing w:line="276" w:lineRule="auto"/>
        <w:rPr>
          <w:rFonts w:eastAsia="Times New Roman"/>
          <w:noProof/>
          <w:szCs w:val="24"/>
        </w:rPr>
      </w:pPr>
      <w:r w:rsidRPr="009A4A22">
        <w:rPr>
          <w:noProof/>
        </w:rPr>
        <w:t>„8. Komisja opracowuje</w:t>
      </w:r>
      <w:r w:rsidR="00BE6F6D" w:rsidRPr="009A4A22">
        <w:rPr>
          <w:noProof/>
        </w:rPr>
        <w:t xml:space="preserve"> i</w:t>
      </w:r>
      <w:r w:rsidR="00BE6F6D">
        <w:rPr>
          <w:noProof/>
        </w:rPr>
        <w:t> </w:t>
      </w:r>
      <w:r w:rsidR="00BE6F6D" w:rsidRPr="009A4A22">
        <w:rPr>
          <w:noProof/>
        </w:rPr>
        <w:t>utr</w:t>
      </w:r>
      <w:r w:rsidRPr="009A4A22">
        <w:rPr>
          <w:noProof/>
        </w:rPr>
        <w:t>zymuje interaktywne narzędzie cyfrowe, umożliwiające znalezienie ogólnych informacji na temat środków ochrony konsumentów oraz linków do stron internetowych podmiotów ADR,</w:t>
      </w:r>
      <w:r w:rsidR="00BE6F6D" w:rsidRPr="009A4A22">
        <w:rPr>
          <w:noProof/>
        </w:rPr>
        <w:t xml:space="preserve"> o</w:t>
      </w:r>
      <w:r w:rsidR="00BE6F6D">
        <w:rPr>
          <w:noProof/>
        </w:rPr>
        <w:t> </w:t>
      </w:r>
      <w:r w:rsidR="00BE6F6D" w:rsidRPr="009A4A22">
        <w:rPr>
          <w:noProof/>
        </w:rPr>
        <w:t>któ</w:t>
      </w:r>
      <w:r w:rsidRPr="009A4A22">
        <w:rPr>
          <w:noProof/>
        </w:rPr>
        <w:t>rych powiadomiono Komisję zgodnie</w:t>
      </w:r>
      <w:r w:rsidR="00BE6F6D" w:rsidRPr="009A4A22">
        <w:rPr>
          <w:noProof/>
        </w:rPr>
        <w:t xml:space="preserve"> z</w:t>
      </w:r>
      <w:r w:rsidR="00BE6F6D">
        <w:rPr>
          <w:noProof/>
        </w:rPr>
        <w:t> </w:t>
      </w:r>
      <w:r w:rsidR="00BE6F6D" w:rsidRPr="00BE6F6D">
        <w:rPr>
          <w:noProof/>
        </w:rPr>
        <w:t>ust</w:t>
      </w:r>
      <w:r w:rsidRPr="00BE6F6D">
        <w:rPr>
          <w:noProof/>
        </w:rPr>
        <w:t>.</w:t>
      </w:r>
      <w:r w:rsidR="00BE6F6D" w:rsidRPr="00BE6F6D">
        <w:rPr>
          <w:noProof/>
        </w:rPr>
        <w:t> </w:t>
      </w:r>
      <w:r w:rsidRPr="00BE6F6D">
        <w:rPr>
          <w:noProof/>
        </w:rPr>
        <w:t>2</w:t>
      </w:r>
      <w:r w:rsidRPr="009A4A22">
        <w:rPr>
          <w:noProof/>
        </w:rPr>
        <w:t xml:space="preserve"> niniejszego artykułu.”;</w:t>
      </w:r>
    </w:p>
    <w:p w14:paraId="1CE628C4" w14:textId="7DD8EB1C" w:rsidR="00310D36" w:rsidRPr="009A4A22" w:rsidRDefault="001755F8" w:rsidP="001755F8">
      <w:pPr>
        <w:pStyle w:val="ManualNumPar1"/>
        <w:rPr>
          <w:noProof/>
        </w:rPr>
      </w:pPr>
      <w:r w:rsidRPr="001755F8">
        <w:t>9.</w:t>
      </w:r>
      <w:r w:rsidRPr="001755F8">
        <w:tab/>
      </w:r>
      <w:r w:rsidR="00644497" w:rsidRPr="009A4A22">
        <w:rPr>
          <w:noProof/>
        </w:rPr>
        <w:t xml:space="preserve">w </w:t>
      </w:r>
      <w:r w:rsidR="00644497" w:rsidRPr="00BE6F6D">
        <w:rPr>
          <w:noProof/>
        </w:rPr>
        <w:t>art.</w:t>
      </w:r>
      <w:r w:rsidR="00BE6F6D" w:rsidRPr="00BE6F6D">
        <w:rPr>
          <w:noProof/>
        </w:rPr>
        <w:t> </w:t>
      </w:r>
      <w:r w:rsidR="00644497" w:rsidRPr="00BE6F6D">
        <w:rPr>
          <w:noProof/>
        </w:rPr>
        <w:t>2</w:t>
      </w:r>
      <w:r w:rsidR="00644497" w:rsidRPr="009A4A22">
        <w:rPr>
          <w:noProof/>
        </w:rPr>
        <w:t xml:space="preserve">4 dodaje się </w:t>
      </w:r>
      <w:r w:rsidR="00644497" w:rsidRPr="00BE6F6D">
        <w:rPr>
          <w:noProof/>
        </w:rPr>
        <w:t>ust.</w:t>
      </w:r>
      <w:r w:rsidR="00BE6F6D" w:rsidRPr="00BE6F6D">
        <w:rPr>
          <w:noProof/>
        </w:rPr>
        <w:t> </w:t>
      </w:r>
      <w:r w:rsidR="00644497" w:rsidRPr="00BE6F6D">
        <w:rPr>
          <w:noProof/>
        </w:rPr>
        <w:t>4</w:t>
      </w:r>
      <w:r w:rsidR="00BE6F6D" w:rsidRPr="009A4A22">
        <w:rPr>
          <w:noProof/>
        </w:rPr>
        <w:t xml:space="preserve"> w</w:t>
      </w:r>
      <w:r w:rsidR="00BE6F6D">
        <w:rPr>
          <w:noProof/>
        </w:rPr>
        <w:t> </w:t>
      </w:r>
      <w:r w:rsidR="00BE6F6D" w:rsidRPr="009A4A22">
        <w:rPr>
          <w:noProof/>
        </w:rPr>
        <w:t>brz</w:t>
      </w:r>
      <w:r w:rsidR="00644497" w:rsidRPr="009A4A22">
        <w:rPr>
          <w:noProof/>
        </w:rPr>
        <w:t xml:space="preserve">mieniu: </w:t>
      </w:r>
    </w:p>
    <w:p w14:paraId="30EDA21E" w14:textId="5F16A267" w:rsidR="00F60227" w:rsidRPr="009A4A22" w:rsidRDefault="00310D36" w:rsidP="004E1C00">
      <w:pPr>
        <w:spacing w:line="276" w:lineRule="auto"/>
        <w:rPr>
          <w:rFonts w:eastAsia="Times New Roman"/>
          <w:noProof/>
          <w:szCs w:val="24"/>
        </w:rPr>
      </w:pPr>
      <w:r w:rsidRPr="009A4A22">
        <w:rPr>
          <w:noProof/>
        </w:rPr>
        <w:t>„4. Do dnia [</w:t>
      </w:r>
      <w:r w:rsidRPr="009A4A22">
        <w:rPr>
          <w:i/>
          <w:noProof/>
        </w:rPr>
        <w:t>wstawić datę</w:t>
      </w:r>
      <w:r w:rsidRPr="009A4A22">
        <w:rPr>
          <w:noProof/>
        </w:rPr>
        <w:t>] r. państwa członkowskie przekazują Komisji nazwy</w:t>
      </w:r>
      <w:r w:rsidR="00BE6F6D" w:rsidRPr="009A4A22">
        <w:rPr>
          <w:noProof/>
        </w:rPr>
        <w:t xml:space="preserve"> i</w:t>
      </w:r>
      <w:r w:rsidR="00BE6F6D">
        <w:rPr>
          <w:noProof/>
        </w:rPr>
        <w:t> </w:t>
      </w:r>
      <w:r w:rsidR="00BE6F6D" w:rsidRPr="009A4A22">
        <w:rPr>
          <w:noProof/>
        </w:rPr>
        <w:t>dan</w:t>
      </w:r>
      <w:r w:rsidRPr="009A4A22">
        <w:rPr>
          <w:noProof/>
        </w:rPr>
        <w:t>e kontaktowe punktów kontaktowych ADR wyznaczonych zgodnie</w:t>
      </w:r>
      <w:r w:rsidR="00BE6F6D" w:rsidRPr="009A4A22">
        <w:rPr>
          <w:noProof/>
        </w:rPr>
        <w:t xml:space="preserve"> z</w:t>
      </w:r>
      <w:r w:rsidR="00BE6F6D">
        <w:rPr>
          <w:noProof/>
        </w:rPr>
        <w:t> </w:t>
      </w:r>
      <w:r w:rsidR="00BE6F6D" w:rsidRPr="00BE6F6D">
        <w:rPr>
          <w:noProof/>
        </w:rPr>
        <w:t>art</w:t>
      </w:r>
      <w:r w:rsidRPr="00BE6F6D">
        <w:rPr>
          <w:noProof/>
        </w:rPr>
        <w:t>.</w:t>
      </w:r>
      <w:r w:rsidR="00BE6F6D" w:rsidRPr="00BE6F6D">
        <w:rPr>
          <w:noProof/>
        </w:rPr>
        <w:t> </w:t>
      </w:r>
      <w:r w:rsidRPr="00BE6F6D">
        <w:rPr>
          <w:noProof/>
        </w:rPr>
        <w:t>1</w:t>
      </w:r>
      <w:r w:rsidRPr="009A4A22">
        <w:rPr>
          <w:noProof/>
        </w:rPr>
        <w:t xml:space="preserve">4 </w:t>
      </w:r>
      <w:r w:rsidRPr="00BE6F6D">
        <w:rPr>
          <w:noProof/>
        </w:rPr>
        <w:t>ust.</w:t>
      </w:r>
      <w:r w:rsidR="00BE6F6D" w:rsidRPr="00BE6F6D">
        <w:rPr>
          <w:noProof/>
        </w:rPr>
        <w:t> </w:t>
      </w:r>
      <w:r w:rsidRPr="00BE6F6D">
        <w:rPr>
          <w:noProof/>
        </w:rPr>
        <w:t>2</w:t>
      </w:r>
      <w:r w:rsidRPr="009A4A22">
        <w:rPr>
          <w:noProof/>
        </w:rPr>
        <w:t>.”.</w:t>
      </w:r>
    </w:p>
    <w:p w14:paraId="3DA003BA" w14:textId="5E06ED47" w:rsidR="00F60227" w:rsidRPr="009A4A22" w:rsidRDefault="00F60227" w:rsidP="004E1C00">
      <w:pPr>
        <w:pStyle w:val="Titrearticle"/>
        <w:rPr>
          <w:noProof/>
        </w:rPr>
      </w:pPr>
      <w:r w:rsidRPr="009A4A22">
        <w:rPr>
          <w:noProof/>
        </w:rPr>
        <w:t>Artykuł 2</w:t>
      </w:r>
      <w:r w:rsidRPr="009A4A22">
        <w:rPr>
          <w:noProof/>
        </w:rPr>
        <w:br/>
      </w:r>
      <w:r w:rsidRPr="009A4A22">
        <w:rPr>
          <w:b/>
          <w:noProof/>
        </w:rPr>
        <w:t>Zmiana</w:t>
      </w:r>
      <w:r w:rsidR="00BE6F6D" w:rsidRPr="009A4A22">
        <w:rPr>
          <w:b/>
          <w:noProof/>
        </w:rPr>
        <w:t xml:space="preserve"> w</w:t>
      </w:r>
      <w:r w:rsidR="00BE6F6D">
        <w:rPr>
          <w:b/>
          <w:noProof/>
        </w:rPr>
        <w:t> </w:t>
      </w:r>
      <w:r w:rsidR="00BE6F6D" w:rsidRPr="009A4A22">
        <w:rPr>
          <w:b/>
          <w:noProof/>
        </w:rPr>
        <w:t>dyr</w:t>
      </w:r>
      <w:r w:rsidRPr="009A4A22">
        <w:rPr>
          <w:b/>
          <w:noProof/>
        </w:rPr>
        <w:t>ektywie (UE) 2015/2302</w:t>
      </w:r>
    </w:p>
    <w:p w14:paraId="3EBBD74E" w14:textId="60A68859" w:rsidR="00F60227" w:rsidRPr="009A4A22" w:rsidRDefault="00F60227" w:rsidP="00F60227">
      <w:pPr>
        <w:rPr>
          <w:noProof/>
        </w:rPr>
      </w:pPr>
      <w:r w:rsidRPr="009A4A22">
        <w:rPr>
          <w:noProof/>
        </w:rPr>
        <w:t xml:space="preserve">Art. 7 </w:t>
      </w:r>
      <w:r w:rsidRPr="00BE6F6D">
        <w:rPr>
          <w:noProof/>
        </w:rPr>
        <w:t>ust.</w:t>
      </w:r>
      <w:r w:rsidR="00BE6F6D" w:rsidRPr="00BE6F6D">
        <w:rPr>
          <w:noProof/>
        </w:rPr>
        <w:t> </w:t>
      </w:r>
      <w:r w:rsidRPr="00BE6F6D">
        <w:rPr>
          <w:noProof/>
        </w:rPr>
        <w:t>2</w:t>
      </w:r>
      <w:r w:rsidRPr="009A4A22">
        <w:rPr>
          <w:noProof/>
        </w:rPr>
        <w:t xml:space="preserve"> </w:t>
      </w:r>
      <w:r w:rsidRPr="00BE6F6D">
        <w:rPr>
          <w:noProof/>
        </w:rPr>
        <w:t>lit.</w:t>
      </w:r>
      <w:r w:rsidR="00BE6F6D" w:rsidRPr="00BE6F6D">
        <w:rPr>
          <w:noProof/>
        </w:rPr>
        <w:t> </w:t>
      </w:r>
      <w:r w:rsidRPr="00BE6F6D">
        <w:rPr>
          <w:noProof/>
        </w:rPr>
        <w:t>g)</w:t>
      </w:r>
      <w:r w:rsidRPr="009A4A22">
        <w:rPr>
          <w:noProof/>
        </w:rPr>
        <w:t xml:space="preserve"> dyrektywy (UE) 2015/2302 otrzymuje brzmienie:</w:t>
      </w:r>
    </w:p>
    <w:p w14:paraId="473F91EB" w14:textId="3732F7F3" w:rsidR="001C5A1F" w:rsidRPr="009A4A22" w:rsidRDefault="00F60227" w:rsidP="00F60227">
      <w:pPr>
        <w:rPr>
          <w:noProof/>
        </w:rPr>
      </w:pPr>
      <w:r w:rsidRPr="009A4A22">
        <w:rPr>
          <w:noProof/>
        </w:rPr>
        <w:t>„g) informację na temat dostępnych wewnętrznych procedur rozpatrywania skarg oraz na temat alternatywnych metod rozstrzygania sporów („ADR”) zgodnie</w:t>
      </w:r>
      <w:r w:rsidR="00BE6F6D" w:rsidRPr="009A4A22">
        <w:rPr>
          <w:noProof/>
        </w:rPr>
        <w:t xml:space="preserve"> z</w:t>
      </w:r>
      <w:r w:rsidR="00BE6F6D">
        <w:rPr>
          <w:noProof/>
        </w:rPr>
        <w:t> </w:t>
      </w:r>
      <w:r w:rsidR="00BE6F6D" w:rsidRPr="009A4A22">
        <w:rPr>
          <w:noProof/>
        </w:rPr>
        <w:t>dyr</w:t>
      </w:r>
      <w:r w:rsidRPr="009A4A22">
        <w:rPr>
          <w:noProof/>
        </w:rPr>
        <w:t>ektywą Parlamentu Europejskiego</w:t>
      </w:r>
      <w:r w:rsidR="00BE6F6D" w:rsidRPr="009A4A22">
        <w:rPr>
          <w:noProof/>
        </w:rPr>
        <w:t xml:space="preserve"> i</w:t>
      </w:r>
      <w:r w:rsidR="00BE6F6D">
        <w:rPr>
          <w:noProof/>
        </w:rPr>
        <w:t> </w:t>
      </w:r>
      <w:r w:rsidR="00BE6F6D" w:rsidRPr="009A4A22">
        <w:rPr>
          <w:noProof/>
        </w:rPr>
        <w:t>Rad</w:t>
      </w:r>
      <w:r w:rsidRPr="009A4A22">
        <w:rPr>
          <w:noProof/>
        </w:rPr>
        <w:t>y 2013/11/UE</w:t>
      </w:r>
      <w:r w:rsidR="00994395" w:rsidRPr="009A4A22">
        <w:rPr>
          <w:rStyle w:val="FootnoteReference"/>
          <w:noProof/>
        </w:rPr>
        <w:footnoteReference w:id="40"/>
      </w:r>
      <w:r w:rsidRPr="009A4A22">
        <w:rPr>
          <w:noProof/>
        </w:rPr>
        <w:t xml:space="preserve"> oraz,</w:t>
      </w:r>
      <w:r w:rsidR="00BE6F6D" w:rsidRPr="009A4A22">
        <w:rPr>
          <w:noProof/>
        </w:rPr>
        <w:t xml:space="preserve"> w</w:t>
      </w:r>
      <w:r w:rsidR="00BE6F6D">
        <w:rPr>
          <w:noProof/>
        </w:rPr>
        <w:t> </w:t>
      </w:r>
      <w:r w:rsidR="00BE6F6D" w:rsidRPr="009A4A22">
        <w:rPr>
          <w:noProof/>
        </w:rPr>
        <w:t>sto</w:t>
      </w:r>
      <w:r w:rsidRPr="009A4A22">
        <w:rPr>
          <w:noProof/>
        </w:rPr>
        <w:t>sownych przypadkach, na temat podmiotu ADR, któremu podlega przedsiębiorca;”.</w:t>
      </w:r>
    </w:p>
    <w:p w14:paraId="2CA2284F" w14:textId="0DF40562" w:rsidR="00F60227" w:rsidRPr="009A4A22" w:rsidRDefault="00F60227" w:rsidP="004E1C00">
      <w:pPr>
        <w:pStyle w:val="Titrearticle"/>
        <w:rPr>
          <w:noProof/>
        </w:rPr>
      </w:pPr>
      <w:r w:rsidRPr="009A4A22">
        <w:rPr>
          <w:noProof/>
        </w:rPr>
        <w:t>Artykuł 3</w:t>
      </w:r>
      <w:r w:rsidRPr="009A4A22">
        <w:rPr>
          <w:noProof/>
        </w:rPr>
        <w:br/>
      </w:r>
      <w:r w:rsidRPr="009A4A22">
        <w:rPr>
          <w:b/>
          <w:noProof/>
        </w:rPr>
        <w:t>Zmiana</w:t>
      </w:r>
      <w:r w:rsidR="00BE6F6D" w:rsidRPr="009A4A22">
        <w:rPr>
          <w:b/>
          <w:noProof/>
        </w:rPr>
        <w:t xml:space="preserve"> w</w:t>
      </w:r>
      <w:r w:rsidR="00BE6F6D">
        <w:rPr>
          <w:b/>
          <w:noProof/>
        </w:rPr>
        <w:t> </w:t>
      </w:r>
      <w:r w:rsidR="00BE6F6D" w:rsidRPr="009A4A22">
        <w:rPr>
          <w:b/>
          <w:noProof/>
        </w:rPr>
        <w:t>dyr</w:t>
      </w:r>
      <w:r w:rsidRPr="009A4A22">
        <w:rPr>
          <w:b/>
          <w:noProof/>
        </w:rPr>
        <w:t>ektywie (UE) 2019/2161</w:t>
      </w:r>
    </w:p>
    <w:p w14:paraId="63F1195E" w14:textId="25890E85" w:rsidR="00B0784C" w:rsidRPr="009A4A22" w:rsidRDefault="00FD4EB0" w:rsidP="00FD4EB0">
      <w:pPr>
        <w:shd w:val="clear" w:color="auto" w:fill="FFFFFF"/>
        <w:spacing w:before="0" w:after="0"/>
        <w:rPr>
          <w:rFonts w:eastAsia="Times New Roman"/>
          <w:noProof/>
          <w:color w:val="333333"/>
          <w:szCs w:val="24"/>
        </w:rPr>
      </w:pPr>
      <w:r w:rsidRPr="009A4A22">
        <w:rPr>
          <w:noProof/>
          <w:color w:val="333333"/>
        </w:rPr>
        <w:t xml:space="preserve">Art. 5 </w:t>
      </w:r>
      <w:r w:rsidRPr="00BE6F6D">
        <w:rPr>
          <w:noProof/>
          <w:color w:val="333333"/>
        </w:rPr>
        <w:t>lit.</w:t>
      </w:r>
      <w:r w:rsidR="00BE6F6D" w:rsidRPr="00BE6F6D">
        <w:rPr>
          <w:noProof/>
          <w:color w:val="333333"/>
        </w:rPr>
        <w:t> </w:t>
      </w:r>
      <w:r w:rsidRPr="00BE6F6D">
        <w:rPr>
          <w:noProof/>
          <w:color w:val="333333"/>
        </w:rPr>
        <w:t>b)</w:t>
      </w:r>
      <w:r w:rsidRPr="009A4A22">
        <w:rPr>
          <w:noProof/>
          <w:color w:val="333333"/>
        </w:rPr>
        <w:t xml:space="preserve"> dyrektywy (UE) 2019/2161 otrzymuje brzmienie:</w:t>
      </w:r>
    </w:p>
    <w:p w14:paraId="1381C0B6" w14:textId="77777777" w:rsidR="00FD4EB0" w:rsidRPr="009A4A22" w:rsidRDefault="00B0784C" w:rsidP="00B0784C">
      <w:pPr>
        <w:shd w:val="clear" w:color="auto" w:fill="FFFFFF"/>
        <w:spacing w:before="0" w:after="0"/>
        <w:rPr>
          <w:rFonts w:eastAsia="Times New Roman"/>
          <w:noProof/>
          <w:color w:val="333333"/>
          <w:szCs w:val="24"/>
        </w:rPr>
      </w:pPr>
      <w:r w:rsidRPr="009A4A22">
        <w:rPr>
          <w:noProof/>
        </w:rPr>
        <w:t>„</w:t>
      </w:r>
      <w:r w:rsidRPr="009A4A22">
        <w:rPr>
          <w:noProof/>
          <w:color w:val="333333"/>
        </w:rPr>
        <w:t>b) złożenie skargi do właściwego centrum należącego do Sieci Europejskich Centrów Konsumenckich, zależnie od zaangażowanych stron.</w:t>
      </w:r>
      <w:r w:rsidRPr="009A4A22">
        <w:rPr>
          <w:noProof/>
        </w:rPr>
        <w:t>”.</w:t>
      </w:r>
    </w:p>
    <w:p w14:paraId="46E503DC" w14:textId="01D3E39A" w:rsidR="00FD4EB0" w:rsidRPr="009A4A22" w:rsidRDefault="00FD4EB0" w:rsidP="004E1C00">
      <w:pPr>
        <w:pStyle w:val="Titrearticle"/>
        <w:rPr>
          <w:noProof/>
          <w:shd w:val="clear" w:color="auto" w:fill="FFFFFF"/>
        </w:rPr>
      </w:pPr>
      <w:r w:rsidRPr="009A4A22">
        <w:rPr>
          <w:noProof/>
          <w:shd w:val="clear" w:color="auto" w:fill="FFFFFF"/>
        </w:rPr>
        <w:t>Artykuł 4</w:t>
      </w:r>
      <w:r w:rsidRPr="009A4A22">
        <w:rPr>
          <w:noProof/>
          <w:shd w:val="clear" w:color="auto" w:fill="FFFFFF"/>
        </w:rPr>
        <w:br/>
      </w:r>
      <w:r w:rsidRPr="009A4A22">
        <w:rPr>
          <w:b/>
          <w:noProof/>
          <w:color w:val="333333"/>
          <w:shd w:val="clear" w:color="auto" w:fill="FFFFFF"/>
        </w:rPr>
        <w:t>Zmiana</w:t>
      </w:r>
      <w:r w:rsidR="00BE6F6D" w:rsidRPr="009A4A22">
        <w:rPr>
          <w:b/>
          <w:noProof/>
          <w:color w:val="333333"/>
          <w:shd w:val="clear" w:color="auto" w:fill="FFFFFF"/>
        </w:rPr>
        <w:t xml:space="preserve"> w</w:t>
      </w:r>
      <w:r w:rsidR="00BE6F6D">
        <w:rPr>
          <w:b/>
          <w:noProof/>
          <w:color w:val="333333"/>
          <w:shd w:val="clear" w:color="auto" w:fill="FFFFFF"/>
        </w:rPr>
        <w:t> </w:t>
      </w:r>
      <w:r w:rsidR="00BE6F6D" w:rsidRPr="009A4A22">
        <w:rPr>
          <w:b/>
          <w:noProof/>
          <w:color w:val="333333"/>
          <w:shd w:val="clear" w:color="auto" w:fill="FFFFFF"/>
        </w:rPr>
        <w:t>dyr</w:t>
      </w:r>
      <w:r w:rsidRPr="009A4A22">
        <w:rPr>
          <w:b/>
          <w:noProof/>
          <w:color w:val="333333"/>
          <w:shd w:val="clear" w:color="auto" w:fill="FFFFFF"/>
        </w:rPr>
        <w:t>ektywie (UE) 2020/1828</w:t>
      </w:r>
    </w:p>
    <w:p w14:paraId="5AD1EBC2" w14:textId="6867B235" w:rsidR="00FD4EB0" w:rsidRPr="009A4A22" w:rsidRDefault="00FD4EB0" w:rsidP="00FD4EB0">
      <w:pPr>
        <w:shd w:val="clear" w:color="auto" w:fill="FFFFFF"/>
        <w:rPr>
          <w:rFonts w:eastAsia="Times New Roman"/>
          <w:noProof/>
          <w:color w:val="333333"/>
          <w:szCs w:val="24"/>
        </w:rPr>
      </w:pPr>
      <w:r w:rsidRPr="009A4A22">
        <w:rPr>
          <w:noProof/>
          <w:color w:val="333333"/>
        </w:rPr>
        <w:t xml:space="preserve">W załączniku I do dyrektywy (UE) 2020/1828 skreśla się </w:t>
      </w:r>
      <w:r w:rsidRPr="00BE6F6D">
        <w:rPr>
          <w:noProof/>
          <w:color w:val="333333"/>
        </w:rPr>
        <w:t>pkt</w:t>
      </w:r>
      <w:r w:rsidR="00BE6F6D" w:rsidRPr="00BE6F6D">
        <w:rPr>
          <w:noProof/>
          <w:color w:val="333333"/>
        </w:rPr>
        <w:t> </w:t>
      </w:r>
      <w:r w:rsidRPr="00BE6F6D">
        <w:rPr>
          <w:noProof/>
          <w:color w:val="333333"/>
        </w:rPr>
        <w:t>4</w:t>
      </w:r>
      <w:r w:rsidRPr="009A4A22">
        <w:rPr>
          <w:noProof/>
          <w:color w:val="333333"/>
        </w:rPr>
        <w:t>4.</w:t>
      </w:r>
    </w:p>
    <w:p w14:paraId="1AC4A786" w14:textId="55B3DB53" w:rsidR="00310D36" w:rsidRPr="009A4A22" w:rsidRDefault="00310D36" w:rsidP="004E1C00">
      <w:pPr>
        <w:pStyle w:val="Titrearticle"/>
        <w:rPr>
          <w:noProof/>
        </w:rPr>
      </w:pPr>
      <w:bookmarkStart w:id="8" w:name="_Hlk147917153"/>
      <w:r w:rsidRPr="009A4A22">
        <w:rPr>
          <w:noProof/>
        </w:rPr>
        <w:t>Artykuł 5</w:t>
      </w:r>
      <w:r w:rsidRPr="009A4A22">
        <w:rPr>
          <w:noProof/>
        </w:rPr>
        <w:br/>
      </w:r>
      <w:r w:rsidRPr="009A4A22">
        <w:rPr>
          <w:b/>
          <w:noProof/>
        </w:rPr>
        <w:t>Transpozycja</w:t>
      </w:r>
    </w:p>
    <w:p w14:paraId="055B71A9" w14:textId="771BBAC4" w:rsidR="009015BD" w:rsidRPr="009A4A22" w:rsidRDefault="001755F8" w:rsidP="001755F8">
      <w:pPr>
        <w:pStyle w:val="ManualNumPar1"/>
        <w:rPr>
          <w:noProof/>
        </w:rPr>
      </w:pPr>
      <w:r w:rsidRPr="001755F8">
        <w:t>1.</w:t>
      </w:r>
      <w:r w:rsidRPr="001755F8">
        <w:tab/>
      </w:r>
      <w:r w:rsidR="00FD4EB0" w:rsidRPr="009A4A22">
        <w:rPr>
          <w:noProof/>
        </w:rPr>
        <w:t>Do dnia [</w:t>
      </w:r>
      <w:r w:rsidR="00FD4EB0" w:rsidRPr="009A4A22">
        <w:rPr>
          <w:i/>
          <w:noProof/>
        </w:rPr>
        <w:t>dd/miesiąc/rok – 1 rok po wejściu</w:t>
      </w:r>
      <w:r w:rsidR="00BE6F6D" w:rsidRPr="009A4A22">
        <w:rPr>
          <w:i/>
          <w:noProof/>
        </w:rPr>
        <w:t xml:space="preserve"> w</w:t>
      </w:r>
      <w:r w:rsidR="00BE6F6D">
        <w:rPr>
          <w:i/>
          <w:noProof/>
        </w:rPr>
        <w:t> </w:t>
      </w:r>
      <w:r w:rsidR="00BE6F6D" w:rsidRPr="009A4A22">
        <w:rPr>
          <w:i/>
          <w:noProof/>
        </w:rPr>
        <w:t>życ</w:t>
      </w:r>
      <w:r w:rsidR="00FD4EB0" w:rsidRPr="009A4A22">
        <w:rPr>
          <w:i/>
          <w:noProof/>
        </w:rPr>
        <w:t>ie</w:t>
      </w:r>
      <w:r w:rsidR="00FD4EB0" w:rsidRPr="009A4A22">
        <w:rPr>
          <w:noProof/>
        </w:rPr>
        <w:t>] r. państwa członkowskie przyjmują</w:t>
      </w:r>
      <w:r w:rsidR="00BE6F6D" w:rsidRPr="009A4A22">
        <w:rPr>
          <w:noProof/>
        </w:rPr>
        <w:t xml:space="preserve"> i</w:t>
      </w:r>
      <w:r w:rsidR="00BE6F6D">
        <w:rPr>
          <w:noProof/>
        </w:rPr>
        <w:t> </w:t>
      </w:r>
      <w:r w:rsidR="00BE6F6D" w:rsidRPr="009A4A22">
        <w:rPr>
          <w:noProof/>
        </w:rPr>
        <w:t>pub</w:t>
      </w:r>
      <w:r w:rsidR="00FD4EB0" w:rsidRPr="009A4A22">
        <w:rPr>
          <w:noProof/>
        </w:rPr>
        <w:t xml:space="preserve">likują środki niezbędne do wykonania </w:t>
      </w:r>
      <w:r w:rsidR="00FD4EB0" w:rsidRPr="00BE6F6D">
        <w:rPr>
          <w:noProof/>
        </w:rPr>
        <w:t>art.</w:t>
      </w:r>
      <w:r w:rsidR="00BE6F6D" w:rsidRPr="00BE6F6D">
        <w:rPr>
          <w:noProof/>
        </w:rPr>
        <w:t> </w:t>
      </w:r>
      <w:r w:rsidR="00FD4EB0" w:rsidRPr="00BE6F6D">
        <w:rPr>
          <w:noProof/>
        </w:rPr>
        <w:t>1</w:t>
      </w:r>
      <w:r w:rsidR="00FD4EB0" w:rsidRPr="009A4A22">
        <w:rPr>
          <w:noProof/>
        </w:rPr>
        <w:t xml:space="preserve"> niniejszej dyrektywy. Niezwłocznie powiadamiają</w:t>
      </w:r>
      <w:r w:rsidR="00BE6F6D" w:rsidRPr="009A4A22">
        <w:rPr>
          <w:noProof/>
        </w:rPr>
        <w:t xml:space="preserve"> o</w:t>
      </w:r>
      <w:r w:rsidR="00BE6F6D">
        <w:rPr>
          <w:noProof/>
        </w:rPr>
        <w:t> </w:t>
      </w:r>
      <w:r w:rsidR="00BE6F6D" w:rsidRPr="009A4A22">
        <w:rPr>
          <w:noProof/>
        </w:rPr>
        <w:t>tym</w:t>
      </w:r>
      <w:r w:rsidR="00FD4EB0" w:rsidRPr="009A4A22">
        <w:rPr>
          <w:noProof/>
        </w:rPr>
        <w:t xml:space="preserve"> Komisję.</w:t>
      </w:r>
    </w:p>
    <w:p w14:paraId="202419CB" w14:textId="54BFF786" w:rsidR="009015BD" w:rsidRPr="009A4A22" w:rsidRDefault="00310D36" w:rsidP="004E1C00">
      <w:pPr>
        <w:rPr>
          <w:noProof/>
        </w:rPr>
      </w:pPr>
      <w:r w:rsidRPr="009A4A22">
        <w:rPr>
          <w:noProof/>
        </w:rPr>
        <w:t>Państwa członkowskie stosują te środki od dnia [data].</w:t>
      </w:r>
      <w:bookmarkStart w:id="9" w:name="_Hlk147840524"/>
    </w:p>
    <w:p w14:paraId="23FE3978" w14:textId="765D5F3E" w:rsidR="009015BD" w:rsidRPr="009A4A22" w:rsidRDefault="001755F8" w:rsidP="001755F8">
      <w:pPr>
        <w:pStyle w:val="ManualNumPar1"/>
        <w:rPr>
          <w:noProof/>
        </w:rPr>
      </w:pPr>
      <w:r w:rsidRPr="001755F8">
        <w:t>2.</w:t>
      </w:r>
      <w:r w:rsidRPr="001755F8">
        <w:tab/>
      </w:r>
      <w:r w:rsidR="009015BD" w:rsidRPr="009A4A22">
        <w:rPr>
          <w:noProof/>
        </w:rPr>
        <w:t>Do dnia [</w:t>
      </w:r>
      <w:r w:rsidR="009015BD" w:rsidRPr="009A4A22">
        <w:rPr>
          <w:i/>
          <w:noProof/>
        </w:rPr>
        <w:t>dd/miesiąc/rok… 1 rok po wejściu</w:t>
      </w:r>
      <w:r w:rsidR="00BE6F6D" w:rsidRPr="009A4A22">
        <w:rPr>
          <w:i/>
          <w:noProof/>
        </w:rPr>
        <w:t xml:space="preserve"> w</w:t>
      </w:r>
      <w:r w:rsidR="00BE6F6D">
        <w:rPr>
          <w:i/>
          <w:noProof/>
        </w:rPr>
        <w:t> </w:t>
      </w:r>
      <w:r w:rsidR="00BE6F6D" w:rsidRPr="009A4A22">
        <w:rPr>
          <w:i/>
          <w:noProof/>
        </w:rPr>
        <w:t>życ</w:t>
      </w:r>
      <w:r w:rsidR="009015BD" w:rsidRPr="009A4A22">
        <w:rPr>
          <w:i/>
          <w:noProof/>
        </w:rPr>
        <w:t>ie rozporządzenia xx/….</w:t>
      </w:r>
      <w:r w:rsidR="009015BD" w:rsidRPr="009A4A22">
        <w:rPr>
          <w:noProof/>
        </w:rPr>
        <w:t xml:space="preserve"> [wniosek dotyczący rozporządzenia Parlamentu Europejskiego</w:t>
      </w:r>
      <w:r w:rsidR="00BE6F6D" w:rsidRPr="009A4A22">
        <w:rPr>
          <w:noProof/>
        </w:rPr>
        <w:t xml:space="preserve"> i</w:t>
      </w:r>
      <w:r w:rsidR="00BE6F6D">
        <w:rPr>
          <w:noProof/>
        </w:rPr>
        <w:t> </w:t>
      </w:r>
      <w:r w:rsidR="00BE6F6D" w:rsidRPr="009A4A22">
        <w:rPr>
          <w:noProof/>
        </w:rPr>
        <w:t>Rad</w:t>
      </w:r>
      <w:r w:rsidR="009015BD" w:rsidRPr="009A4A22">
        <w:rPr>
          <w:noProof/>
        </w:rPr>
        <w:t xml:space="preserve">y uchylającego rozporządzenie (UE) </w:t>
      </w:r>
      <w:r w:rsidR="009015BD" w:rsidRPr="00BE6F6D">
        <w:rPr>
          <w:noProof/>
        </w:rPr>
        <w:t>nr</w:t>
      </w:r>
      <w:r w:rsidR="00BE6F6D" w:rsidRPr="00BE6F6D">
        <w:rPr>
          <w:noProof/>
        </w:rPr>
        <w:t> </w:t>
      </w:r>
      <w:r w:rsidR="009015BD" w:rsidRPr="00BE6F6D">
        <w:rPr>
          <w:noProof/>
        </w:rPr>
        <w:t>5</w:t>
      </w:r>
      <w:r w:rsidR="009015BD" w:rsidRPr="009A4A22">
        <w:rPr>
          <w:noProof/>
        </w:rPr>
        <w:t>24/2013</w:t>
      </w:r>
      <w:r w:rsidR="00BE6F6D" w:rsidRPr="009A4A22">
        <w:rPr>
          <w:noProof/>
        </w:rPr>
        <w:t xml:space="preserve"> w</w:t>
      </w:r>
      <w:r w:rsidR="00BE6F6D">
        <w:rPr>
          <w:noProof/>
        </w:rPr>
        <w:t> </w:t>
      </w:r>
      <w:r w:rsidR="00BE6F6D" w:rsidRPr="009A4A22">
        <w:rPr>
          <w:noProof/>
        </w:rPr>
        <w:t>spr</w:t>
      </w:r>
      <w:r w:rsidR="009015BD" w:rsidRPr="009A4A22">
        <w:rPr>
          <w:noProof/>
        </w:rPr>
        <w:t>awie internetowego systemu rozstrzygania sporów konsumenckich]] r. państwa członkowskie przyjmują</w:t>
      </w:r>
      <w:r w:rsidR="00BE6F6D" w:rsidRPr="009A4A22">
        <w:rPr>
          <w:noProof/>
        </w:rPr>
        <w:t xml:space="preserve"> i</w:t>
      </w:r>
      <w:r w:rsidR="00BE6F6D">
        <w:rPr>
          <w:noProof/>
        </w:rPr>
        <w:t> </w:t>
      </w:r>
      <w:r w:rsidR="00BE6F6D" w:rsidRPr="009A4A22">
        <w:rPr>
          <w:noProof/>
        </w:rPr>
        <w:t>pub</w:t>
      </w:r>
      <w:r w:rsidR="009015BD" w:rsidRPr="009A4A22">
        <w:rPr>
          <w:noProof/>
        </w:rPr>
        <w:t xml:space="preserve">likują środki niezbędne do wykonania </w:t>
      </w:r>
      <w:r w:rsidR="009015BD" w:rsidRPr="00BE6F6D">
        <w:rPr>
          <w:noProof/>
        </w:rPr>
        <w:t>art.</w:t>
      </w:r>
      <w:r w:rsidR="00BE6F6D" w:rsidRPr="00BE6F6D">
        <w:rPr>
          <w:noProof/>
        </w:rPr>
        <w:t> </w:t>
      </w:r>
      <w:r w:rsidR="009015BD" w:rsidRPr="00BE6F6D">
        <w:rPr>
          <w:noProof/>
        </w:rPr>
        <w:t>2</w:t>
      </w:r>
      <w:r w:rsidR="009015BD" w:rsidRPr="009A4A22">
        <w:rPr>
          <w:noProof/>
        </w:rPr>
        <w:t>, 3</w:t>
      </w:r>
      <w:r w:rsidR="00BE6F6D" w:rsidRPr="009A4A22">
        <w:rPr>
          <w:noProof/>
        </w:rPr>
        <w:t xml:space="preserve"> i</w:t>
      </w:r>
      <w:r w:rsidR="00BE6F6D">
        <w:rPr>
          <w:noProof/>
        </w:rPr>
        <w:t> </w:t>
      </w:r>
      <w:r w:rsidR="00BE6F6D" w:rsidRPr="009A4A22">
        <w:rPr>
          <w:noProof/>
        </w:rPr>
        <w:t>4</w:t>
      </w:r>
      <w:r w:rsidR="009015BD" w:rsidRPr="009A4A22">
        <w:rPr>
          <w:noProof/>
        </w:rPr>
        <w:t xml:space="preserve"> niniejszej dyrektywy. Niezwłocznie powiadamiają</w:t>
      </w:r>
      <w:r w:rsidR="00BE6F6D" w:rsidRPr="009A4A22">
        <w:rPr>
          <w:noProof/>
        </w:rPr>
        <w:t xml:space="preserve"> o</w:t>
      </w:r>
      <w:r w:rsidR="00BE6F6D">
        <w:rPr>
          <w:noProof/>
        </w:rPr>
        <w:t> </w:t>
      </w:r>
      <w:r w:rsidR="00BE6F6D" w:rsidRPr="009A4A22">
        <w:rPr>
          <w:noProof/>
        </w:rPr>
        <w:t>tym</w:t>
      </w:r>
      <w:r w:rsidR="009015BD" w:rsidRPr="009A4A22">
        <w:rPr>
          <w:noProof/>
        </w:rPr>
        <w:t xml:space="preserve"> Komisję.</w:t>
      </w:r>
    </w:p>
    <w:p w14:paraId="6AEF7753" w14:textId="77777777" w:rsidR="009015BD" w:rsidRPr="009A4A22" w:rsidRDefault="009015BD" w:rsidP="009015BD">
      <w:pPr>
        <w:rPr>
          <w:noProof/>
        </w:rPr>
      </w:pPr>
      <w:r w:rsidRPr="009A4A22">
        <w:rPr>
          <w:noProof/>
        </w:rPr>
        <w:t>Państwa członkowskie stosują te środki od dnia [</w:t>
      </w:r>
      <w:r w:rsidRPr="009A4A22">
        <w:rPr>
          <w:i/>
          <w:noProof/>
        </w:rPr>
        <w:t>wstawić datę</w:t>
      </w:r>
      <w:r w:rsidRPr="009A4A22">
        <w:rPr>
          <w:noProof/>
        </w:rPr>
        <w:t>] r.</w:t>
      </w:r>
    </w:p>
    <w:bookmarkEnd w:id="9"/>
    <w:p w14:paraId="386FBFAB" w14:textId="180AEE1C" w:rsidR="004E1C00" w:rsidRPr="009A4A22" w:rsidRDefault="001755F8" w:rsidP="001755F8">
      <w:pPr>
        <w:pStyle w:val="ManualNumPar1"/>
        <w:rPr>
          <w:noProof/>
        </w:rPr>
      </w:pPr>
      <w:r w:rsidRPr="001755F8">
        <w:t>3.</w:t>
      </w:r>
      <w:r w:rsidRPr="001755F8">
        <w:tab/>
      </w:r>
      <w:r w:rsidR="00310D36" w:rsidRPr="009A4A22">
        <w:rPr>
          <w:noProof/>
        </w:rPr>
        <w:t>Środki,</w:t>
      </w:r>
      <w:r w:rsidR="00BE6F6D" w:rsidRPr="009A4A22">
        <w:rPr>
          <w:noProof/>
        </w:rPr>
        <w:t xml:space="preserve"> o</w:t>
      </w:r>
      <w:r w:rsidR="00BE6F6D">
        <w:rPr>
          <w:noProof/>
        </w:rPr>
        <w:t> </w:t>
      </w:r>
      <w:r w:rsidR="00BE6F6D" w:rsidRPr="009A4A22">
        <w:rPr>
          <w:noProof/>
        </w:rPr>
        <w:t>któ</w:t>
      </w:r>
      <w:r w:rsidR="00310D36" w:rsidRPr="009A4A22">
        <w:rPr>
          <w:noProof/>
        </w:rPr>
        <w:t>rych mowa</w:t>
      </w:r>
      <w:r w:rsidR="00BE6F6D" w:rsidRPr="009A4A22">
        <w:rPr>
          <w:noProof/>
        </w:rPr>
        <w:t xml:space="preserve"> w</w:t>
      </w:r>
      <w:r w:rsidR="00BE6F6D">
        <w:rPr>
          <w:noProof/>
        </w:rPr>
        <w:t> </w:t>
      </w:r>
      <w:r w:rsidR="00BE6F6D" w:rsidRPr="00BE6F6D">
        <w:rPr>
          <w:noProof/>
        </w:rPr>
        <w:t>ust</w:t>
      </w:r>
      <w:r w:rsidR="00310D36" w:rsidRPr="00BE6F6D">
        <w:rPr>
          <w:noProof/>
        </w:rPr>
        <w:t>.</w:t>
      </w:r>
      <w:r w:rsidR="00BE6F6D" w:rsidRPr="00BE6F6D">
        <w:rPr>
          <w:noProof/>
        </w:rPr>
        <w:t> </w:t>
      </w:r>
      <w:r w:rsidR="00310D36" w:rsidRPr="00BE6F6D">
        <w:rPr>
          <w:noProof/>
        </w:rPr>
        <w:t>1</w:t>
      </w:r>
      <w:r w:rsidR="00BE6F6D" w:rsidRPr="009A4A22">
        <w:rPr>
          <w:noProof/>
        </w:rPr>
        <w:t xml:space="preserve"> i</w:t>
      </w:r>
      <w:r w:rsidR="00BE6F6D">
        <w:rPr>
          <w:noProof/>
        </w:rPr>
        <w:t> </w:t>
      </w:r>
      <w:r w:rsidR="00BE6F6D" w:rsidRPr="009A4A22">
        <w:rPr>
          <w:noProof/>
        </w:rPr>
        <w:t>2</w:t>
      </w:r>
      <w:r w:rsidR="00310D36" w:rsidRPr="009A4A22">
        <w:rPr>
          <w:noProof/>
        </w:rPr>
        <w:t>, przyjęte przez państwa członkowskie zawierają odniesienie do niniejszej dyrektywy lub odniesienie takie towarzyszy ich urzędowej publikacji. Sposób dokonywania takiego odniesienia określany jest przez państwa członkowskie.</w:t>
      </w:r>
    </w:p>
    <w:p w14:paraId="40C9B6FB" w14:textId="6324DBA3" w:rsidR="00310D36" w:rsidRPr="009A4A22" w:rsidRDefault="001755F8" w:rsidP="001755F8">
      <w:pPr>
        <w:pStyle w:val="ManualNumPar1"/>
        <w:rPr>
          <w:noProof/>
        </w:rPr>
      </w:pPr>
      <w:r w:rsidRPr="001755F8">
        <w:t>4.</w:t>
      </w:r>
      <w:r w:rsidRPr="001755F8">
        <w:tab/>
      </w:r>
      <w:r w:rsidR="00310D36" w:rsidRPr="009A4A22">
        <w:rPr>
          <w:noProof/>
        </w:rPr>
        <w:t>Państwa członkowskie przekazują Komisji tekst podstawowych przepisów prawa krajowego przyjętych</w:t>
      </w:r>
      <w:r w:rsidR="00BE6F6D" w:rsidRPr="009A4A22">
        <w:rPr>
          <w:noProof/>
        </w:rPr>
        <w:t xml:space="preserve"> w</w:t>
      </w:r>
      <w:r w:rsidR="00BE6F6D">
        <w:rPr>
          <w:noProof/>
        </w:rPr>
        <w:t> </w:t>
      </w:r>
      <w:r w:rsidR="00BE6F6D" w:rsidRPr="009A4A22">
        <w:rPr>
          <w:noProof/>
        </w:rPr>
        <w:t>dzi</w:t>
      </w:r>
      <w:r w:rsidR="00310D36" w:rsidRPr="009A4A22">
        <w:rPr>
          <w:noProof/>
        </w:rPr>
        <w:t>edzinie objętej niniejszą dyrektywą.</w:t>
      </w:r>
    </w:p>
    <w:bookmarkEnd w:id="8"/>
    <w:p w14:paraId="157DA403" w14:textId="13D0A7F4" w:rsidR="00310D36" w:rsidRPr="009A4A22" w:rsidRDefault="00310D36" w:rsidP="009E2348">
      <w:pPr>
        <w:pStyle w:val="Titrearticle"/>
        <w:rPr>
          <w:noProof/>
        </w:rPr>
      </w:pPr>
      <w:r w:rsidRPr="009A4A22">
        <w:rPr>
          <w:noProof/>
        </w:rPr>
        <w:t>Artykuł 6</w:t>
      </w:r>
      <w:r w:rsidRPr="009A4A22">
        <w:rPr>
          <w:noProof/>
        </w:rPr>
        <w:br/>
      </w:r>
      <w:r w:rsidRPr="009A4A22">
        <w:rPr>
          <w:b/>
          <w:noProof/>
        </w:rPr>
        <w:t>Wejście</w:t>
      </w:r>
      <w:r w:rsidR="00BE6F6D" w:rsidRPr="009A4A22">
        <w:rPr>
          <w:b/>
          <w:noProof/>
        </w:rPr>
        <w:t xml:space="preserve"> w</w:t>
      </w:r>
      <w:r w:rsidR="00BE6F6D">
        <w:rPr>
          <w:b/>
          <w:noProof/>
        </w:rPr>
        <w:t> </w:t>
      </w:r>
      <w:r w:rsidR="00BE6F6D" w:rsidRPr="009A4A22">
        <w:rPr>
          <w:b/>
          <w:noProof/>
        </w:rPr>
        <w:t>życ</w:t>
      </w:r>
      <w:r w:rsidRPr="009A4A22">
        <w:rPr>
          <w:b/>
          <w:noProof/>
        </w:rPr>
        <w:t>ie</w:t>
      </w:r>
    </w:p>
    <w:p w14:paraId="1009BEFD" w14:textId="3420A00A" w:rsidR="009E2348" w:rsidRPr="009A4A22" w:rsidRDefault="00310D36" w:rsidP="009E2348">
      <w:pPr>
        <w:spacing w:line="276" w:lineRule="auto"/>
        <w:rPr>
          <w:rFonts w:eastAsia="Times New Roman"/>
          <w:noProof/>
          <w:szCs w:val="24"/>
        </w:rPr>
      </w:pPr>
      <w:r w:rsidRPr="009A4A22">
        <w:rPr>
          <w:noProof/>
        </w:rPr>
        <w:t>Niniejsza dyrektywa wchodzi</w:t>
      </w:r>
      <w:r w:rsidR="00BE6F6D" w:rsidRPr="009A4A22">
        <w:rPr>
          <w:noProof/>
        </w:rPr>
        <w:t xml:space="preserve"> w</w:t>
      </w:r>
      <w:r w:rsidR="00BE6F6D">
        <w:rPr>
          <w:noProof/>
        </w:rPr>
        <w:t> </w:t>
      </w:r>
      <w:r w:rsidR="00BE6F6D" w:rsidRPr="009A4A22">
        <w:rPr>
          <w:noProof/>
        </w:rPr>
        <w:t>życ</w:t>
      </w:r>
      <w:r w:rsidRPr="009A4A22">
        <w:rPr>
          <w:noProof/>
        </w:rPr>
        <w:t>ie dwudziestego dnia po jej opublikowaniu</w:t>
      </w:r>
      <w:r w:rsidR="00BE6F6D" w:rsidRPr="009A4A22">
        <w:rPr>
          <w:noProof/>
        </w:rPr>
        <w:t xml:space="preserve"> w</w:t>
      </w:r>
      <w:r w:rsidR="00BE6F6D">
        <w:rPr>
          <w:noProof/>
        </w:rPr>
        <w:t> </w:t>
      </w:r>
      <w:r w:rsidR="00BE6F6D" w:rsidRPr="009A4A22">
        <w:rPr>
          <w:i/>
          <w:noProof/>
        </w:rPr>
        <w:t>Dzi</w:t>
      </w:r>
      <w:r w:rsidRPr="009A4A22">
        <w:rPr>
          <w:i/>
          <w:noProof/>
        </w:rPr>
        <w:t>enniku Urzędowym Unii Europejskiej</w:t>
      </w:r>
      <w:r w:rsidRPr="009A4A22">
        <w:rPr>
          <w:noProof/>
        </w:rPr>
        <w:t>.</w:t>
      </w:r>
    </w:p>
    <w:p w14:paraId="60F0B6B7" w14:textId="77777777" w:rsidR="00310D36" w:rsidRPr="009A4A22" w:rsidRDefault="00310D36" w:rsidP="00040148">
      <w:pPr>
        <w:pStyle w:val="Titrearticle"/>
        <w:rPr>
          <w:noProof/>
        </w:rPr>
      </w:pPr>
      <w:r w:rsidRPr="009A4A22">
        <w:rPr>
          <w:noProof/>
        </w:rPr>
        <w:t>Artykuł 7</w:t>
      </w:r>
      <w:r w:rsidRPr="009A4A22">
        <w:rPr>
          <w:noProof/>
        </w:rPr>
        <w:br/>
      </w:r>
      <w:r w:rsidRPr="009A4A22">
        <w:rPr>
          <w:b/>
          <w:noProof/>
        </w:rPr>
        <w:t>Adresaci</w:t>
      </w:r>
    </w:p>
    <w:p w14:paraId="0D9E7D46" w14:textId="77777777" w:rsidR="00310D36" w:rsidRPr="009A4A22" w:rsidRDefault="00310D36" w:rsidP="00310D36">
      <w:pPr>
        <w:spacing w:line="276" w:lineRule="auto"/>
        <w:rPr>
          <w:rFonts w:eastAsia="Times New Roman"/>
          <w:noProof/>
          <w:szCs w:val="24"/>
        </w:rPr>
      </w:pPr>
      <w:r w:rsidRPr="009A4A22">
        <w:rPr>
          <w:noProof/>
        </w:rPr>
        <w:t>Niniejsza dyrektywa skierowana jest do państw członkowskich.</w:t>
      </w:r>
    </w:p>
    <w:p w14:paraId="1438A466" w14:textId="6E981C69" w:rsidR="00B1743F" w:rsidRPr="009A4A22" w:rsidRDefault="00551587" w:rsidP="00040148">
      <w:pPr>
        <w:pStyle w:val="Fait"/>
        <w:rPr>
          <w:noProof/>
        </w:rPr>
      </w:pPr>
      <w:bookmarkStart w:id="10" w:name="_Hlk146485388"/>
      <w:r w:rsidRPr="00551587">
        <w:t xml:space="preserve">Sporządzono w Brukseli dnia </w:t>
      </w:r>
      <w:r w:rsidRPr="00551587">
        <w:rPr>
          <w:rStyle w:val="Marker"/>
        </w:rPr>
        <w:t>[…]</w:t>
      </w:r>
      <w:r w:rsidRPr="00551587">
        <w:t xml:space="preserve"> r.</w:t>
      </w:r>
    </w:p>
    <w:p w14:paraId="401DC0C9" w14:textId="77777777" w:rsidR="00BE6F6D" w:rsidRDefault="00BE6F6D" w:rsidP="00040148">
      <w:pPr>
        <w:pStyle w:val="Institutionquisigne"/>
        <w:rPr>
          <w:noProof/>
        </w:rPr>
      </w:pPr>
      <w:r>
        <w:rPr>
          <w:noProof/>
        </w:rPr>
        <w:t>W imieniu Parlamentu Europejskiego</w:t>
      </w:r>
      <w:r>
        <w:rPr>
          <w:noProof/>
        </w:rPr>
        <w:tab/>
        <w:t>W imieniu Rady</w:t>
      </w:r>
    </w:p>
    <w:p w14:paraId="2A7F94B9" w14:textId="5079ABAC" w:rsidR="00B1743F" w:rsidRPr="009A4A22" w:rsidRDefault="00BE6F6D" w:rsidP="00B1743F">
      <w:pPr>
        <w:pStyle w:val="Personnequisigne"/>
        <w:rPr>
          <w:noProof/>
        </w:rPr>
      </w:pPr>
      <w:r>
        <w:rPr>
          <w:noProof/>
        </w:rPr>
        <w:t>Przewodnicząca</w:t>
      </w:r>
      <w:r>
        <w:rPr>
          <w:noProof/>
        </w:rPr>
        <w:tab/>
        <w:t>Przewodniczący</w:t>
      </w:r>
      <w:bookmarkEnd w:id="10"/>
    </w:p>
    <w:sectPr w:rsidR="00B1743F" w:rsidRPr="009A4A22" w:rsidSect="002D4FD2">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7C71E" w14:textId="77777777" w:rsidR="00824255" w:rsidRDefault="00824255" w:rsidP="00B1743F">
      <w:pPr>
        <w:spacing w:before="0" w:after="0"/>
      </w:pPr>
      <w:r>
        <w:separator/>
      </w:r>
    </w:p>
  </w:endnote>
  <w:endnote w:type="continuationSeparator" w:id="0">
    <w:p w14:paraId="03C1D683" w14:textId="77777777" w:rsidR="00824255" w:rsidRDefault="00824255" w:rsidP="00B17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531C" w14:textId="3BADC918" w:rsidR="00A95F4A" w:rsidRPr="002D4FD2" w:rsidRDefault="002D4FD2" w:rsidP="002D4FD2">
    <w:pPr>
      <w:pStyle w:val="Footer"/>
      <w:rPr>
        <w:rFonts w:ascii="Arial" w:hAnsi="Arial" w:cs="Arial"/>
        <w:b/>
        <w:sz w:val="48"/>
      </w:rPr>
    </w:pPr>
    <w:r w:rsidRPr="002D4FD2">
      <w:rPr>
        <w:rFonts w:ascii="Arial" w:hAnsi="Arial" w:cs="Arial"/>
        <w:b/>
        <w:sz w:val="48"/>
      </w:rPr>
      <w:t>PL</w:t>
    </w:r>
    <w:r w:rsidRPr="002D4FD2">
      <w:rPr>
        <w:rFonts w:ascii="Arial" w:hAnsi="Arial" w:cs="Arial"/>
        <w:b/>
        <w:sz w:val="48"/>
      </w:rPr>
      <w:tab/>
    </w:r>
    <w:r w:rsidRPr="002D4FD2">
      <w:rPr>
        <w:rFonts w:ascii="Arial" w:hAnsi="Arial" w:cs="Arial"/>
        <w:b/>
        <w:sz w:val="48"/>
      </w:rPr>
      <w:tab/>
    </w:r>
    <w:r w:rsidRPr="002D4FD2">
      <w:tab/>
    </w:r>
    <w:r w:rsidRPr="002D4FD2">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B6FFC" w14:textId="77610F71" w:rsidR="002D4FD2" w:rsidRPr="002D4FD2" w:rsidRDefault="002D4FD2" w:rsidP="002D4FD2">
    <w:pPr>
      <w:pStyle w:val="Footer"/>
      <w:rPr>
        <w:rFonts w:ascii="Arial" w:hAnsi="Arial" w:cs="Arial"/>
        <w:b/>
        <w:sz w:val="48"/>
      </w:rPr>
    </w:pPr>
    <w:r w:rsidRPr="002D4FD2">
      <w:rPr>
        <w:rFonts w:ascii="Arial" w:hAnsi="Arial" w:cs="Arial"/>
        <w:b/>
        <w:sz w:val="48"/>
      </w:rPr>
      <w:t>PL</w:t>
    </w:r>
    <w:r w:rsidRPr="002D4FD2">
      <w:rPr>
        <w:rFonts w:ascii="Arial" w:hAnsi="Arial" w:cs="Arial"/>
        <w:b/>
        <w:sz w:val="48"/>
      </w:rPr>
      <w:tab/>
    </w:r>
    <w:r>
      <w:fldChar w:fldCharType="begin"/>
    </w:r>
    <w:r>
      <w:instrText xml:space="preserve"> PAGE  \* MERGEFORMAT </w:instrText>
    </w:r>
    <w:r>
      <w:fldChar w:fldCharType="separate"/>
    </w:r>
    <w:r w:rsidR="00040148">
      <w:rPr>
        <w:noProof/>
      </w:rPr>
      <w:t>26</w:t>
    </w:r>
    <w:r>
      <w:fldChar w:fldCharType="end"/>
    </w:r>
    <w:r>
      <w:tab/>
    </w:r>
    <w:r w:rsidRPr="002D4FD2">
      <w:tab/>
    </w:r>
    <w:r w:rsidRPr="002D4FD2">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00885" w14:textId="77777777" w:rsidR="002D4FD2" w:rsidRPr="002D4FD2" w:rsidRDefault="002D4FD2" w:rsidP="002D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9815" w14:textId="77777777" w:rsidR="00824255" w:rsidRDefault="00824255" w:rsidP="00B1743F">
      <w:pPr>
        <w:spacing w:before="0" w:after="0"/>
      </w:pPr>
      <w:r>
        <w:separator/>
      </w:r>
    </w:p>
  </w:footnote>
  <w:footnote w:type="continuationSeparator" w:id="0">
    <w:p w14:paraId="6371C347" w14:textId="77777777" w:rsidR="00824255" w:rsidRDefault="00824255" w:rsidP="00B1743F">
      <w:pPr>
        <w:spacing w:before="0" w:after="0"/>
      </w:pPr>
      <w:r>
        <w:continuationSeparator/>
      </w:r>
    </w:p>
  </w:footnote>
  <w:footnote w:id="1">
    <w:p w14:paraId="36E078AF" w14:textId="77777777" w:rsidR="001D5812" w:rsidRDefault="001D5812" w:rsidP="001D5812">
      <w:pPr>
        <w:pStyle w:val="FootnoteText"/>
        <w:contextualSpacing/>
        <w:jc w:val="left"/>
      </w:pPr>
      <w:r>
        <w:rPr>
          <w:rStyle w:val="FootnoteReference"/>
        </w:rPr>
        <w:footnoteRef/>
      </w:r>
      <w:r>
        <w:tab/>
      </w:r>
      <w:hyperlink r:id="rId1" w:history="1">
        <w:r>
          <w:rPr>
            <w:rStyle w:val="Hyperlink"/>
          </w:rPr>
          <w:t>https://eur-lex.europa.eu/legal-content/PL/TXT/?uri=CELEX:32013L0011</w:t>
        </w:r>
      </w:hyperlink>
      <w:r>
        <w:t xml:space="preserve"> </w:t>
      </w:r>
    </w:p>
  </w:footnote>
  <w:footnote w:id="2">
    <w:p w14:paraId="5C8290E3" w14:textId="300F63DA" w:rsidR="00AB06C3" w:rsidRDefault="00AB06C3" w:rsidP="00AB06C3">
      <w:pPr>
        <w:pStyle w:val="FootnoteText"/>
        <w:contextualSpacing/>
        <w:jc w:val="left"/>
      </w:pPr>
      <w:r>
        <w:rPr>
          <w:rStyle w:val="FootnoteReference"/>
        </w:rPr>
        <w:footnoteRef/>
      </w:r>
      <w:r>
        <w:tab/>
        <w:t>Zob. wiersz 8</w:t>
      </w:r>
      <w:r w:rsidR="00BE6F6D">
        <w:t xml:space="preserve"> w zał</w:t>
      </w:r>
      <w:r>
        <w:t xml:space="preserve">ączniku II (inicjatywy Refit) </w:t>
      </w:r>
      <w:hyperlink r:id="rId2" w:history="1">
        <w:r>
          <w:rPr>
            <w:rStyle w:val="Hyperlink"/>
          </w:rPr>
          <w:t>https://commission.europa.eu/strategy-documents/commission-work-programme/commission-work-programme-2023_en</w:t>
        </w:r>
      </w:hyperlink>
      <w:r>
        <w:t xml:space="preserve"> </w:t>
      </w:r>
    </w:p>
  </w:footnote>
  <w:footnote w:id="3">
    <w:p w14:paraId="17FD40F7" w14:textId="11A735B1" w:rsidR="00AB06C3" w:rsidRPr="004337AF" w:rsidRDefault="00AB06C3" w:rsidP="00AB06C3">
      <w:pPr>
        <w:pStyle w:val="FootnoteText"/>
        <w:contextualSpacing/>
        <w:jc w:val="left"/>
      </w:pPr>
      <w:r>
        <w:rPr>
          <w:rStyle w:val="FootnoteReference"/>
        </w:rPr>
        <w:footnoteRef/>
      </w:r>
      <w:r>
        <w:tab/>
      </w:r>
      <w:r>
        <w:rPr>
          <w:color w:val="000000"/>
          <w:shd w:val="clear" w:color="auto" w:fill="FFFFFF"/>
        </w:rPr>
        <w:t>Rozporządzenie Parlamentu Europejskiego</w:t>
      </w:r>
      <w:r w:rsidR="00BE6F6D">
        <w:rPr>
          <w:color w:val="000000"/>
          <w:shd w:val="clear" w:color="auto" w:fill="FFFFFF"/>
        </w:rPr>
        <w:t xml:space="preserve"> i Rad</w:t>
      </w:r>
      <w:r>
        <w:rPr>
          <w:color w:val="000000"/>
          <w:shd w:val="clear" w:color="auto" w:fill="FFFFFF"/>
        </w:rPr>
        <w:t>y (UE) nr 524/2013</w:t>
      </w:r>
      <w:r w:rsidR="00BE6F6D">
        <w:rPr>
          <w:color w:val="000000"/>
          <w:shd w:val="clear" w:color="auto" w:fill="FFFFFF"/>
        </w:rPr>
        <w:t xml:space="preserve"> z dni</w:t>
      </w:r>
      <w:r>
        <w:rPr>
          <w:color w:val="000000"/>
          <w:shd w:val="clear" w:color="auto" w:fill="FFFFFF"/>
        </w:rPr>
        <w:t>a 21 maja 2013 r.</w:t>
      </w:r>
      <w:r w:rsidR="00BE6F6D">
        <w:rPr>
          <w:color w:val="000000"/>
          <w:shd w:val="clear" w:color="auto" w:fill="FFFFFF"/>
        </w:rPr>
        <w:t xml:space="preserve"> w spr</w:t>
      </w:r>
      <w:r>
        <w:rPr>
          <w:color w:val="000000"/>
          <w:shd w:val="clear" w:color="auto" w:fill="FFFFFF"/>
        </w:rPr>
        <w:t>awie internetowego systemu rozstrzygania sporów konsumenckich oraz zmiany rozporządzenia (WE) nr 2006/2004</w:t>
      </w:r>
      <w:r w:rsidR="00BE6F6D">
        <w:rPr>
          <w:color w:val="000000"/>
          <w:shd w:val="clear" w:color="auto" w:fill="FFFFFF"/>
        </w:rPr>
        <w:t xml:space="preserve"> i dyr</w:t>
      </w:r>
      <w:r>
        <w:rPr>
          <w:color w:val="000000"/>
          <w:shd w:val="clear" w:color="auto" w:fill="FFFFFF"/>
        </w:rPr>
        <w:t>ektywy 2009/22/WE (rozporządzenie</w:t>
      </w:r>
      <w:r w:rsidR="00BE6F6D">
        <w:rPr>
          <w:color w:val="000000"/>
          <w:shd w:val="clear" w:color="auto" w:fill="FFFFFF"/>
        </w:rPr>
        <w:t xml:space="preserve"> w spr</w:t>
      </w:r>
      <w:r>
        <w:rPr>
          <w:color w:val="000000"/>
          <w:shd w:val="clear" w:color="auto" w:fill="FFFFFF"/>
        </w:rPr>
        <w:t>awie ODR</w:t>
      </w:r>
      <w:r w:rsidR="00BE6F6D">
        <w:rPr>
          <w:color w:val="000000"/>
          <w:shd w:val="clear" w:color="auto" w:fill="FFFFFF"/>
        </w:rPr>
        <w:t xml:space="preserve"> w spo</w:t>
      </w:r>
      <w:r>
        <w:rPr>
          <w:color w:val="000000"/>
          <w:shd w:val="clear" w:color="auto" w:fill="FFFFFF"/>
        </w:rPr>
        <w:t xml:space="preserve">rach konsumenckich) </w:t>
      </w:r>
      <w:hyperlink r:id="rId3" w:history="1">
        <w:r>
          <w:rPr>
            <w:rStyle w:val="Hyperlink"/>
            <w:shd w:val="clear" w:color="auto" w:fill="FFFFFF"/>
          </w:rPr>
          <w:t>https://eur-lex.europa.eu/legal-content/PL/TXT/?uri=celex%3A32013R0</w:t>
        </w:r>
      </w:hyperlink>
      <w:r>
        <w:rPr>
          <w:color w:val="000000"/>
          <w:shd w:val="clear" w:color="auto" w:fill="FFFFFF"/>
        </w:rPr>
        <w:t xml:space="preserve"> </w:t>
      </w:r>
    </w:p>
  </w:footnote>
  <w:footnote w:id="4">
    <w:p w14:paraId="69B1F7CE" w14:textId="77777777" w:rsidR="00DF350B" w:rsidRPr="00DF350B" w:rsidRDefault="00DF350B">
      <w:pPr>
        <w:pStyle w:val="FootnoteText"/>
      </w:pPr>
      <w:r>
        <w:rPr>
          <w:rStyle w:val="FootnoteReference"/>
        </w:rPr>
        <w:footnoteRef/>
      </w:r>
      <w:r>
        <w:tab/>
        <w:t>COM (2023) 168.</w:t>
      </w:r>
    </w:p>
  </w:footnote>
  <w:footnote w:id="5">
    <w:p w14:paraId="6B7C7CE4" w14:textId="01492D54" w:rsidR="001D5812" w:rsidRDefault="001D5812" w:rsidP="001D5812">
      <w:pPr>
        <w:pStyle w:val="FootnoteText"/>
        <w:contextualSpacing/>
        <w:jc w:val="left"/>
      </w:pPr>
      <w:r>
        <w:rPr>
          <w:rStyle w:val="FootnoteReference"/>
        </w:rPr>
        <w:footnoteRef/>
      </w:r>
      <w:r>
        <w:tab/>
      </w:r>
      <w:r>
        <w:rPr>
          <w:color w:val="000000"/>
          <w:shd w:val="clear" w:color="auto" w:fill="FFFFFF"/>
        </w:rPr>
        <w:t>Art. 169 TFUE stanowi, że cele polegające na promowaniu interesów konsumentów</w:t>
      </w:r>
      <w:r w:rsidR="00BE6F6D">
        <w:rPr>
          <w:color w:val="000000"/>
          <w:shd w:val="clear" w:color="auto" w:fill="FFFFFF"/>
        </w:rPr>
        <w:t xml:space="preserve"> i zap</w:t>
      </w:r>
      <w:r>
        <w:rPr>
          <w:color w:val="000000"/>
          <w:shd w:val="clear" w:color="auto" w:fill="FFFFFF"/>
        </w:rPr>
        <w:t>ewnieniu wysokiego poziomu ochrony konsumentów mogą zostać osiągnięte za pomocą środków przyjętych zgodnie</w:t>
      </w:r>
      <w:r w:rsidR="00BE6F6D">
        <w:rPr>
          <w:color w:val="000000"/>
          <w:shd w:val="clear" w:color="auto" w:fill="FFFFFF"/>
        </w:rPr>
        <w:t xml:space="preserve"> z </w:t>
      </w:r>
      <w:r w:rsidR="00BE6F6D" w:rsidRPr="00BE6F6D">
        <w:rPr>
          <w:color w:val="000000"/>
          <w:shd w:val="clear" w:color="auto" w:fill="FFFFFF"/>
        </w:rPr>
        <w:t>art</w:t>
      </w:r>
      <w:r w:rsidRPr="00BE6F6D">
        <w:rPr>
          <w:color w:val="000000"/>
          <w:shd w:val="clear" w:color="auto" w:fill="FFFFFF"/>
        </w:rPr>
        <w:t>.</w:t>
      </w:r>
      <w:r w:rsidR="00BE6F6D" w:rsidRPr="00BE6F6D">
        <w:rPr>
          <w:color w:val="000000"/>
          <w:shd w:val="clear" w:color="auto" w:fill="FFFFFF"/>
        </w:rPr>
        <w:t> </w:t>
      </w:r>
      <w:r w:rsidRPr="00BE6F6D">
        <w:rPr>
          <w:color w:val="000000"/>
          <w:shd w:val="clear" w:color="auto" w:fill="FFFFFF"/>
        </w:rPr>
        <w:t>1</w:t>
      </w:r>
      <w:r>
        <w:rPr>
          <w:color w:val="000000"/>
          <w:shd w:val="clear" w:color="auto" w:fill="FFFFFF"/>
        </w:rPr>
        <w:t>14 TFUE.</w:t>
      </w:r>
    </w:p>
  </w:footnote>
  <w:footnote w:id="6">
    <w:p w14:paraId="21D0159D" w14:textId="1840B2C9" w:rsidR="007C2A5A" w:rsidRPr="00767FD9" w:rsidRDefault="004607D9" w:rsidP="004607D9">
      <w:pPr>
        <w:pStyle w:val="FootnoteText"/>
        <w:rPr>
          <w:i/>
          <w:iCs/>
        </w:rPr>
      </w:pPr>
      <w:r>
        <w:rPr>
          <w:rStyle w:val="FootnoteReference"/>
        </w:rPr>
        <w:footnoteRef/>
      </w:r>
      <w:r>
        <w:tab/>
        <w:t>Rozporządzenie Parlamentu Europejskiego</w:t>
      </w:r>
      <w:r w:rsidR="00BE6F6D">
        <w:t xml:space="preserve"> i Rad</w:t>
      </w:r>
      <w:r>
        <w:t xml:space="preserve">y (UE) </w:t>
      </w:r>
      <w:r w:rsidRPr="00BE6F6D">
        <w:t>nr</w:t>
      </w:r>
      <w:r w:rsidR="00BE6F6D" w:rsidRPr="00BE6F6D">
        <w:t> </w:t>
      </w:r>
      <w:r w:rsidRPr="00BE6F6D">
        <w:t>5</w:t>
      </w:r>
      <w:r>
        <w:t>24/2013</w:t>
      </w:r>
      <w:r w:rsidR="00BE6F6D">
        <w:t xml:space="preserve"> z dni</w:t>
      </w:r>
      <w:r>
        <w:t>a 21 maja 20</w:t>
      </w:r>
      <w:r w:rsidRPr="00BE6F6D">
        <w:t>13</w:t>
      </w:r>
      <w:r w:rsidR="00BE6F6D" w:rsidRPr="00BE6F6D">
        <w:t> </w:t>
      </w:r>
      <w:r w:rsidRPr="00BE6F6D">
        <w:t>r.</w:t>
      </w:r>
      <w:r w:rsidR="00BE6F6D">
        <w:t xml:space="preserve"> w spr</w:t>
      </w:r>
      <w:r>
        <w:t xml:space="preserve">awie internetowego systemu rozstrzygania sporów konsumenckich oraz zmiany rozporządzenia (WE) </w:t>
      </w:r>
      <w:r w:rsidRPr="00BE6F6D">
        <w:t>nr</w:t>
      </w:r>
      <w:r w:rsidR="00BE6F6D" w:rsidRPr="00BE6F6D">
        <w:t> </w:t>
      </w:r>
      <w:r w:rsidRPr="00BE6F6D">
        <w:t>2</w:t>
      </w:r>
      <w:r>
        <w:t>006/2004</w:t>
      </w:r>
      <w:r w:rsidR="00BE6F6D">
        <w:t xml:space="preserve"> i dyr</w:t>
      </w:r>
      <w:r>
        <w:t>ektywy 2009/22/WE (Dz.U. L 165</w:t>
      </w:r>
      <w:r w:rsidR="00BE6F6D">
        <w:t xml:space="preserve"> z 1</w:t>
      </w:r>
      <w:r>
        <w:t>8.6.2013, s. 1).</w:t>
      </w:r>
    </w:p>
  </w:footnote>
  <w:footnote w:id="7">
    <w:p w14:paraId="46D9F955" w14:textId="77777777" w:rsidR="00D36A0B" w:rsidRPr="00C33903" w:rsidRDefault="00D36A0B" w:rsidP="00D36A0B">
      <w:pPr>
        <w:pStyle w:val="FootnoteText"/>
      </w:pPr>
      <w:r>
        <w:rPr>
          <w:rStyle w:val="FootnoteReference"/>
        </w:rPr>
        <w:footnoteRef/>
      </w:r>
      <w:r>
        <w:tab/>
        <w:t>Ocena jest również publikowana jako część pakietu zawierającego wniosek.</w:t>
      </w:r>
    </w:p>
  </w:footnote>
  <w:footnote w:id="8">
    <w:p w14:paraId="333F0ECB" w14:textId="77777777" w:rsidR="00D36A0B" w:rsidRPr="004337AF" w:rsidRDefault="00D36A0B" w:rsidP="00D36A0B">
      <w:pPr>
        <w:pStyle w:val="FootnoteText"/>
        <w:contextualSpacing/>
        <w:jc w:val="left"/>
      </w:pPr>
      <w:r>
        <w:rPr>
          <w:rStyle w:val="FootnoteReference"/>
        </w:rPr>
        <w:footnoteRef/>
      </w:r>
      <w:r>
        <w:tab/>
      </w:r>
      <w:hyperlink r:id="rId4" w:history="1">
        <w:r>
          <w:rPr>
            <w:rStyle w:val="Hyperlink"/>
          </w:rPr>
          <w:t>https://www.eccnet.eu/publications</w:t>
        </w:r>
      </w:hyperlink>
      <w:r>
        <w:t xml:space="preserve"> </w:t>
      </w:r>
    </w:p>
  </w:footnote>
  <w:footnote w:id="9">
    <w:p w14:paraId="15273E37" w14:textId="77777777" w:rsidR="00D36A0B" w:rsidRPr="004337AF" w:rsidRDefault="00D36A0B" w:rsidP="00D36A0B">
      <w:pPr>
        <w:pStyle w:val="FootnoteText"/>
        <w:contextualSpacing/>
        <w:jc w:val="left"/>
      </w:pPr>
      <w:r>
        <w:rPr>
          <w:rStyle w:val="FootnoteReference"/>
        </w:rPr>
        <w:footnoteRef/>
      </w:r>
      <w:r>
        <w:tab/>
      </w:r>
      <w:hyperlink r:id="rId5" w:history="1">
        <w:r>
          <w:rPr>
            <w:rStyle w:val="Hyperlink"/>
          </w:rPr>
          <w:t>https://www.beuc.eu/sites/default/files/publications/beuc-x-2022-062_adr_position_paper.pdf</w:t>
        </w:r>
      </w:hyperlink>
      <w:r>
        <w:t xml:space="preserve"> </w:t>
      </w:r>
    </w:p>
  </w:footnote>
  <w:footnote w:id="10">
    <w:p w14:paraId="1D8A8DDD" w14:textId="4BF1CA78" w:rsidR="00D36A0B" w:rsidRDefault="00D36A0B" w:rsidP="00D36A0B">
      <w:pPr>
        <w:pStyle w:val="FootnoteText"/>
        <w:contextualSpacing/>
        <w:jc w:val="left"/>
      </w:pPr>
      <w:r>
        <w:rPr>
          <w:rStyle w:val="FootnoteReference"/>
        </w:rPr>
        <w:footnoteRef/>
      </w:r>
      <w:r>
        <w:tab/>
        <w:t>Obecny stosunek 180 000/300 000</w:t>
      </w:r>
      <w:r w:rsidR="00BE6F6D">
        <w:t xml:space="preserve"> w prz</w:t>
      </w:r>
      <w:r>
        <w:t xml:space="preserve">ełożeniu </w:t>
      </w:r>
      <w:r w:rsidRPr="00BE6F6D">
        <w:t>na</w:t>
      </w:r>
      <w:r w:rsidR="00BE6F6D" w:rsidRPr="00BE6F6D">
        <w:t> </w:t>
      </w:r>
      <w:r w:rsidRPr="00BE6F6D">
        <w:t>4</w:t>
      </w:r>
      <w:r>
        <w:t xml:space="preserve">00 000. </w:t>
      </w:r>
    </w:p>
  </w:footnote>
  <w:footnote w:id="11">
    <w:p w14:paraId="67710E81" w14:textId="3C2CC557" w:rsidR="00D36A0B" w:rsidRDefault="00D36A0B" w:rsidP="00D36A0B">
      <w:pPr>
        <w:pStyle w:val="FootnoteText"/>
        <w:contextualSpacing/>
        <w:jc w:val="left"/>
      </w:pPr>
      <w:r>
        <w:rPr>
          <w:rStyle w:val="FootnoteReference"/>
        </w:rPr>
        <w:footnoteRef/>
      </w:r>
      <w:r>
        <w:tab/>
        <w:t>96 000 zgodnie</w:t>
      </w:r>
      <w:r w:rsidR="00BE6F6D">
        <w:t xml:space="preserve"> z def</w:t>
      </w:r>
      <w:r>
        <w:t>inicją problemu, czyli 3</w:t>
      </w:r>
      <w:r w:rsidRPr="00BE6F6D">
        <w:t>2</w:t>
      </w:r>
      <w:r w:rsidR="00BE6F6D" w:rsidRPr="00BE6F6D">
        <w:t> </w:t>
      </w:r>
      <w:r w:rsidRPr="00BE6F6D">
        <w:t>%</w:t>
      </w:r>
      <w:r>
        <w:t xml:space="preserve"> łącznej kwoty, co</w:t>
      </w:r>
      <w:r w:rsidR="00BE6F6D">
        <w:t xml:space="preserve"> w prz</w:t>
      </w:r>
      <w:r>
        <w:t>ypadku 400 000 daje 128 000. Nie ma danych na temat tego, ile zgłoszeń bez odpowiedzi pochodzi od MŚP,</w:t>
      </w:r>
      <w:r w:rsidR="00BE6F6D">
        <w:t xml:space="preserve"> a ile</w:t>
      </w:r>
      <w:r>
        <w:t xml:space="preserve"> od dużych przedsiębiorstw. </w:t>
      </w:r>
    </w:p>
  </w:footnote>
  <w:footnote w:id="12">
    <w:p w14:paraId="7746660B" w14:textId="77777777" w:rsidR="00D36A0B" w:rsidRDefault="00D36A0B" w:rsidP="00D36A0B">
      <w:pPr>
        <w:pStyle w:val="FootnoteText"/>
        <w:contextualSpacing/>
        <w:jc w:val="left"/>
      </w:pPr>
      <w:r>
        <w:rPr>
          <w:rStyle w:val="FootnoteReference"/>
        </w:rPr>
        <w:footnoteRef/>
      </w:r>
      <w:r>
        <w:tab/>
        <w:t xml:space="preserve">Do aktualizacji wartości stosuje się współczynnik dyskontowy wynoszący 3 %. </w:t>
      </w:r>
    </w:p>
  </w:footnote>
  <w:footnote w:id="13">
    <w:p w14:paraId="62C5A583" w14:textId="26ECCF13" w:rsidR="00D36A0B" w:rsidRDefault="00D36A0B" w:rsidP="00D36A0B">
      <w:pPr>
        <w:pStyle w:val="FootnoteText"/>
        <w:contextualSpacing/>
        <w:jc w:val="left"/>
      </w:pPr>
      <w:r>
        <w:rPr>
          <w:rStyle w:val="FootnoteReference"/>
        </w:rPr>
        <w:footnoteRef/>
      </w:r>
      <w:r>
        <w:tab/>
        <w:t>Należy zauważyć, że jak wynika</w:t>
      </w:r>
      <w:r w:rsidR="00BE6F6D">
        <w:t xml:space="preserve"> z oce</w:t>
      </w:r>
      <w:r>
        <w:t>ny (załącznik 6)</w:t>
      </w:r>
      <w:r w:rsidR="00BE6F6D">
        <w:t xml:space="preserve"> w sze</w:t>
      </w:r>
      <w:r>
        <w:t>ściu państwach członkowskich udział przedsiębiorców jest już zawsze obowiązkowy (DK, HU, IS, LT, LV, SK)</w:t>
      </w:r>
      <w:r w:rsidR="00BE6F6D">
        <w:t>. W inn</w:t>
      </w:r>
      <w:r>
        <w:t>ych siedmiu państwach członkowskich uczestnictwo przedsiębiorców jest obowiązkowe</w:t>
      </w:r>
      <w:r w:rsidR="00BE6F6D">
        <w:t xml:space="preserve"> w okr</w:t>
      </w:r>
      <w:r>
        <w:t>eślonych sektorach (AT, CY, CZ, DE, EL, ES, NL),</w:t>
      </w:r>
      <w:r w:rsidR="00BE6F6D">
        <w:t xml:space="preserve"> a w kol</w:t>
      </w:r>
      <w:r>
        <w:t>ejnych czterech –</w:t>
      </w:r>
      <w:r w:rsidR="00BE6F6D">
        <w:t xml:space="preserve"> w szc</w:t>
      </w:r>
      <w:r>
        <w:t>zególnych okolicznościach (BE, HR, PT, SE). Dla uproszczenia obliczeń</w:t>
      </w:r>
      <w:r w:rsidR="00BE6F6D">
        <w:t xml:space="preserve"> w sza</w:t>
      </w:r>
      <w:r>
        <w:t>cunkach nie uwzględniono tych faktów, co stanowi pewne ograniczenie.</w:t>
      </w:r>
    </w:p>
  </w:footnote>
  <w:footnote w:id="14">
    <w:p w14:paraId="536B739F" w14:textId="215E2022" w:rsidR="00D36A0B" w:rsidRDefault="00D36A0B" w:rsidP="00D36A0B">
      <w:pPr>
        <w:pStyle w:val="FootnoteText"/>
        <w:contextualSpacing/>
        <w:jc w:val="left"/>
      </w:pPr>
      <w:r>
        <w:rPr>
          <w:rStyle w:val="FootnoteReference"/>
        </w:rPr>
        <w:footnoteRef/>
      </w:r>
      <w:r>
        <w:tab/>
        <w:t>W oparciu</w:t>
      </w:r>
      <w:r w:rsidR="00BE6F6D">
        <w:t xml:space="preserve"> o zał</w:t>
      </w:r>
      <w:r>
        <w:t>ożenie, że około 60 % przedsiębiorstw wezwanych przez Europejskie Centra Konsumenckie zazwyczaj osiąga porozumienie</w:t>
      </w:r>
      <w:r w:rsidR="00BE6F6D">
        <w:t xml:space="preserve"> z kon</w:t>
      </w:r>
      <w:r>
        <w:t>sumentami</w:t>
      </w:r>
      <w:r w:rsidR="00BE6F6D">
        <w:t>. W zwi</w:t>
      </w:r>
      <w:r>
        <w:t>ązku</w:t>
      </w:r>
      <w:r w:rsidR="00BE6F6D">
        <w:t xml:space="preserve"> z </w:t>
      </w:r>
      <w:r w:rsidR="00BE6F6D" w:rsidRPr="00BE6F6D">
        <w:t>tym </w:t>
      </w:r>
      <w:r w:rsidRPr="00BE6F6D">
        <w:t>6</w:t>
      </w:r>
      <w:r>
        <w:t xml:space="preserve">0 % wezwanych przedsiębiorstw udzieliłoby pozytywnej odpowiedzi. </w:t>
      </w:r>
    </w:p>
  </w:footnote>
  <w:footnote w:id="15">
    <w:p w14:paraId="5C3F7D37" w14:textId="77777777" w:rsidR="00D36A0B" w:rsidRDefault="00D36A0B" w:rsidP="00D36A0B">
      <w:pPr>
        <w:pStyle w:val="FootnoteText"/>
        <w:contextualSpacing/>
        <w:jc w:val="left"/>
      </w:pPr>
      <w:r>
        <w:rPr>
          <w:rStyle w:val="FootnoteReference"/>
        </w:rPr>
        <w:footnoteRef/>
      </w:r>
      <w:r>
        <w:tab/>
        <w:t>Pierwotnie 300 000-180 000 + dodatkowo 77 000.</w:t>
      </w:r>
    </w:p>
  </w:footnote>
  <w:footnote w:id="16">
    <w:p w14:paraId="0AB39AC0" w14:textId="6B701D95" w:rsidR="00D36A0B" w:rsidRDefault="00D36A0B" w:rsidP="00D36A0B">
      <w:pPr>
        <w:pStyle w:val="FootnoteText"/>
        <w:contextualSpacing/>
        <w:jc w:val="left"/>
      </w:pPr>
      <w:r>
        <w:rPr>
          <w:rStyle w:val="FootnoteReference"/>
        </w:rPr>
        <w:footnoteRef/>
      </w:r>
      <w:r>
        <w:tab/>
        <w:t>200 000x9</w:t>
      </w:r>
      <w:r w:rsidRPr="00BE6F6D">
        <w:t>0</w:t>
      </w:r>
      <w:r w:rsidR="00BE6F6D" w:rsidRPr="00BE6F6D">
        <w:t> </w:t>
      </w:r>
      <w:r w:rsidRPr="00BE6F6D">
        <w:t>%</w:t>
      </w:r>
      <w:r>
        <w:t>x185 EUR.</w:t>
      </w:r>
    </w:p>
  </w:footnote>
  <w:footnote w:id="17">
    <w:p w14:paraId="27445D37" w14:textId="77777777" w:rsidR="00D36A0B" w:rsidRDefault="00D36A0B" w:rsidP="00D36A0B">
      <w:pPr>
        <w:pStyle w:val="FootnoteText"/>
        <w:contextualSpacing/>
        <w:jc w:val="left"/>
      </w:pPr>
      <w:r>
        <w:rPr>
          <w:rStyle w:val="FootnoteReference"/>
        </w:rPr>
        <w:footnoteRef/>
      </w:r>
      <w:r>
        <w:tab/>
        <w:t>300 EUR na jeden spór, zob. definicja problemu.</w:t>
      </w:r>
    </w:p>
  </w:footnote>
  <w:footnote w:id="18">
    <w:p w14:paraId="04B8D9EE" w14:textId="7958C2B7" w:rsidR="00D36A0B" w:rsidRDefault="00D36A0B" w:rsidP="00D36A0B">
      <w:pPr>
        <w:pStyle w:val="FootnoteText"/>
        <w:contextualSpacing/>
        <w:jc w:val="left"/>
      </w:pPr>
      <w:r>
        <w:rPr>
          <w:rStyle w:val="FootnoteReference"/>
        </w:rPr>
        <w:footnoteRef/>
      </w:r>
      <w:r>
        <w:tab/>
        <w:t>Należy jednak wziąć pod uwagę fakt, że podmioty ADR na pewnym etapie będą mogły odnieść korzyści skali; uwzględnić należy zatem jedynie krańcowe koszty dodania nowych sporów. Ponadto koszty wiążące się</w:t>
      </w:r>
      <w:r w:rsidR="00BE6F6D">
        <w:t xml:space="preserve"> z tym</w:t>
      </w:r>
      <w:r>
        <w:t>i nowymi sporami zapobiegają większym kosztom, które różne podmioty poniosłyby, gdyby dotyczące ich sprawy skierowano do sądu.</w:t>
      </w:r>
    </w:p>
  </w:footnote>
  <w:footnote w:id="19">
    <w:p w14:paraId="428D35DC" w14:textId="66A305AD" w:rsidR="00D36A0B" w:rsidRDefault="00D36A0B" w:rsidP="00D36A0B">
      <w:pPr>
        <w:pStyle w:val="FootnoteText"/>
        <w:contextualSpacing/>
        <w:jc w:val="left"/>
      </w:pPr>
      <w:r>
        <w:rPr>
          <w:rStyle w:val="FootnoteReference"/>
        </w:rPr>
        <w:footnoteRef/>
      </w:r>
      <w:r>
        <w:tab/>
        <w:t>Jest to wynik ostrożnych szacunków dotyczących potencjalnych oszczędności. Uwzględniono</w:t>
      </w:r>
      <w:r w:rsidR="00BE6F6D">
        <w:t xml:space="preserve"> w nic</w:t>
      </w:r>
      <w:r>
        <w:t>h potencjalną liczbę sporów (380 000)</w:t>
      </w:r>
      <w:r w:rsidR="00BE6F6D">
        <w:t xml:space="preserve"> i prz</w:t>
      </w:r>
      <w:r>
        <w:t>yjęto założenie, że tylko 10 %</w:t>
      </w:r>
      <w:r w:rsidR="00BE6F6D">
        <w:t xml:space="preserve"> z nic</w:t>
      </w:r>
      <w:r>
        <w:t xml:space="preserve">h jest łączonych. Biorąc pod uwagę, że średnia wartość sporu </w:t>
      </w:r>
      <w:r w:rsidRPr="00BE6F6D">
        <w:t>to</w:t>
      </w:r>
      <w:r w:rsidR="00BE6F6D" w:rsidRPr="00BE6F6D">
        <w:t> </w:t>
      </w:r>
      <w:r w:rsidRPr="00BE6F6D">
        <w:t>3</w:t>
      </w:r>
      <w:r>
        <w:t xml:space="preserve">00 EUR, oszczędności wyniosą 11 mln EUR. </w:t>
      </w:r>
    </w:p>
  </w:footnote>
  <w:footnote w:id="20">
    <w:p w14:paraId="3E580DD1" w14:textId="77777777" w:rsidR="00D36A0B" w:rsidRDefault="00D36A0B" w:rsidP="00D36A0B">
      <w:pPr>
        <w:pStyle w:val="FootnoteText"/>
        <w:contextualSpacing/>
        <w:jc w:val="left"/>
      </w:pPr>
      <w:r>
        <w:rPr>
          <w:rStyle w:val="FootnoteReference"/>
        </w:rPr>
        <w:footnoteRef/>
      </w:r>
      <w:r>
        <w:tab/>
        <w:t xml:space="preserve">Consumer Conditions Scoreboard - Consumers at home in the Single Market [Tablica wyników sytuacji konsumentów – Konsumenci czujący się pewnie na jednolitym rynku], 2019, </w:t>
      </w:r>
      <w:hyperlink r:id="rId6" w:history="1">
        <w:r>
          <w:rPr>
            <w:rStyle w:val="Hyperlink"/>
          </w:rPr>
          <w:t>consumers-conditions-scoreboard-2019_pdf_en.pdf (europa.eu)</w:t>
        </w:r>
      </w:hyperlink>
      <w:r>
        <w:t>.</w:t>
      </w:r>
    </w:p>
  </w:footnote>
  <w:footnote w:id="21">
    <w:p w14:paraId="5316DD0C" w14:textId="4E34F69B" w:rsidR="00D36A0B" w:rsidRDefault="00D36A0B" w:rsidP="00D36A0B">
      <w:pPr>
        <w:pStyle w:val="FootnoteText"/>
        <w:contextualSpacing/>
        <w:jc w:val="left"/>
      </w:pPr>
      <w:r>
        <w:rPr>
          <w:rStyle w:val="FootnoteReference"/>
        </w:rPr>
        <w:footnoteRef/>
      </w:r>
      <w:r>
        <w:tab/>
        <w:t>W badaniu behawioralnym na temat ADR/ODR stwierdzono, że „informacje podawane na stronach internetowych podmiotów ADR nie wydają się być główną siłą napędową korzystania z ADR”. Dotyczy to zwłaszcza sytuacji, gdy przedsiębiorca musi podać do wiadomości informacje o ADR, ale nie zamierza brać udziału</w:t>
      </w:r>
      <w:r w:rsidR="00BE6F6D">
        <w:t xml:space="preserve"> w pos</w:t>
      </w:r>
      <w:r>
        <w:t>tępowaniu.</w:t>
      </w:r>
    </w:p>
  </w:footnote>
  <w:footnote w:id="22">
    <w:p w14:paraId="2F2AF232" w14:textId="0B184BB1" w:rsidR="00D36A0B" w:rsidRDefault="00D36A0B" w:rsidP="00D36A0B">
      <w:pPr>
        <w:pStyle w:val="FootnoteText"/>
        <w:contextualSpacing/>
        <w:jc w:val="left"/>
      </w:pPr>
      <w:r>
        <w:rPr>
          <w:rStyle w:val="FootnoteReference"/>
        </w:rPr>
        <w:footnoteRef/>
      </w:r>
      <w:r>
        <w:tab/>
        <w:t>Ocena skutków towarzysząca dokumentom: Wniosek dotyczący dyrektywy Parlamentu Europejskiego</w:t>
      </w:r>
      <w:r w:rsidR="00BE6F6D">
        <w:t xml:space="preserve"> i Rad</w:t>
      </w:r>
      <w:r>
        <w:t>y</w:t>
      </w:r>
      <w:r w:rsidR="00BE6F6D">
        <w:t xml:space="preserve"> w spr</w:t>
      </w:r>
      <w:r>
        <w:t>awie alternatywnych metod rozstrzygania sporów konsumenckich (dyrektywa</w:t>
      </w:r>
      <w:r w:rsidR="00BE6F6D">
        <w:t xml:space="preserve"> w spr</w:t>
      </w:r>
      <w:r>
        <w:t>awie ADR</w:t>
      </w:r>
      <w:r w:rsidR="00BE6F6D">
        <w:t xml:space="preserve"> w spo</w:t>
      </w:r>
      <w:r>
        <w:t>rach konsumenckich) oraz wniosek dotyczący rozporządzenia Parlamentu Europejskiego</w:t>
      </w:r>
      <w:r w:rsidR="00BE6F6D">
        <w:t xml:space="preserve"> i Rad</w:t>
      </w:r>
      <w:r>
        <w:t>y</w:t>
      </w:r>
      <w:r w:rsidR="00BE6F6D">
        <w:t xml:space="preserve"> w spr</w:t>
      </w:r>
      <w:r>
        <w:t>awie internetowego systemu rozstrzygania sporów konsumenckich (rozporządzenie</w:t>
      </w:r>
      <w:r w:rsidR="00BE6F6D">
        <w:t xml:space="preserve"> w spr</w:t>
      </w:r>
      <w:r>
        <w:t>awie ODR</w:t>
      </w:r>
      <w:r w:rsidR="00BE6F6D">
        <w:t xml:space="preserve"> w spo</w:t>
      </w:r>
      <w:r>
        <w:t>rach konsumenckich) {COM(2011) 793 final} {SEC(2011) 1409 final}.</w:t>
      </w:r>
    </w:p>
  </w:footnote>
  <w:footnote w:id="23">
    <w:p w14:paraId="1D9A4407" w14:textId="4644EDAC" w:rsidR="00D36A0B" w:rsidRDefault="00D36A0B" w:rsidP="00D36A0B">
      <w:pPr>
        <w:pStyle w:val="FootnoteText"/>
        <w:contextualSpacing/>
        <w:jc w:val="left"/>
      </w:pPr>
      <w:r>
        <w:rPr>
          <w:rStyle w:val="FootnoteReference"/>
        </w:rPr>
        <w:footnoteRef/>
      </w:r>
      <w:r>
        <w:tab/>
        <w:t>254 EUR x 1,2217 (skumulowany wskaźnik inflacji</w:t>
      </w:r>
      <w:r w:rsidR="00BE6F6D">
        <w:t xml:space="preserve"> w lat</w:t>
      </w:r>
      <w:r>
        <w:t>ach 2012–2023) (in2013dollars.com/Europe).</w:t>
      </w:r>
    </w:p>
  </w:footnote>
  <w:footnote w:id="24">
    <w:p w14:paraId="42308E8B" w14:textId="43DF2BD9" w:rsidR="00D36A0B" w:rsidRDefault="00D36A0B" w:rsidP="00D36A0B">
      <w:pPr>
        <w:pStyle w:val="FootnoteText"/>
        <w:contextualSpacing/>
        <w:jc w:val="left"/>
      </w:pPr>
      <w:r>
        <w:rPr>
          <w:rStyle w:val="FootnoteReference"/>
        </w:rPr>
        <w:footnoteRef/>
      </w:r>
      <w:r>
        <w:tab/>
        <w:t>Eurostat: 500 tys. nowych sprzedawców hurtowych</w:t>
      </w:r>
      <w:r w:rsidR="00BE6F6D">
        <w:t xml:space="preserve"> i det</w:t>
      </w:r>
      <w:r>
        <w:t>alicznych rocznie w UE x 64 % = 320 000.</w:t>
      </w:r>
    </w:p>
  </w:footnote>
  <w:footnote w:id="25">
    <w:p w14:paraId="5BD947B5" w14:textId="189AC20D" w:rsidR="00D36A0B" w:rsidRDefault="00D36A0B" w:rsidP="00D36A0B">
      <w:pPr>
        <w:pStyle w:val="FootnoteText"/>
        <w:contextualSpacing/>
        <w:jc w:val="left"/>
      </w:pPr>
      <w:r>
        <w:rPr>
          <w:rStyle w:val="FootnoteReference"/>
        </w:rPr>
        <w:footnoteRef/>
      </w:r>
      <w:r>
        <w:tab/>
        <w:t>320 000 (zob. przypis powyżej) x 310 EUR (koszty ponoszone przez przedsiębiorców</w:t>
      </w:r>
      <w:r w:rsidR="00BE6F6D">
        <w:t xml:space="preserve"> w zwi</w:t>
      </w:r>
      <w:r>
        <w:t>ązku</w:t>
      </w:r>
      <w:r w:rsidR="00BE6F6D">
        <w:t xml:space="preserve"> z obo</w:t>
      </w:r>
      <w:r>
        <w:t>wiązkiem informowania).</w:t>
      </w:r>
    </w:p>
  </w:footnote>
  <w:footnote w:id="26">
    <w:p w14:paraId="39A0C318" w14:textId="57E9A469" w:rsidR="00D36A0B" w:rsidRDefault="00D36A0B" w:rsidP="00D36A0B">
      <w:pPr>
        <w:pStyle w:val="FootnoteText"/>
        <w:contextualSpacing/>
        <w:jc w:val="left"/>
      </w:pPr>
      <w:r>
        <w:rPr>
          <w:rStyle w:val="FootnoteReference"/>
        </w:rPr>
        <w:footnoteRef/>
      </w:r>
      <w:r>
        <w:tab/>
        <w:t>3</w:t>
      </w:r>
      <w:r w:rsidRPr="00BE6F6D">
        <w:t>5</w:t>
      </w:r>
      <w:r w:rsidR="00BE6F6D" w:rsidRPr="00BE6F6D">
        <w:t> </w:t>
      </w:r>
      <w:r w:rsidRPr="00BE6F6D">
        <w:t>%</w:t>
      </w:r>
      <w:r>
        <w:t xml:space="preserve"> kosztów łącznych (ocena skutków</w:t>
      </w:r>
      <w:r w:rsidR="00BE6F6D">
        <w:t xml:space="preserve"> z 2</w:t>
      </w:r>
      <w:r>
        <w:t>0</w:t>
      </w:r>
      <w:r w:rsidRPr="00BE6F6D">
        <w:t>11</w:t>
      </w:r>
      <w:r w:rsidR="00BE6F6D" w:rsidRPr="00BE6F6D">
        <w:t> </w:t>
      </w:r>
      <w:r w:rsidRPr="00BE6F6D">
        <w:t>r.</w:t>
      </w:r>
      <w:r>
        <w:t xml:space="preserve">), </w:t>
      </w:r>
      <w:r w:rsidRPr="00BE6F6D">
        <w:t>tj.</w:t>
      </w:r>
      <w:r w:rsidR="00BE6F6D" w:rsidRPr="00BE6F6D">
        <w:t> </w:t>
      </w:r>
      <w:r w:rsidRPr="00BE6F6D">
        <w:t>1</w:t>
      </w:r>
      <w:r>
        <w:t>09 EUR. Zakładamy, że 10 %</w:t>
      </w:r>
      <w:r w:rsidR="00BE6F6D">
        <w:t xml:space="preserve"> z nic</w:t>
      </w:r>
      <w:r>
        <w:t xml:space="preserve">h będzie corocznie wymagało przedruku, przy koszcie 11 EUR na istniejące przedsiębiorstwo, które nie podlega podmiotowi ADR (23 000 000 x 64 % = 15 000 000). </w:t>
      </w:r>
    </w:p>
  </w:footnote>
  <w:footnote w:id="27">
    <w:p w14:paraId="67694F7A" w14:textId="135C4005" w:rsidR="00D36A0B" w:rsidRDefault="00D36A0B" w:rsidP="00D36A0B">
      <w:pPr>
        <w:pStyle w:val="FootnoteText"/>
        <w:contextualSpacing/>
        <w:jc w:val="left"/>
      </w:pPr>
      <w:r>
        <w:rPr>
          <w:rStyle w:val="FootnoteReference"/>
        </w:rPr>
        <w:footnoteRef/>
      </w:r>
      <w:r>
        <w:tab/>
        <w:t>Punkty kontaktowe ODR są finansowane</w:t>
      </w:r>
      <w:r w:rsidR="00BE6F6D">
        <w:t xml:space="preserve"> z bud</w:t>
      </w:r>
      <w:r>
        <w:t xml:space="preserve">żetu państw członkowskich, natomiast Europejskie Centra Konsumenckie są współfinansowane przez UE. Zmiana ich zadań oznaczałaby zatem zmniejszenie kosztów dla państw członkowskich oraz nieznaczne ich zwiększenie dla UE. </w:t>
      </w:r>
    </w:p>
  </w:footnote>
  <w:footnote w:id="28">
    <w:p w14:paraId="4E1ADA67" w14:textId="400D915B" w:rsidR="008F6F0D" w:rsidRPr="008F6F0D" w:rsidRDefault="008F6F0D" w:rsidP="008F6F0D">
      <w:pPr>
        <w:pStyle w:val="FootnoteText"/>
      </w:pPr>
      <w:r>
        <w:rPr>
          <w:rStyle w:val="FootnoteReference"/>
        </w:rPr>
        <w:footnoteRef/>
      </w:r>
      <w:r>
        <w:tab/>
        <w:t>Rozporządzenie Parlamentu Europejskiego</w:t>
      </w:r>
      <w:r w:rsidR="00BE6F6D">
        <w:t xml:space="preserve"> i Rad</w:t>
      </w:r>
      <w:r>
        <w:t>y (UE) 2021/690</w:t>
      </w:r>
      <w:r w:rsidR="00BE6F6D">
        <w:t xml:space="preserve"> z dni</w:t>
      </w:r>
      <w:r>
        <w:t>a 28 kwietnia 20</w:t>
      </w:r>
      <w:r w:rsidRPr="00BE6F6D">
        <w:t>21</w:t>
      </w:r>
      <w:r w:rsidR="00BE6F6D" w:rsidRPr="00BE6F6D">
        <w:t> </w:t>
      </w:r>
      <w:r w:rsidRPr="00BE6F6D">
        <w:t>r.</w:t>
      </w:r>
      <w:r>
        <w:t xml:space="preserve"> ustanawiające program na rzecz rynku wewnętrznego, konkurencyjności przedsiębiorstw,</w:t>
      </w:r>
      <w:r w:rsidR="00BE6F6D">
        <w:t xml:space="preserve"> w tym</w:t>
      </w:r>
      <w:r>
        <w:t xml:space="preserve"> małych</w:t>
      </w:r>
      <w:r w:rsidR="00BE6F6D">
        <w:t xml:space="preserve"> i śre</w:t>
      </w:r>
      <w:r>
        <w:t>dnich przedsiębiorstw, dziedziny roślin, zwierząt, żywności</w:t>
      </w:r>
      <w:r w:rsidR="00BE6F6D">
        <w:t xml:space="preserve"> i pas</w:t>
      </w:r>
      <w:r>
        <w:t>zy, oraz statystyk europejskich (Program na rzecz jednolitego rynku) oraz uchylające rozporządzenia Parlamentu Europejskiego</w:t>
      </w:r>
      <w:r w:rsidR="00BE6F6D">
        <w:t xml:space="preserve"> i Rad</w:t>
      </w:r>
      <w:r>
        <w:t xml:space="preserve">y (UE) </w:t>
      </w:r>
      <w:r w:rsidRPr="00BE6F6D">
        <w:t>nr</w:t>
      </w:r>
      <w:r w:rsidR="00BE6F6D" w:rsidRPr="00BE6F6D">
        <w:t> </w:t>
      </w:r>
      <w:r w:rsidRPr="00BE6F6D">
        <w:t>9</w:t>
      </w:r>
      <w:r>
        <w:t xml:space="preserve">9/2013, (UE) </w:t>
      </w:r>
      <w:r w:rsidRPr="00BE6F6D">
        <w:t>nr</w:t>
      </w:r>
      <w:r w:rsidR="00BE6F6D" w:rsidRPr="00BE6F6D">
        <w:t> </w:t>
      </w:r>
      <w:r w:rsidRPr="00BE6F6D">
        <w:t>1</w:t>
      </w:r>
      <w:r>
        <w:t xml:space="preserve">287/2013, (UE) </w:t>
      </w:r>
      <w:r w:rsidRPr="00BE6F6D">
        <w:t>nr</w:t>
      </w:r>
      <w:r w:rsidR="00BE6F6D" w:rsidRPr="00BE6F6D">
        <w:t> </w:t>
      </w:r>
      <w:r w:rsidRPr="00BE6F6D">
        <w:t>2</w:t>
      </w:r>
      <w:r>
        <w:t xml:space="preserve">54/2014 i (UE) </w:t>
      </w:r>
      <w:r w:rsidRPr="00BE6F6D">
        <w:t>nr</w:t>
      </w:r>
      <w:r w:rsidR="00BE6F6D" w:rsidRPr="00BE6F6D">
        <w:t> </w:t>
      </w:r>
      <w:r w:rsidRPr="00BE6F6D">
        <w:t>6</w:t>
      </w:r>
      <w:r>
        <w:t>52/2014 (Tekst mający znaczenie dla EOG), Dz.U. L 153</w:t>
      </w:r>
      <w:r w:rsidR="00BE6F6D">
        <w:t xml:space="preserve"> z 3</w:t>
      </w:r>
      <w:r>
        <w:t>.5.2021, s. 1.</w:t>
      </w:r>
    </w:p>
  </w:footnote>
  <w:footnote w:id="29">
    <w:p w14:paraId="77398E83" w14:textId="5F224A29" w:rsidR="00A3198C" w:rsidRPr="00A3198C" w:rsidRDefault="00A3198C">
      <w:pPr>
        <w:pStyle w:val="FootnoteText"/>
      </w:pPr>
      <w:r>
        <w:rPr>
          <w:rStyle w:val="FootnoteReference"/>
        </w:rPr>
        <w:footnoteRef/>
      </w:r>
      <w:r>
        <w:tab/>
        <w:t>Dyrektywa Parlamentu Europejskiego</w:t>
      </w:r>
      <w:r w:rsidR="00BE6F6D">
        <w:t xml:space="preserve"> i Rad</w:t>
      </w:r>
      <w:r>
        <w:t>y 2013/11/UE</w:t>
      </w:r>
      <w:r w:rsidR="00BE6F6D">
        <w:t xml:space="preserve"> z dni</w:t>
      </w:r>
      <w:r>
        <w:t>a 21 maja 2013 r.</w:t>
      </w:r>
      <w:r w:rsidR="00BE6F6D">
        <w:t xml:space="preserve"> w spr</w:t>
      </w:r>
      <w:r>
        <w:t>awie alternatywnych metod rozstrzygania sporów konsumenckich oraz zmiany rozporządzenia (WE) nr 2006/2004</w:t>
      </w:r>
      <w:r w:rsidR="00BE6F6D">
        <w:t xml:space="preserve"> i dyr</w:t>
      </w:r>
      <w:r>
        <w:t>ektywy 2009/22/WE (Dz.U. L 165</w:t>
      </w:r>
      <w:r w:rsidR="00BE6F6D">
        <w:t xml:space="preserve"> z 1</w:t>
      </w:r>
      <w:r>
        <w:t>8.6.2013, s. 63).</w:t>
      </w:r>
    </w:p>
  </w:footnote>
  <w:footnote w:id="30">
    <w:p w14:paraId="761D2369" w14:textId="39DDBF48" w:rsidR="00CA3D2A" w:rsidRPr="00CA3D2A" w:rsidRDefault="00CA3D2A">
      <w:pPr>
        <w:pStyle w:val="FootnoteText"/>
      </w:pPr>
      <w:r>
        <w:rPr>
          <w:rStyle w:val="FootnoteReference"/>
        </w:rPr>
        <w:footnoteRef/>
      </w:r>
      <w:r>
        <w:tab/>
        <w:t>Rozporządzenie Parlamentu Europejskiego</w:t>
      </w:r>
      <w:r w:rsidR="00BE6F6D">
        <w:t xml:space="preserve"> i Rad</w:t>
      </w:r>
      <w:r>
        <w:t xml:space="preserve">y (UE) </w:t>
      </w:r>
      <w:r w:rsidRPr="00BE6F6D">
        <w:t>nr</w:t>
      </w:r>
      <w:r w:rsidR="00BE6F6D" w:rsidRPr="00BE6F6D">
        <w:t> </w:t>
      </w:r>
      <w:r w:rsidRPr="00BE6F6D">
        <w:t>5</w:t>
      </w:r>
      <w:r>
        <w:t>24/2013</w:t>
      </w:r>
      <w:r w:rsidR="00BE6F6D">
        <w:t xml:space="preserve"> z dni</w:t>
      </w:r>
      <w:r>
        <w:t>a 21 maja 20</w:t>
      </w:r>
      <w:r w:rsidRPr="00BE6F6D">
        <w:t>13</w:t>
      </w:r>
      <w:r w:rsidR="00BE6F6D" w:rsidRPr="00BE6F6D">
        <w:t> </w:t>
      </w:r>
      <w:r w:rsidRPr="00BE6F6D">
        <w:t>r.</w:t>
      </w:r>
      <w:r w:rsidR="00BE6F6D">
        <w:t xml:space="preserve"> w spr</w:t>
      </w:r>
      <w:r>
        <w:t xml:space="preserve">awie internetowego systemu rozstrzygania sporów konsumenckich oraz zmiany rozporządzenia (WE) </w:t>
      </w:r>
      <w:r w:rsidRPr="00BE6F6D">
        <w:t>nr</w:t>
      </w:r>
      <w:r w:rsidR="00BE6F6D" w:rsidRPr="00BE6F6D">
        <w:t> </w:t>
      </w:r>
      <w:r w:rsidRPr="00BE6F6D">
        <w:t>2</w:t>
      </w:r>
      <w:r>
        <w:t>006/2004</w:t>
      </w:r>
      <w:r w:rsidR="00BE6F6D">
        <w:t xml:space="preserve"> i dyr</w:t>
      </w:r>
      <w:r>
        <w:t>ektywy 2009/22/WE (Dz.U. L 165</w:t>
      </w:r>
      <w:r w:rsidR="00BE6F6D">
        <w:t xml:space="preserve"> z 1</w:t>
      </w:r>
      <w:r>
        <w:t>8.6.2013, s. 1).</w:t>
      </w:r>
    </w:p>
  </w:footnote>
  <w:footnote w:id="31">
    <w:p w14:paraId="56E45BAB" w14:textId="48FD4FE9" w:rsidR="00AD769E" w:rsidRPr="00D3250D" w:rsidRDefault="00AD769E" w:rsidP="00AD769E">
      <w:pPr>
        <w:pStyle w:val="FootnoteText"/>
      </w:pPr>
      <w:r>
        <w:rPr>
          <w:rStyle w:val="FootnoteReference"/>
        </w:rPr>
        <w:footnoteRef/>
      </w:r>
      <w:r>
        <w:tab/>
        <w:t>Rozporządzenie Parlamentu Europejskiego</w:t>
      </w:r>
      <w:r w:rsidR="00BE6F6D">
        <w:t xml:space="preserve"> i Rad</w:t>
      </w:r>
      <w:r>
        <w:t>y (UE) 2018/302</w:t>
      </w:r>
      <w:r w:rsidR="00BE6F6D">
        <w:t xml:space="preserve"> z dni</w:t>
      </w:r>
      <w:r>
        <w:t>a 28 lutego 20</w:t>
      </w:r>
      <w:r w:rsidRPr="00BE6F6D">
        <w:t>18</w:t>
      </w:r>
      <w:r w:rsidR="00BE6F6D" w:rsidRPr="00BE6F6D">
        <w:t> </w:t>
      </w:r>
      <w:r w:rsidRPr="00BE6F6D">
        <w:t>r.</w:t>
      </w:r>
      <w:r w:rsidR="00BE6F6D">
        <w:t xml:space="preserve"> w spr</w:t>
      </w:r>
      <w:r>
        <w:t>awie nieuzasadnionego blokowania geograficznego oraz innych form dyskryminacji klientów ze względu na przynależność państwową, miejsce zamieszkania lub miejsce prowadzenia działalności na rynku wewnętrznym oraz</w:t>
      </w:r>
      <w:r w:rsidR="00BE6F6D">
        <w:t xml:space="preserve"> w spr</w:t>
      </w:r>
      <w:r>
        <w:t xml:space="preserve">awie zmiany rozporządzeń (WE) </w:t>
      </w:r>
      <w:r w:rsidRPr="00BE6F6D">
        <w:t>nr</w:t>
      </w:r>
      <w:r w:rsidR="00BE6F6D" w:rsidRPr="00BE6F6D">
        <w:t> </w:t>
      </w:r>
      <w:r w:rsidRPr="00BE6F6D">
        <w:t>2</w:t>
      </w:r>
      <w:r>
        <w:t>006/2004 oraz (UE) 2017/2394</w:t>
      </w:r>
      <w:r w:rsidR="00BE6F6D">
        <w:t xml:space="preserve"> i dyr</w:t>
      </w:r>
      <w:r>
        <w:t>ektywy 2009/22/WE (Dz.U. L 60I</w:t>
      </w:r>
      <w:r w:rsidR="00BE6F6D">
        <w:t xml:space="preserve"> z 2</w:t>
      </w:r>
      <w:r>
        <w:t xml:space="preserve">.3.2018, s. 1). </w:t>
      </w:r>
    </w:p>
  </w:footnote>
  <w:footnote w:id="32">
    <w:p w14:paraId="119D97F3" w14:textId="1AB08B4E" w:rsidR="00AD769E" w:rsidRPr="00F60D22" w:rsidRDefault="00AD769E" w:rsidP="00AD769E">
      <w:pPr>
        <w:pStyle w:val="FootnoteText"/>
      </w:pPr>
      <w:r>
        <w:rPr>
          <w:rStyle w:val="FootnoteReference"/>
        </w:rPr>
        <w:footnoteRef/>
      </w:r>
      <w:r>
        <w:tab/>
        <w:t>Dyrektywa Parlamentu Europejskiego</w:t>
      </w:r>
      <w:r w:rsidR="00BE6F6D">
        <w:t xml:space="preserve"> i Rad</w:t>
      </w:r>
      <w:r>
        <w:t>y 2014/92/UE</w:t>
      </w:r>
      <w:r w:rsidR="00BE6F6D">
        <w:t xml:space="preserve"> z dni</w:t>
      </w:r>
      <w:r>
        <w:t>a 23 lipca 20</w:t>
      </w:r>
      <w:r w:rsidRPr="00BE6F6D">
        <w:t>14</w:t>
      </w:r>
      <w:r w:rsidR="00BE6F6D" w:rsidRPr="00BE6F6D">
        <w:t> </w:t>
      </w:r>
      <w:r w:rsidRPr="00BE6F6D">
        <w:t>r.</w:t>
      </w:r>
      <w:r w:rsidR="00BE6F6D">
        <w:t xml:space="preserve"> w spr</w:t>
      </w:r>
      <w:r>
        <w:t>awie porównywalności opłat związanych</w:t>
      </w:r>
      <w:r w:rsidR="00BE6F6D">
        <w:t xml:space="preserve"> z rac</w:t>
      </w:r>
      <w:r>
        <w:t>hunkami płatniczymi, przenoszenia rachunku płatniczego oraz dostępu do podstawowego rachunku płatniczego (Dz.U. L 257</w:t>
      </w:r>
      <w:r w:rsidR="00BE6F6D">
        <w:t xml:space="preserve"> z 2</w:t>
      </w:r>
      <w:r>
        <w:t>8.8.2014, s. 214).</w:t>
      </w:r>
    </w:p>
  </w:footnote>
  <w:footnote w:id="33">
    <w:p w14:paraId="65DAFD2C" w14:textId="0F2FE30D" w:rsidR="00AD769E" w:rsidRPr="00F60D22" w:rsidRDefault="00AD769E" w:rsidP="00AD769E">
      <w:pPr>
        <w:pStyle w:val="FootnoteText"/>
      </w:pPr>
      <w:r>
        <w:rPr>
          <w:rStyle w:val="FootnoteReference"/>
        </w:rPr>
        <w:footnoteRef/>
      </w:r>
      <w:r>
        <w:tab/>
        <w:t>Rozporządzenie Parlamentu Europejskiego</w:t>
      </w:r>
      <w:r w:rsidR="00BE6F6D">
        <w:t xml:space="preserve"> i Rad</w:t>
      </w:r>
      <w:r>
        <w:t>y (UE) 2022/612</w:t>
      </w:r>
      <w:r w:rsidR="00BE6F6D">
        <w:t xml:space="preserve"> z dni</w:t>
      </w:r>
      <w:r>
        <w:t>a 6 kwietnia 2022 r.</w:t>
      </w:r>
      <w:r w:rsidR="00BE6F6D">
        <w:t xml:space="preserve"> w spr</w:t>
      </w:r>
      <w:r>
        <w:t>awie roamingu</w:t>
      </w:r>
      <w:r w:rsidR="00BE6F6D">
        <w:t xml:space="preserve"> w pub</w:t>
      </w:r>
      <w:r>
        <w:t>licznych sieciach łączności ruchomej wewnątrz Unii (Dz.U. L 115</w:t>
      </w:r>
      <w:r w:rsidR="00BE6F6D">
        <w:t xml:space="preserve"> z 1</w:t>
      </w:r>
      <w:r>
        <w:t>3.4.2022, s. 1).</w:t>
      </w:r>
    </w:p>
  </w:footnote>
  <w:footnote w:id="34">
    <w:p w14:paraId="1D2F6E28" w14:textId="0D756535" w:rsidR="00AD769E" w:rsidRPr="00F60D22" w:rsidRDefault="00AD769E" w:rsidP="00AD769E">
      <w:pPr>
        <w:pStyle w:val="FootnoteText"/>
      </w:pPr>
      <w:r>
        <w:rPr>
          <w:rStyle w:val="FootnoteReference"/>
        </w:rPr>
        <w:footnoteRef/>
      </w:r>
      <w:r>
        <w:tab/>
        <w:t>Rozporządzenie Parlamentu Europejskiego</w:t>
      </w:r>
      <w:r w:rsidR="00BE6F6D">
        <w:t xml:space="preserve"> i Rad</w:t>
      </w:r>
      <w:r>
        <w:t xml:space="preserve">y (WE) </w:t>
      </w:r>
      <w:r w:rsidRPr="00BE6F6D">
        <w:t>nr</w:t>
      </w:r>
      <w:r w:rsidR="00BE6F6D" w:rsidRPr="00BE6F6D">
        <w:t> </w:t>
      </w:r>
      <w:r w:rsidRPr="00BE6F6D">
        <w:t>1</w:t>
      </w:r>
      <w:r>
        <w:t>008/2008</w:t>
      </w:r>
      <w:r w:rsidR="00BE6F6D">
        <w:t xml:space="preserve"> z dni</w:t>
      </w:r>
      <w:r>
        <w:t>a 24 września 20</w:t>
      </w:r>
      <w:r w:rsidRPr="00BE6F6D">
        <w:t>08</w:t>
      </w:r>
      <w:r w:rsidR="00BE6F6D" w:rsidRPr="00BE6F6D">
        <w:t> </w:t>
      </w:r>
      <w:r w:rsidRPr="00BE6F6D">
        <w:t>r.</w:t>
      </w:r>
      <w:r w:rsidR="00BE6F6D">
        <w:t xml:space="preserve"> w spr</w:t>
      </w:r>
      <w:r>
        <w:t>awie wspólnych zasad wykonywania przewozów lotniczych na terenie Wspólnoty (Dz.U. L 293</w:t>
      </w:r>
      <w:r w:rsidR="00BE6F6D">
        <w:t xml:space="preserve"> z 3</w:t>
      </w:r>
      <w:r>
        <w:t>1.10.2008, s. 3).</w:t>
      </w:r>
    </w:p>
  </w:footnote>
  <w:footnote w:id="35">
    <w:p w14:paraId="3FA1C0F5" w14:textId="010957A7" w:rsidR="00B9795E" w:rsidRPr="00B9795E" w:rsidRDefault="00B9795E" w:rsidP="00B9795E">
      <w:pPr>
        <w:rPr>
          <w:sz w:val="20"/>
          <w:szCs w:val="20"/>
        </w:rPr>
      </w:pPr>
      <w:r>
        <w:rPr>
          <w:rStyle w:val="FootnoteReference"/>
        </w:rPr>
        <w:footnoteRef/>
      </w:r>
      <w:r>
        <w:tab/>
      </w:r>
      <w:r>
        <w:rPr>
          <w:sz w:val="20"/>
        </w:rPr>
        <w:t>Rozporządzenie Parlamentu Europejskiego</w:t>
      </w:r>
      <w:r w:rsidR="00BE6F6D">
        <w:rPr>
          <w:sz w:val="20"/>
        </w:rPr>
        <w:t xml:space="preserve"> i Rad</w:t>
      </w:r>
      <w:r>
        <w:rPr>
          <w:sz w:val="20"/>
        </w:rPr>
        <w:t>y (UE) 2022/1925</w:t>
      </w:r>
      <w:r w:rsidR="00BE6F6D">
        <w:rPr>
          <w:sz w:val="20"/>
        </w:rPr>
        <w:t xml:space="preserve"> z dni</w:t>
      </w:r>
      <w:r>
        <w:rPr>
          <w:sz w:val="20"/>
        </w:rPr>
        <w:t>a 14 września 2022 r.</w:t>
      </w:r>
      <w:r w:rsidR="00BE6F6D">
        <w:rPr>
          <w:sz w:val="20"/>
        </w:rPr>
        <w:t xml:space="preserve"> w spr</w:t>
      </w:r>
      <w:r>
        <w:rPr>
          <w:sz w:val="20"/>
        </w:rPr>
        <w:t>awie kontestowalnych</w:t>
      </w:r>
      <w:r w:rsidR="00BE6F6D">
        <w:rPr>
          <w:sz w:val="20"/>
        </w:rPr>
        <w:t xml:space="preserve"> i ucz</w:t>
      </w:r>
      <w:r>
        <w:rPr>
          <w:sz w:val="20"/>
        </w:rPr>
        <w:t>ciwych rynków</w:t>
      </w:r>
      <w:r w:rsidR="00BE6F6D">
        <w:rPr>
          <w:sz w:val="20"/>
        </w:rPr>
        <w:t xml:space="preserve"> w sek</w:t>
      </w:r>
      <w:r>
        <w:rPr>
          <w:sz w:val="20"/>
        </w:rPr>
        <w:t>torze cyfrowym oraz zmiany dyrektyw (UE) 2019/1937 i (UE) 2020/1828 (akt</w:t>
      </w:r>
      <w:r w:rsidR="00BE6F6D">
        <w:rPr>
          <w:sz w:val="20"/>
        </w:rPr>
        <w:t xml:space="preserve"> o ryn</w:t>
      </w:r>
      <w:r>
        <w:rPr>
          <w:sz w:val="20"/>
        </w:rPr>
        <w:t>kach cyfrowych) (Dz.U. L 265</w:t>
      </w:r>
      <w:r w:rsidR="00BE6F6D">
        <w:rPr>
          <w:sz w:val="20"/>
        </w:rPr>
        <w:t xml:space="preserve"> z 1</w:t>
      </w:r>
      <w:r>
        <w:rPr>
          <w:sz w:val="20"/>
        </w:rPr>
        <w:t>2.10.2022, s. 1).</w:t>
      </w:r>
    </w:p>
    <w:p w14:paraId="3B745B55" w14:textId="77777777" w:rsidR="00B9795E" w:rsidRPr="00B9795E" w:rsidRDefault="00B9795E">
      <w:pPr>
        <w:pStyle w:val="FootnoteText"/>
      </w:pPr>
    </w:p>
  </w:footnote>
  <w:footnote w:id="36">
    <w:p w14:paraId="12CF164B" w14:textId="0FE4747E" w:rsidR="00E2659F" w:rsidRPr="00C92F59" w:rsidRDefault="00E2659F">
      <w:pPr>
        <w:pStyle w:val="FootnoteText"/>
      </w:pPr>
      <w:r>
        <w:rPr>
          <w:rStyle w:val="FootnoteReference"/>
        </w:rPr>
        <w:footnoteRef/>
      </w:r>
      <w:r>
        <w:tab/>
        <w:t>Rozporządzenie Parlamentu Europejskiego</w:t>
      </w:r>
      <w:r w:rsidR="00BE6F6D">
        <w:t xml:space="preserve"> i Rad</w:t>
      </w:r>
      <w:r>
        <w:t>y (UE) 2022/2065</w:t>
      </w:r>
      <w:r w:rsidR="00BE6F6D">
        <w:t xml:space="preserve"> z dni</w:t>
      </w:r>
      <w:r>
        <w:t>a 19 października 20</w:t>
      </w:r>
      <w:r w:rsidRPr="00BE6F6D">
        <w:t>22</w:t>
      </w:r>
      <w:r w:rsidR="00BE6F6D" w:rsidRPr="00BE6F6D">
        <w:t> </w:t>
      </w:r>
      <w:r w:rsidRPr="00BE6F6D">
        <w:t>r.</w:t>
      </w:r>
      <w:r w:rsidR="00BE6F6D">
        <w:t xml:space="preserve"> w spr</w:t>
      </w:r>
      <w:r>
        <w:t>awie jednolitego rynku usług cyfrowych oraz zmiany dyrektywy 2000/31/WE (Dz.U. L 277</w:t>
      </w:r>
      <w:r w:rsidR="00BE6F6D">
        <w:t xml:space="preserve"> z 2</w:t>
      </w:r>
      <w:r>
        <w:t>7.10.2022, s. 1).</w:t>
      </w:r>
    </w:p>
  </w:footnote>
  <w:footnote w:id="37">
    <w:p w14:paraId="79E0AE08" w14:textId="7CBD2142" w:rsidR="00A14155" w:rsidRDefault="00A14155" w:rsidP="00A14155">
      <w:pPr>
        <w:pStyle w:val="FootnoteText"/>
      </w:pPr>
      <w:r>
        <w:rPr>
          <w:rStyle w:val="FootnoteReference"/>
        </w:rPr>
        <w:footnoteRef/>
      </w:r>
      <w:r>
        <w:tab/>
        <w:t>Dyrektywa Parlamentu Europejskiego</w:t>
      </w:r>
      <w:r w:rsidR="00BE6F6D">
        <w:t xml:space="preserve"> i Rad</w:t>
      </w:r>
      <w:r>
        <w:t>y (UE) 2015/2302</w:t>
      </w:r>
      <w:r w:rsidR="00BE6F6D">
        <w:t xml:space="preserve"> z dni</w:t>
      </w:r>
      <w:r>
        <w:t>a 25 listopada 20</w:t>
      </w:r>
      <w:r w:rsidRPr="00BE6F6D">
        <w:t>15</w:t>
      </w:r>
      <w:r w:rsidR="00BE6F6D" w:rsidRPr="00BE6F6D">
        <w:t> </w:t>
      </w:r>
      <w:r w:rsidRPr="00BE6F6D">
        <w:t>r.</w:t>
      </w:r>
      <w:r w:rsidR="00BE6F6D">
        <w:t xml:space="preserve"> w spr</w:t>
      </w:r>
      <w:r>
        <w:t>awie imprez turystycznych</w:t>
      </w:r>
      <w:r w:rsidR="00BE6F6D">
        <w:t xml:space="preserve"> i pow</w:t>
      </w:r>
      <w:r>
        <w:t xml:space="preserve">iązanych usług turystycznych, zmieniająca rozporządzenie (WE) </w:t>
      </w:r>
      <w:r w:rsidRPr="00BE6F6D">
        <w:t>nr</w:t>
      </w:r>
      <w:r w:rsidR="00BE6F6D" w:rsidRPr="00BE6F6D">
        <w:t> </w:t>
      </w:r>
      <w:r w:rsidRPr="00BE6F6D">
        <w:t>2</w:t>
      </w:r>
      <w:r>
        <w:t>006/2004</w:t>
      </w:r>
      <w:r w:rsidR="00BE6F6D">
        <w:t xml:space="preserve"> i dyr</w:t>
      </w:r>
      <w:r>
        <w:t>ektywę Parlamentu Europejskiego</w:t>
      </w:r>
      <w:r w:rsidR="00BE6F6D">
        <w:t xml:space="preserve"> i Rad</w:t>
      </w:r>
      <w:r>
        <w:t>y 2011/83/UE oraz uchylająca dyrektywę Rady 90/314/EWG (Dz.U. L 326</w:t>
      </w:r>
      <w:r w:rsidR="00BE6F6D">
        <w:t xml:space="preserve"> z 1</w:t>
      </w:r>
      <w:r>
        <w:t>1.12.2015, s. 1).</w:t>
      </w:r>
    </w:p>
  </w:footnote>
  <w:footnote w:id="38">
    <w:p w14:paraId="3B816729" w14:textId="738FDD0D" w:rsidR="00A14155" w:rsidRPr="007607A2" w:rsidRDefault="00A14155" w:rsidP="00A14155">
      <w:pPr>
        <w:pStyle w:val="FootnoteText"/>
      </w:pPr>
      <w:r>
        <w:rPr>
          <w:rStyle w:val="FootnoteReference"/>
        </w:rPr>
        <w:footnoteRef/>
      </w:r>
      <w:r>
        <w:tab/>
        <w:t>Dyrektywa Parlamentu Europejskiego</w:t>
      </w:r>
      <w:r w:rsidR="00BE6F6D">
        <w:t xml:space="preserve"> i Rad</w:t>
      </w:r>
      <w:r>
        <w:t>y (UE) 2019/2161</w:t>
      </w:r>
      <w:r w:rsidR="00BE6F6D">
        <w:t xml:space="preserve"> z dni</w:t>
      </w:r>
      <w:r>
        <w:t>a 27 listopada 20</w:t>
      </w:r>
      <w:r w:rsidRPr="00BE6F6D">
        <w:t>19</w:t>
      </w:r>
      <w:r w:rsidR="00BE6F6D" w:rsidRPr="00BE6F6D">
        <w:t> </w:t>
      </w:r>
      <w:r w:rsidRPr="00BE6F6D">
        <w:t>r.</w:t>
      </w:r>
      <w:r>
        <w:t xml:space="preserve"> zmieniająca dyrektywę Rady 93/13/EWG</w:t>
      </w:r>
      <w:r w:rsidR="00BE6F6D">
        <w:t xml:space="preserve"> i dyr</w:t>
      </w:r>
      <w:r>
        <w:t>ektywy Parlamentu Europejskiego</w:t>
      </w:r>
      <w:r w:rsidR="00BE6F6D">
        <w:t xml:space="preserve"> i Rad</w:t>
      </w:r>
      <w:r>
        <w:t>y 98/6/WE, 2005/29/WE oraz 2011/83/UE</w:t>
      </w:r>
      <w:r w:rsidR="00BE6F6D">
        <w:t xml:space="preserve"> w odn</w:t>
      </w:r>
      <w:r>
        <w:t>iesieniu do lepszego egzekwowania</w:t>
      </w:r>
      <w:r w:rsidR="00BE6F6D">
        <w:t xml:space="preserve"> i uno</w:t>
      </w:r>
      <w:r>
        <w:t>wocześnienia unijnych przepisów dotyczących ochrony konsumenta (Dz.U. L 328</w:t>
      </w:r>
      <w:r w:rsidR="00BE6F6D">
        <w:t xml:space="preserve"> z 1</w:t>
      </w:r>
      <w:r>
        <w:t>8.12.2019, s. 7).</w:t>
      </w:r>
    </w:p>
  </w:footnote>
  <w:footnote w:id="39">
    <w:p w14:paraId="6E5F6C47" w14:textId="47F3B302" w:rsidR="00A14155" w:rsidRDefault="00A14155" w:rsidP="00A14155">
      <w:pPr>
        <w:pStyle w:val="FootnoteText"/>
      </w:pPr>
      <w:r>
        <w:rPr>
          <w:rStyle w:val="FootnoteReference"/>
        </w:rPr>
        <w:footnoteRef/>
      </w:r>
      <w:r>
        <w:tab/>
        <w:t>Rozporządzenie Parlamentu Europejskiego</w:t>
      </w:r>
      <w:r w:rsidR="00BE6F6D">
        <w:t xml:space="preserve"> i Rad</w:t>
      </w:r>
      <w:r>
        <w:t>y (UE) 2023/988</w:t>
      </w:r>
      <w:r w:rsidR="00BE6F6D">
        <w:t xml:space="preserve"> z dni</w:t>
      </w:r>
      <w:r>
        <w:t>a 10 maja 20</w:t>
      </w:r>
      <w:r w:rsidRPr="00BE6F6D">
        <w:t>23</w:t>
      </w:r>
      <w:r w:rsidR="00BE6F6D" w:rsidRPr="00BE6F6D">
        <w:t> </w:t>
      </w:r>
      <w:r w:rsidRPr="00BE6F6D">
        <w:t>r.</w:t>
      </w:r>
      <w:r w:rsidR="00BE6F6D">
        <w:t xml:space="preserve"> w spr</w:t>
      </w:r>
      <w:r>
        <w:t>awie ogólnego bezpieczeństwa produktów, zmieniające rozporządzenie Parlamentu Europejskiego</w:t>
      </w:r>
      <w:r w:rsidR="00BE6F6D">
        <w:t xml:space="preserve"> i Rad</w:t>
      </w:r>
      <w:r>
        <w:t>y (UE) nr 1025/2012</w:t>
      </w:r>
      <w:r w:rsidR="00BE6F6D">
        <w:t xml:space="preserve"> i dyr</w:t>
      </w:r>
      <w:r>
        <w:t>ektywę Parlamentu Europejskiego</w:t>
      </w:r>
      <w:r w:rsidR="00BE6F6D">
        <w:t xml:space="preserve"> i Rad</w:t>
      </w:r>
      <w:r>
        <w:t>y (UE) 2020/1828 oraz uchylające dyrektywę 2001/95/WE Parlamentu Europejskiego</w:t>
      </w:r>
      <w:r w:rsidR="00BE6F6D">
        <w:t xml:space="preserve"> i Rad</w:t>
      </w:r>
      <w:r>
        <w:t>y</w:t>
      </w:r>
      <w:r w:rsidR="00BE6F6D">
        <w:t xml:space="preserve"> i dyr</w:t>
      </w:r>
      <w:r>
        <w:t>ektywę Rady 87/357/EWG (Dz.U. L 135</w:t>
      </w:r>
      <w:r w:rsidR="00BE6F6D">
        <w:t xml:space="preserve"> z 2</w:t>
      </w:r>
      <w:r>
        <w:t>3.5.2023, s. 1).</w:t>
      </w:r>
    </w:p>
  </w:footnote>
  <w:footnote w:id="40">
    <w:p w14:paraId="5DC9DE92" w14:textId="57FF49E7" w:rsidR="00994395" w:rsidRPr="00994395" w:rsidRDefault="00994395" w:rsidP="00994395">
      <w:pPr>
        <w:pStyle w:val="FootnoteText"/>
        <w:ind w:left="142" w:hanging="142"/>
      </w:pPr>
      <w:r>
        <w:rPr>
          <w:rStyle w:val="FootnoteReference"/>
        </w:rPr>
        <w:footnoteRef/>
      </w:r>
      <w:r>
        <w:tab/>
        <w:t>Dyrektywa 2013/11/UE Parlamentu Europejskiego</w:t>
      </w:r>
      <w:r w:rsidR="00BE6F6D">
        <w:t xml:space="preserve"> i Rad</w:t>
      </w:r>
      <w:r>
        <w:t>y</w:t>
      </w:r>
      <w:r w:rsidR="00BE6F6D">
        <w:t xml:space="preserve"> z dni</w:t>
      </w:r>
      <w:r>
        <w:t>a 21 maja 20</w:t>
      </w:r>
      <w:r w:rsidRPr="00BE6F6D">
        <w:t>13</w:t>
      </w:r>
      <w:r w:rsidR="00BE6F6D" w:rsidRPr="00BE6F6D">
        <w:t> </w:t>
      </w:r>
      <w:r w:rsidRPr="00BE6F6D">
        <w:t>r.</w:t>
      </w:r>
      <w:r w:rsidR="00BE6F6D">
        <w:t xml:space="preserve"> w spr</w:t>
      </w:r>
      <w:r>
        <w:t xml:space="preserve">awie alternatywnych metod rozstrzygania sporów konsumenckich oraz zmiany rozporządzenia (WE) </w:t>
      </w:r>
      <w:r w:rsidRPr="00BE6F6D">
        <w:t>nr</w:t>
      </w:r>
      <w:r w:rsidR="00BE6F6D" w:rsidRPr="00BE6F6D">
        <w:t> </w:t>
      </w:r>
      <w:r w:rsidRPr="00BE6F6D">
        <w:t>2</w:t>
      </w:r>
      <w:r>
        <w:t>006/2004</w:t>
      </w:r>
      <w:r w:rsidR="00BE6F6D">
        <w:t xml:space="preserve"> i dyr</w:t>
      </w:r>
      <w:r>
        <w:t>ektywy 2009/22/WE (dyrektywa</w:t>
      </w:r>
      <w:r w:rsidR="00BE6F6D">
        <w:t xml:space="preserve"> w spr</w:t>
      </w:r>
      <w:r>
        <w:t>awie ADR</w:t>
      </w:r>
      <w:r w:rsidR="00BE6F6D">
        <w:t xml:space="preserve"> w spo</w:t>
      </w:r>
      <w:r>
        <w:t>rach konsumenckich) (Dz.U. L 165</w:t>
      </w:r>
      <w:r w:rsidR="00BE6F6D">
        <w:t xml:space="preserve"> z 1</w:t>
      </w:r>
      <w:r>
        <w:t>8.6.2013, s.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1F2AF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FCC52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834F57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556C38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8"/>
    <w:lvlOverride w:ilvl="0">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17"/>
  </w:num>
  <w:num w:numId="16">
    <w:abstractNumId w:val="7"/>
  </w:num>
  <w:num w:numId="17">
    <w:abstractNumId w:val="9"/>
  </w:num>
  <w:num w:numId="18">
    <w:abstractNumId w:val="10"/>
  </w:num>
  <w:num w:numId="19">
    <w:abstractNumId w:val="5"/>
  </w:num>
  <w:num w:numId="20">
    <w:abstractNumId w:val="16"/>
  </w:num>
  <w:num w:numId="21">
    <w:abstractNumId w:val="4"/>
  </w:num>
  <w:num w:numId="22">
    <w:abstractNumId w:val="11"/>
  </w:num>
  <w:num w:numId="23">
    <w:abstractNumId w:val="13"/>
  </w:num>
  <w:num w:numId="24">
    <w:abstractNumId w:val="14"/>
  </w:num>
  <w:num w:numId="25">
    <w:abstractNumId w:val="6"/>
  </w:num>
  <w:num w:numId="26">
    <w:abstractNumId w:val="12"/>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03 09:55:3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FB263D0-705C-4E0C-A4B2-22F5EEBB9301"/>
    <w:docVar w:name="LW_COVERPAGE_TYPE" w:val="1"/>
    <w:docVar w:name="LW_CROSSREFERENCE" w:val="{SEC(2023) 347 final} - {SWD(2023) 334 final} - {SWD(2023) 335 final} - {SWD(2023) 337 final}"/>
    <w:docVar w:name="LW_DocType" w:val="COM"/>
    <w:docVar w:name="LW_EMISSION" w:val="17.10.2023"/>
    <w:docVar w:name="LW_EMISSION_ISODATE" w:val="2023-10-17"/>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SERT_EXP.MOTIFS.NEW" w:val="1"/>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76"/>
    <w:docVar w:name="LW_REF.II.NEW.CP_YEAR" w:val="2023"/>
    <w:docVar w:name="LW_REF.INST.NEW" w:val="COM"/>
    <w:docVar w:name="LW_REF.INST.NEW_ADOPTED" w:val="final"/>
    <w:docVar w:name="LW_REF.INST.NEW_TEXT" w:val="(2023) 64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ąca dyrektywę 2013/11/UE w sprawie alternatywnych metod rozstrzygania sporów konsumenckich oraz dyrektywy (UE) 2015/2302, (UE) 2019/2161 i (UE) 2020/1828"/>
    <w:docVar w:name="LW_TYPE.DOC.CP" w:val="DYREKTYWA PARLAMENTU EUROPEJSKIEGO I RADY"/>
    <w:docVar w:name="LwApiVersions" w:val="LW4CoDe 1.23.2.0; LW 8.0, Build 20211117"/>
  </w:docVars>
  <w:rsids>
    <w:rsidRoot w:val="00B1743F"/>
    <w:rsid w:val="000000BA"/>
    <w:rsid w:val="00021627"/>
    <w:rsid w:val="000245AE"/>
    <w:rsid w:val="0002624B"/>
    <w:rsid w:val="00034FC2"/>
    <w:rsid w:val="00040148"/>
    <w:rsid w:val="0004019E"/>
    <w:rsid w:val="00040D72"/>
    <w:rsid w:val="00041A99"/>
    <w:rsid w:val="000428D0"/>
    <w:rsid w:val="00045760"/>
    <w:rsid w:val="00062441"/>
    <w:rsid w:val="00062EC4"/>
    <w:rsid w:val="0006669B"/>
    <w:rsid w:val="00072483"/>
    <w:rsid w:val="00081C86"/>
    <w:rsid w:val="00087057"/>
    <w:rsid w:val="00092BCC"/>
    <w:rsid w:val="00094E39"/>
    <w:rsid w:val="00096B8D"/>
    <w:rsid w:val="000A5C72"/>
    <w:rsid w:val="000D32C1"/>
    <w:rsid w:val="000D489F"/>
    <w:rsid w:val="000D53A3"/>
    <w:rsid w:val="000D5436"/>
    <w:rsid w:val="000E3EEE"/>
    <w:rsid w:val="000E4D0D"/>
    <w:rsid w:val="000F1B0D"/>
    <w:rsid w:val="000F58B8"/>
    <w:rsid w:val="000F77AA"/>
    <w:rsid w:val="001061AE"/>
    <w:rsid w:val="001065F5"/>
    <w:rsid w:val="001139D7"/>
    <w:rsid w:val="00120A42"/>
    <w:rsid w:val="001238EF"/>
    <w:rsid w:val="00127BA7"/>
    <w:rsid w:val="00131CFD"/>
    <w:rsid w:val="0014737B"/>
    <w:rsid w:val="001521D8"/>
    <w:rsid w:val="001524B6"/>
    <w:rsid w:val="00156E35"/>
    <w:rsid w:val="00160695"/>
    <w:rsid w:val="001621DC"/>
    <w:rsid w:val="00162A1C"/>
    <w:rsid w:val="0017196F"/>
    <w:rsid w:val="001755F8"/>
    <w:rsid w:val="0018706E"/>
    <w:rsid w:val="00190D82"/>
    <w:rsid w:val="00193FDB"/>
    <w:rsid w:val="00196D05"/>
    <w:rsid w:val="00197613"/>
    <w:rsid w:val="001A07E6"/>
    <w:rsid w:val="001A7EFB"/>
    <w:rsid w:val="001B234D"/>
    <w:rsid w:val="001B6136"/>
    <w:rsid w:val="001C0980"/>
    <w:rsid w:val="001C50A2"/>
    <w:rsid w:val="001C5A1F"/>
    <w:rsid w:val="001D27F9"/>
    <w:rsid w:val="001D5812"/>
    <w:rsid w:val="001D7243"/>
    <w:rsid w:val="001E3518"/>
    <w:rsid w:val="001F084C"/>
    <w:rsid w:val="00214B41"/>
    <w:rsid w:val="00222250"/>
    <w:rsid w:val="00223D9D"/>
    <w:rsid w:val="00233DC7"/>
    <w:rsid w:val="00235FEF"/>
    <w:rsid w:val="00244360"/>
    <w:rsid w:val="00246B6E"/>
    <w:rsid w:val="00247779"/>
    <w:rsid w:val="00251F97"/>
    <w:rsid w:val="002528AC"/>
    <w:rsid w:val="002559EB"/>
    <w:rsid w:val="00261549"/>
    <w:rsid w:val="00267DD9"/>
    <w:rsid w:val="00273970"/>
    <w:rsid w:val="00285BEE"/>
    <w:rsid w:val="002870AC"/>
    <w:rsid w:val="002931D9"/>
    <w:rsid w:val="00293D0C"/>
    <w:rsid w:val="00294297"/>
    <w:rsid w:val="0029533F"/>
    <w:rsid w:val="002A1C78"/>
    <w:rsid w:val="002A76C4"/>
    <w:rsid w:val="002B30AF"/>
    <w:rsid w:val="002B317A"/>
    <w:rsid w:val="002C02C0"/>
    <w:rsid w:val="002D4FD2"/>
    <w:rsid w:val="002E122E"/>
    <w:rsid w:val="002E6862"/>
    <w:rsid w:val="00302E7B"/>
    <w:rsid w:val="00307B83"/>
    <w:rsid w:val="00310D36"/>
    <w:rsid w:val="00312AFB"/>
    <w:rsid w:val="00326C83"/>
    <w:rsid w:val="0033344A"/>
    <w:rsid w:val="00335FDA"/>
    <w:rsid w:val="00337E2C"/>
    <w:rsid w:val="00340019"/>
    <w:rsid w:val="00343B67"/>
    <w:rsid w:val="00345DBE"/>
    <w:rsid w:val="003612E3"/>
    <w:rsid w:val="00371899"/>
    <w:rsid w:val="00373500"/>
    <w:rsid w:val="003802F3"/>
    <w:rsid w:val="00386DC5"/>
    <w:rsid w:val="0039248B"/>
    <w:rsid w:val="00392900"/>
    <w:rsid w:val="0039400F"/>
    <w:rsid w:val="00396BBA"/>
    <w:rsid w:val="003A68D7"/>
    <w:rsid w:val="003B39AB"/>
    <w:rsid w:val="003B4CDA"/>
    <w:rsid w:val="003B7A5F"/>
    <w:rsid w:val="003B7E17"/>
    <w:rsid w:val="003F0715"/>
    <w:rsid w:val="003F0A12"/>
    <w:rsid w:val="003F0F50"/>
    <w:rsid w:val="003F393D"/>
    <w:rsid w:val="00400CB2"/>
    <w:rsid w:val="004069B3"/>
    <w:rsid w:val="00411433"/>
    <w:rsid w:val="0042648E"/>
    <w:rsid w:val="00433593"/>
    <w:rsid w:val="0043563F"/>
    <w:rsid w:val="004374FF"/>
    <w:rsid w:val="00445E66"/>
    <w:rsid w:val="00453CC7"/>
    <w:rsid w:val="004607D9"/>
    <w:rsid w:val="00467BA2"/>
    <w:rsid w:val="00480420"/>
    <w:rsid w:val="00480FCB"/>
    <w:rsid w:val="004832C0"/>
    <w:rsid w:val="0048353F"/>
    <w:rsid w:val="004936D2"/>
    <w:rsid w:val="004B3850"/>
    <w:rsid w:val="004C49C9"/>
    <w:rsid w:val="004E1C00"/>
    <w:rsid w:val="004F6C9A"/>
    <w:rsid w:val="005034D1"/>
    <w:rsid w:val="00504CC4"/>
    <w:rsid w:val="00504FE5"/>
    <w:rsid w:val="00505137"/>
    <w:rsid w:val="0051357E"/>
    <w:rsid w:val="00516C7C"/>
    <w:rsid w:val="00520FEC"/>
    <w:rsid w:val="00525CDE"/>
    <w:rsid w:val="00547FD2"/>
    <w:rsid w:val="00551587"/>
    <w:rsid w:val="0056405D"/>
    <w:rsid w:val="005669E0"/>
    <w:rsid w:val="00566C41"/>
    <w:rsid w:val="0057540D"/>
    <w:rsid w:val="00576364"/>
    <w:rsid w:val="00590D06"/>
    <w:rsid w:val="00592938"/>
    <w:rsid w:val="005A3307"/>
    <w:rsid w:val="005A542F"/>
    <w:rsid w:val="005B1EB6"/>
    <w:rsid w:val="005B2A0F"/>
    <w:rsid w:val="005C4D8C"/>
    <w:rsid w:val="005C76D8"/>
    <w:rsid w:val="005C7CF5"/>
    <w:rsid w:val="005D4918"/>
    <w:rsid w:val="005D5BFC"/>
    <w:rsid w:val="005D62FF"/>
    <w:rsid w:val="005E30FF"/>
    <w:rsid w:val="005E7A42"/>
    <w:rsid w:val="006006A4"/>
    <w:rsid w:val="006029E4"/>
    <w:rsid w:val="00622233"/>
    <w:rsid w:val="00622C9D"/>
    <w:rsid w:val="0062342F"/>
    <w:rsid w:val="006411CA"/>
    <w:rsid w:val="00644497"/>
    <w:rsid w:val="00650C95"/>
    <w:rsid w:val="00664D30"/>
    <w:rsid w:val="006761BA"/>
    <w:rsid w:val="0068073D"/>
    <w:rsid w:val="00680C22"/>
    <w:rsid w:val="006812AD"/>
    <w:rsid w:val="00692D42"/>
    <w:rsid w:val="00695978"/>
    <w:rsid w:val="006966E0"/>
    <w:rsid w:val="006A5C3B"/>
    <w:rsid w:val="006A7624"/>
    <w:rsid w:val="006B27C4"/>
    <w:rsid w:val="006B3D30"/>
    <w:rsid w:val="006C2044"/>
    <w:rsid w:val="006C7490"/>
    <w:rsid w:val="006E0D14"/>
    <w:rsid w:val="006F14D1"/>
    <w:rsid w:val="006F24C1"/>
    <w:rsid w:val="006F2727"/>
    <w:rsid w:val="006F4B38"/>
    <w:rsid w:val="006F61A8"/>
    <w:rsid w:val="00725670"/>
    <w:rsid w:val="00735E91"/>
    <w:rsid w:val="007475F1"/>
    <w:rsid w:val="00750A2E"/>
    <w:rsid w:val="0075355D"/>
    <w:rsid w:val="00767FD9"/>
    <w:rsid w:val="00773331"/>
    <w:rsid w:val="00792893"/>
    <w:rsid w:val="007932EF"/>
    <w:rsid w:val="007B3405"/>
    <w:rsid w:val="007B4BB5"/>
    <w:rsid w:val="007C2A5A"/>
    <w:rsid w:val="007C2E82"/>
    <w:rsid w:val="007E05B0"/>
    <w:rsid w:val="007F13CF"/>
    <w:rsid w:val="007F187C"/>
    <w:rsid w:val="007F1BBD"/>
    <w:rsid w:val="007F53B1"/>
    <w:rsid w:val="00800638"/>
    <w:rsid w:val="0080729A"/>
    <w:rsid w:val="00813BBD"/>
    <w:rsid w:val="008148AF"/>
    <w:rsid w:val="00823A57"/>
    <w:rsid w:val="00824255"/>
    <w:rsid w:val="0083562D"/>
    <w:rsid w:val="00843B54"/>
    <w:rsid w:val="00844019"/>
    <w:rsid w:val="00854954"/>
    <w:rsid w:val="00855502"/>
    <w:rsid w:val="0086576D"/>
    <w:rsid w:val="00874D22"/>
    <w:rsid w:val="00877407"/>
    <w:rsid w:val="0088767B"/>
    <w:rsid w:val="00890AC3"/>
    <w:rsid w:val="008A059E"/>
    <w:rsid w:val="008A207A"/>
    <w:rsid w:val="008A2914"/>
    <w:rsid w:val="008A5747"/>
    <w:rsid w:val="008A6592"/>
    <w:rsid w:val="008A790E"/>
    <w:rsid w:val="008B1772"/>
    <w:rsid w:val="008B2136"/>
    <w:rsid w:val="008C1783"/>
    <w:rsid w:val="008D4346"/>
    <w:rsid w:val="008E22D5"/>
    <w:rsid w:val="008E3EB6"/>
    <w:rsid w:val="008E4D8E"/>
    <w:rsid w:val="008F40E9"/>
    <w:rsid w:val="008F6F0D"/>
    <w:rsid w:val="009015BD"/>
    <w:rsid w:val="0090418A"/>
    <w:rsid w:val="00905A6F"/>
    <w:rsid w:val="009078B3"/>
    <w:rsid w:val="0091011C"/>
    <w:rsid w:val="00915BBB"/>
    <w:rsid w:val="00921FCE"/>
    <w:rsid w:val="009269EE"/>
    <w:rsid w:val="00934C5A"/>
    <w:rsid w:val="00936AED"/>
    <w:rsid w:val="009412D4"/>
    <w:rsid w:val="00946C4E"/>
    <w:rsid w:val="00961F68"/>
    <w:rsid w:val="00976595"/>
    <w:rsid w:val="009772B5"/>
    <w:rsid w:val="00982A0A"/>
    <w:rsid w:val="009851BF"/>
    <w:rsid w:val="00994395"/>
    <w:rsid w:val="00996BF9"/>
    <w:rsid w:val="009A25D9"/>
    <w:rsid w:val="009A4A22"/>
    <w:rsid w:val="009A54A3"/>
    <w:rsid w:val="009C5240"/>
    <w:rsid w:val="009D14B7"/>
    <w:rsid w:val="009D224A"/>
    <w:rsid w:val="009E2348"/>
    <w:rsid w:val="009E51EB"/>
    <w:rsid w:val="009E770D"/>
    <w:rsid w:val="00A051ED"/>
    <w:rsid w:val="00A11106"/>
    <w:rsid w:val="00A13A15"/>
    <w:rsid w:val="00A14155"/>
    <w:rsid w:val="00A17171"/>
    <w:rsid w:val="00A27906"/>
    <w:rsid w:val="00A3198C"/>
    <w:rsid w:val="00A4038F"/>
    <w:rsid w:val="00A4240F"/>
    <w:rsid w:val="00A500A0"/>
    <w:rsid w:val="00A62161"/>
    <w:rsid w:val="00A6304B"/>
    <w:rsid w:val="00A75856"/>
    <w:rsid w:val="00A864BF"/>
    <w:rsid w:val="00A9288D"/>
    <w:rsid w:val="00A929E6"/>
    <w:rsid w:val="00A95F4A"/>
    <w:rsid w:val="00AB06C3"/>
    <w:rsid w:val="00AD769E"/>
    <w:rsid w:val="00AE099C"/>
    <w:rsid w:val="00AE25FC"/>
    <w:rsid w:val="00AE36AB"/>
    <w:rsid w:val="00AF0186"/>
    <w:rsid w:val="00AF4EC2"/>
    <w:rsid w:val="00B03E1B"/>
    <w:rsid w:val="00B0784C"/>
    <w:rsid w:val="00B13836"/>
    <w:rsid w:val="00B139F0"/>
    <w:rsid w:val="00B14AA4"/>
    <w:rsid w:val="00B1743F"/>
    <w:rsid w:val="00B17864"/>
    <w:rsid w:val="00B222CD"/>
    <w:rsid w:val="00B349A0"/>
    <w:rsid w:val="00B34E7B"/>
    <w:rsid w:val="00B35BE9"/>
    <w:rsid w:val="00B36746"/>
    <w:rsid w:val="00B543E8"/>
    <w:rsid w:val="00B61726"/>
    <w:rsid w:val="00B634E7"/>
    <w:rsid w:val="00B70C6D"/>
    <w:rsid w:val="00B83AC2"/>
    <w:rsid w:val="00B94BD1"/>
    <w:rsid w:val="00B94FDC"/>
    <w:rsid w:val="00B96F6E"/>
    <w:rsid w:val="00B9795E"/>
    <w:rsid w:val="00BA0D97"/>
    <w:rsid w:val="00BA30AB"/>
    <w:rsid w:val="00BA446C"/>
    <w:rsid w:val="00BB08D6"/>
    <w:rsid w:val="00BB0CD1"/>
    <w:rsid w:val="00BB0FCE"/>
    <w:rsid w:val="00BB2882"/>
    <w:rsid w:val="00BC17F1"/>
    <w:rsid w:val="00BC2F9D"/>
    <w:rsid w:val="00BC7270"/>
    <w:rsid w:val="00BD5028"/>
    <w:rsid w:val="00BE1CA5"/>
    <w:rsid w:val="00BE6F6D"/>
    <w:rsid w:val="00BF6A81"/>
    <w:rsid w:val="00C002FF"/>
    <w:rsid w:val="00C025BB"/>
    <w:rsid w:val="00C12301"/>
    <w:rsid w:val="00C173D9"/>
    <w:rsid w:val="00C23BF6"/>
    <w:rsid w:val="00C27FF5"/>
    <w:rsid w:val="00C42E80"/>
    <w:rsid w:val="00C447B8"/>
    <w:rsid w:val="00C67CB9"/>
    <w:rsid w:val="00C80E7E"/>
    <w:rsid w:val="00C833D7"/>
    <w:rsid w:val="00C92F59"/>
    <w:rsid w:val="00C93022"/>
    <w:rsid w:val="00CA1443"/>
    <w:rsid w:val="00CA2480"/>
    <w:rsid w:val="00CA3D2A"/>
    <w:rsid w:val="00CA6244"/>
    <w:rsid w:val="00CB0B56"/>
    <w:rsid w:val="00CF1D5E"/>
    <w:rsid w:val="00CF3944"/>
    <w:rsid w:val="00CF7998"/>
    <w:rsid w:val="00D00FE6"/>
    <w:rsid w:val="00D05669"/>
    <w:rsid w:val="00D20381"/>
    <w:rsid w:val="00D2644C"/>
    <w:rsid w:val="00D36A0B"/>
    <w:rsid w:val="00D43C8B"/>
    <w:rsid w:val="00D44EF5"/>
    <w:rsid w:val="00D728D2"/>
    <w:rsid w:val="00D9744D"/>
    <w:rsid w:val="00DA5E68"/>
    <w:rsid w:val="00DD6A42"/>
    <w:rsid w:val="00DE5765"/>
    <w:rsid w:val="00DE7ACF"/>
    <w:rsid w:val="00DF350B"/>
    <w:rsid w:val="00E02A77"/>
    <w:rsid w:val="00E075A0"/>
    <w:rsid w:val="00E1370F"/>
    <w:rsid w:val="00E2659F"/>
    <w:rsid w:val="00E315D4"/>
    <w:rsid w:val="00E426A8"/>
    <w:rsid w:val="00E53C6F"/>
    <w:rsid w:val="00E73B06"/>
    <w:rsid w:val="00E77C80"/>
    <w:rsid w:val="00E80D78"/>
    <w:rsid w:val="00E86DF7"/>
    <w:rsid w:val="00E94A57"/>
    <w:rsid w:val="00EC61B8"/>
    <w:rsid w:val="00EC7270"/>
    <w:rsid w:val="00ED060B"/>
    <w:rsid w:val="00ED47B1"/>
    <w:rsid w:val="00EF7987"/>
    <w:rsid w:val="00F02233"/>
    <w:rsid w:val="00F066C1"/>
    <w:rsid w:val="00F106D6"/>
    <w:rsid w:val="00F1377B"/>
    <w:rsid w:val="00F1377C"/>
    <w:rsid w:val="00F2091F"/>
    <w:rsid w:val="00F21492"/>
    <w:rsid w:val="00F23E4C"/>
    <w:rsid w:val="00F30E16"/>
    <w:rsid w:val="00F35F69"/>
    <w:rsid w:val="00F40981"/>
    <w:rsid w:val="00F409D7"/>
    <w:rsid w:val="00F40BDD"/>
    <w:rsid w:val="00F46CC0"/>
    <w:rsid w:val="00F57F0B"/>
    <w:rsid w:val="00F60227"/>
    <w:rsid w:val="00F603DF"/>
    <w:rsid w:val="00F60A7F"/>
    <w:rsid w:val="00F625C8"/>
    <w:rsid w:val="00F64394"/>
    <w:rsid w:val="00F64BB3"/>
    <w:rsid w:val="00F67204"/>
    <w:rsid w:val="00F719B8"/>
    <w:rsid w:val="00F85E56"/>
    <w:rsid w:val="00F86DE8"/>
    <w:rsid w:val="00F92992"/>
    <w:rsid w:val="00FA70A5"/>
    <w:rsid w:val="00FB0CD7"/>
    <w:rsid w:val="00FB3183"/>
    <w:rsid w:val="00FB741F"/>
    <w:rsid w:val="00FC31EF"/>
    <w:rsid w:val="00FC38F8"/>
    <w:rsid w:val="00FC451A"/>
    <w:rsid w:val="00FC61A9"/>
    <w:rsid w:val="00FD0B38"/>
    <w:rsid w:val="00FD381E"/>
    <w:rsid w:val="00FD4EB0"/>
    <w:rsid w:val="00FE0F40"/>
    <w:rsid w:val="00FE74FE"/>
    <w:rsid w:val="00FF323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7D80BB"/>
  <w15:docId w15:val="{43861155-1BFE-4212-A927-E48EDEAE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743F"/>
    <w:rPr>
      <w:color w:val="0000FF"/>
      <w:u w:val="single"/>
      <w:shd w:val="clear" w:color="auto" w:fill="auto"/>
    </w:rPr>
  </w:style>
  <w:style w:type="paragraph" w:customStyle="1" w:styleId="Normal1">
    <w:name w:val="Normal1"/>
    <w:basedOn w:val="Normal"/>
    <w:rsid w:val="001D5812"/>
    <w:pPr>
      <w:spacing w:before="100" w:beforeAutospacing="1" w:after="100" w:afterAutospacing="1"/>
      <w:jc w:val="left"/>
    </w:pPr>
    <w:rPr>
      <w:rFonts w:eastAsia="Times New Roman"/>
      <w:szCs w:val="24"/>
      <w:lang w:eastAsia="en-GB"/>
    </w:rPr>
  </w:style>
  <w:style w:type="paragraph" w:styleId="ListParagraph">
    <w:name w:val="List Paragraph"/>
    <w:aliases w:val="Dot pt,List Paragraph1,No Spacing1,List Paragraph Char Char Char,Indicator Text,Numbered Para 1,F5 List Paragraph,Bullet Points,List Paragraph2,MAIN CONTENT,List Paragraph12,OBC Bullet,Bullet List,FooterText,numbered,列出段落,Fo,L,2"/>
    <w:basedOn w:val="Normal"/>
    <w:link w:val="ListParagraphChar"/>
    <w:uiPriority w:val="34"/>
    <w:qFormat/>
    <w:rsid w:val="001D5812"/>
    <w:pPr>
      <w:spacing w:before="0" w:after="160" w:line="254" w:lineRule="auto"/>
      <w:ind w:left="720"/>
      <w:contextualSpacing/>
      <w:jc w:val="left"/>
    </w:pPr>
    <w:rPr>
      <w:rFonts w:ascii="Calibri" w:eastAsia="Times New Roman" w:hAnsi="Calibri"/>
      <w:sz w:val="22"/>
    </w:rPr>
  </w:style>
  <w:style w:type="character" w:customStyle="1" w:styleId="ListParagraphChar">
    <w:name w:val="List Paragraph Char"/>
    <w:aliases w:val="Dot pt Char,List Paragraph1 Char,No Spacing1 Char,List Paragraph Char Char Char Char,Indicator Text Char,Numbered Para 1 Char,F5 List Paragraph Char,Bullet Points Char,List Paragraph2 Char,MAIN CONTENT Char,List Paragraph12 Char"/>
    <w:basedOn w:val="DefaultParagraphFont"/>
    <w:link w:val="ListParagraph"/>
    <w:uiPriority w:val="34"/>
    <w:qFormat/>
    <w:locked/>
    <w:rsid w:val="001D5812"/>
    <w:rPr>
      <w:rFonts w:ascii="Calibri" w:eastAsia="Times New Roman" w:hAnsi="Calibri" w:cs="Times New Roman"/>
      <w:lang w:val="pl-PL"/>
    </w:rPr>
  </w:style>
  <w:style w:type="paragraph" w:customStyle="1" w:styleId="CharCharChar1">
    <w:name w:val="Char Char Char1"/>
    <w:basedOn w:val="Normal"/>
    <w:link w:val="FootnoteReference"/>
    <w:uiPriority w:val="99"/>
    <w:rsid w:val="001D5812"/>
    <w:pPr>
      <w:spacing w:before="0" w:after="160" w:line="240" w:lineRule="exact"/>
    </w:pPr>
    <w:rPr>
      <w:rFonts w:asciiTheme="minorHAnsi" w:hAnsiTheme="minorHAnsi" w:cstheme="minorBidi"/>
      <w:sz w:val="22"/>
      <w:vertAlign w:val="superscript"/>
    </w:rPr>
  </w:style>
  <w:style w:type="character" w:styleId="CommentReference">
    <w:name w:val="annotation reference"/>
    <w:basedOn w:val="DefaultParagraphFont"/>
    <w:uiPriority w:val="99"/>
    <w:semiHidden/>
    <w:unhideWhenUsed/>
    <w:rsid w:val="001D5812"/>
    <w:rPr>
      <w:sz w:val="16"/>
      <w:szCs w:val="16"/>
    </w:rPr>
  </w:style>
  <w:style w:type="paragraph" w:styleId="CommentText">
    <w:name w:val="annotation text"/>
    <w:basedOn w:val="Normal"/>
    <w:link w:val="CommentTextChar"/>
    <w:uiPriority w:val="99"/>
    <w:unhideWhenUsed/>
    <w:rsid w:val="001D5812"/>
    <w:rPr>
      <w:sz w:val="20"/>
      <w:szCs w:val="20"/>
    </w:rPr>
  </w:style>
  <w:style w:type="character" w:customStyle="1" w:styleId="CommentTextChar">
    <w:name w:val="Comment Text Char"/>
    <w:basedOn w:val="DefaultParagraphFont"/>
    <w:link w:val="CommentText"/>
    <w:uiPriority w:val="99"/>
    <w:rsid w:val="001D5812"/>
    <w:rPr>
      <w:rFonts w:ascii="Times New Roman" w:hAnsi="Times New Roman" w:cs="Times New Roman"/>
      <w:sz w:val="20"/>
      <w:szCs w:val="20"/>
      <w:lang w:val="pl-PL"/>
    </w:rPr>
  </w:style>
  <w:style w:type="paragraph" w:customStyle="1" w:styleId="oj-normal">
    <w:name w:val="oj-normal"/>
    <w:basedOn w:val="Normal"/>
    <w:rsid w:val="001D5812"/>
    <w:pPr>
      <w:spacing w:before="100" w:beforeAutospacing="1" w:after="100" w:afterAutospacing="1"/>
      <w:jc w:val="left"/>
    </w:pPr>
    <w:rPr>
      <w:rFonts w:eastAsia="Times New Roman"/>
      <w:szCs w:val="24"/>
      <w:lang w:eastAsia="en-IE"/>
    </w:rPr>
  </w:style>
  <w:style w:type="paragraph" w:styleId="ListBullet">
    <w:name w:val="List Bullet"/>
    <w:basedOn w:val="Normal"/>
    <w:uiPriority w:val="99"/>
    <w:semiHidden/>
    <w:unhideWhenUsed/>
    <w:rsid w:val="00B35BE9"/>
    <w:pPr>
      <w:numPr>
        <w:numId w:val="1"/>
      </w:numPr>
      <w:contextualSpacing/>
    </w:pPr>
  </w:style>
  <w:style w:type="paragraph" w:styleId="ListBullet2">
    <w:name w:val="List Bullet 2"/>
    <w:basedOn w:val="Normal"/>
    <w:uiPriority w:val="99"/>
    <w:semiHidden/>
    <w:unhideWhenUsed/>
    <w:rsid w:val="00B35BE9"/>
    <w:pPr>
      <w:numPr>
        <w:numId w:val="2"/>
      </w:numPr>
      <w:contextualSpacing/>
    </w:pPr>
  </w:style>
  <w:style w:type="paragraph" w:styleId="ListBullet3">
    <w:name w:val="List Bullet 3"/>
    <w:basedOn w:val="Normal"/>
    <w:uiPriority w:val="99"/>
    <w:semiHidden/>
    <w:unhideWhenUsed/>
    <w:rsid w:val="00B35BE9"/>
    <w:pPr>
      <w:numPr>
        <w:numId w:val="3"/>
      </w:numPr>
      <w:contextualSpacing/>
    </w:pPr>
  </w:style>
  <w:style w:type="paragraph" w:styleId="ListBullet4">
    <w:name w:val="List Bullet 4"/>
    <w:basedOn w:val="Normal"/>
    <w:uiPriority w:val="99"/>
    <w:semiHidden/>
    <w:unhideWhenUsed/>
    <w:rsid w:val="00B35BE9"/>
    <w:pPr>
      <w:numPr>
        <w:numId w:val="4"/>
      </w:numPr>
      <w:contextualSpacing/>
    </w:pPr>
  </w:style>
  <w:style w:type="paragraph" w:styleId="Revision">
    <w:name w:val="Revision"/>
    <w:hidden/>
    <w:uiPriority w:val="99"/>
    <w:semiHidden/>
    <w:rsid w:val="006411CA"/>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57540D"/>
    <w:rPr>
      <w:b/>
      <w:bCs/>
    </w:rPr>
  </w:style>
  <w:style w:type="character" w:customStyle="1" w:styleId="CommentSubjectChar">
    <w:name w:val="Comment Subject Char"/>
    <w:basedOn w:val="CommentTextChar"/>
    <w:link w:val="CommentSubject"/>
    <w:uiPriority w:val="99"/>
    <w:semiHidden/>
    <w:rsid w:val="0057540D"/>
    <w:rPr>
      <w:rFonts w:ascii="Times New Roman" w:hAnsi="Times New Roman" w:cs="Times New Roman"/>
      <w:b/>
      <w:bCs/>
      <w:sz w:val="20"/>
      <w:szCs w:val="20"/>
      <w:lang w:val="pl-PL"/>
    </w:rPr>
  </w:style>
  <w:style w:type="paragraph" w:styleId="EndnoteText">
    <w:name w:val="endnote text"/>
    <w:basedOn w:val="Normal"/>
    <w:link w:val="EndnoteTextChar"/>
    <w:uiPriority w:val="99"/>
    <w:semiHidden/>
    <w:unhideWhenUsed/>
    <w:rsid w:val="00A3198C"/>
    <w:pPr>
      <w:spacing w:before="0" w:after="0"/>
    </w:pPr>
    <w:rPr>
      <w:sz w:val="20"/>
      <w:szCs w:val="20"/>
    </w:rPr>
  </w:style>
  <w:style w:type="character" w:customStyle="1" w:styleId="EndnoteTextChar">
    <w:name w:val="Endnote Text Char"/>
    <w:basedOn w:val="DefaultParagraphFont"/>
    <w:link w:val="EndnoteText"/>
    <w:uiPriority w:val="99"/>
    <w:semiHidden/>
    <w:rsid w:val="00A3198C"/>
    <w:rPr>
      <w:rFonts w:ascii="Times New Roman" w:hAnsi="Times New Roman" w:cs="Times New Roman"/>
      <w:sz w:val="20"/>
      <w:szCs w:val="20"/>
      <w:lang w:val="pl-PL"/>
    </w:rPr>
  </w:style>
  <w:style w:type="character" w:styleId="EndnoteReference">
    <w:name w:val="endnote reference"/>
    <w:basedOn w:val="DefaultParagraphFont"/>
    <w:uiPriority w:val="99"/>
    <w:semiHidden/>
    <w:unhideWhenUsed/>
    <w:rsid w:val="00A3198C"/>
    <w:rPr>
      <w:vertAlign w:val="superscript"/>
    </w:rPr>
  </w:style>
  <w:style w:type="character" w:customStyle="1" w:styleId="UnresolvedMention">
    <w:name w:val="Unresolved Mention"/>
    <w:basedOn w:val="DefaultParagraphFont"/>
    <w:uiPriority w:val="99"/>
    <w:semiHidden/>
    <w:unhideWhenUsed/>
    <w:rsid w:val="00C42E80"/>
    <w:rPr>
      <w:color w:val="605E5C"/>
      <w:shd w:val="clear" w:color="auto" w:fill="E1DFDD"/>
    </w:rPr>
  </w:style>
  <w:style w:type="paragraph" w:styleId="Header">
    <w:name w:val="header"/>
    <w:basedOn w:val="Normal"/>
    <w:link w:val="HeaderChar"/>
    <w:uiPriority w:val="99"/>
    <w:unhideWhenUsed/>
    <w:rsid w:val="002D4FD2"/>
    <w:pPr>
      <w:tabs>
        <w:tab w:val="center" w:pos="4535"/>
        <w:tab w:val="right" w:pos="9071"/>
      </w:tabs>
      <w:spacing w:before="0"/>
    </w:pPr>
  </w:style>
  <w:style w:type="character" w:customStyle="1" w:styleId="HeaderChar">
    <w:name w:val="Header Char"/>
    <w:basedOn w:val="DefaultParagraphFont"/>
    <w:link w:val="Header"/>
    <w:uiPriority w:val="99"/>
    <w:rsid w:val="002D4FD2"/>
    <w:rPr>
      <w:rFonts w:ascii="Times New Roman" w:hAnsi="Times New Roman" w:cs="Times New Roman"/>
      <w:sz w:val="24"/>
      <w:lang w:val="pl-PL"/>
    </w:rPr>
  </w:style>
  <w:style w:type="paragraph" w:styleId="Footer">
    <w:name w:val="footer"/>
    <w:basedOn w:val="Normal"/>
    <w:link w:val="FooterChar"/>
    <w:uiPriority w:val="99"/>
    <w:unhideWhenUsed/>
    <w:rsid w:val="002D4FD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D4FD2"/>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D4FD2"/>
    <w:pPr>
      <w:tabs>
        <w:tab w:val="center" w:pos="7285"/>
        <w:tab w:val="right" w:pos="14003"/>
      </w:tabs>
      <w:spacing w:before="0"/>
    </w:pPr>
  </w:style>
  <w:style w:type="paragraph" w:customStyle="1" w:styleId="FooterLandscape">
    <w:name w:val="FooterLandscape"/>
    <w:basedOn w:val="Normal"/>
    <w:rsid w:val="002D4FD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2D4FD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D4FD2"/>
    <w:pPr>
      <w:spacing w:before="0"/>
      <w:jc w:val="right"/>
    </w:pPr>
    <w:rPr>
      <w:sz w:val="28"/>
    </w:rPr>
  </w:style>
  <w:style w:type="paragraph" w:customStyle="1" w:styleId="FooterSensitivity">
    <w:name w:val="Footer Sensitivity"/>
    <w:basedOn w:val="Normal"/>
    <w:rsid w:val="002D4FD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4069B3"/>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3343">
      <w:bodyDiv w:val="1"/>
      <w:marLeft w:val="0"/>
      <w:marRight w:val="0"/>
      <w:marTop w:val="0"/>
      <w:marBottom w:val="0"/>
      <w:divBdr>
        <w:top w:val="none" w:sz="0" w:space="0" w:color="auto"/>
        <w:left w:val="none" w:sz="0" w:space="0" w:color="auto"/>
        <w:bottom w:val="none" w:sz="0" w:space="0" w:color="auto"/>
        <w:right w:val="none" w:sz="0" w:space="0" w:color="auto"/>
      </w:divBdr>
    </w:div>
    <w:div w:id="632252900">
      <w:bodyDiv w:val="1"/>
      <w:marLeft w:val="0"/>
      <w:marRight w:val="0"/>
      <w:marTop w:val="0"/>
      <w:marBottom w:val="0"/>
      <w:divBdr>
        <w:top w:val="none" w:sz="0" w:space="0" w:color="auto"/>
        <w:left w:val="none" w:sz="0" w:space="0" w:color="auto"/>
        <w:bottom w:val="none" w:sz="0" w:space="0" w:color="auto"/>
        <w:right w:val="none" w:sz="0" w:space="0" w:color="auto"/>
      </w:divBdr>
    </w:div>
    <w:div w:id="679353765">
      <w:bodyDiv w:val="1"/>
      <w:marLeft w:val="0"/>
      <w:marRight w:val="0"/>
      <w:marTop w:val="0"/>
      <w:marBottom w:val="0"/>
      <w:divBdr>
        <w:top w:val="none" w:sz="0" w:space="0" w:color="auto"/>
        <w:left w:val="none" w:sz="0" w:space="0" w:color="auto"/>
        <w:bottom w:val="none" w:sz="0" w:space="0" w:color="auto"/>
        <w:right w:val="none" w:sz="0" w:space="0" w:color="auto"/>
      </w:divBdr>
    </w:div>
    <w:div w:id="713772579">
      <w:bodyDiv w:val="1"/>
      <w:marLeft w:val="0"/>
      <w:marRight w:val="0"/>
      <w:marTop w:val="0"/>
      <w:marBottom w:val="0"/>
      <w:divBdr>
        <w:top w:val="none" w:sz="0" w:space="0" w:color="auto"/>
        <w:left w:val="none" w:sz="0" w:space="0" w:color="auto"/>
        <w:bottom w:val="none" w:sz="0" w:space="0" w:color="auto"/>
        <w:right w:val="none" w:sz="0" w:space="0" w:color="auto"/>
      </w:divBdr>
    </w:div>
    <w:div w:id="850990121">
      <w:bodyDiv w:val="1"/>
      <w:marLeft w:val="0"/>
      <w:marRight w:val="0"/>
      <w:marTop w:val="0"/>
      <w:marBottom w:val="0"/>
      <w:divBdr>
        <w:top w:val="none" w:sz="0" w:space="0" w:color="auto"/>
        <w:left w:val="none" w:sz="0" w:space="0" w:color="auto"/>
        <w:bottom w:val="none" w:sz="0" w:space="0" w:color="auto"/>
        <w:right w:val="none" w:sz="0" w:space="0" w:color="auto"/>
      </w:divBdr>
    </w:div>
    <w:div w:id="854921610">
      <w:bodyDiv w:val="1"/>
      <w:marLeft w:val="0"/>
      <w:marRight w:val="0"/>
      <w:marTop w:val="0"/>
      <w:marBottom w:val="0"/>
      <w:divBdr>
        <w:top w:val="none" w:sz="0" w:space="0" w:color="auto"/>
        <w:left w:val="none" w:sz="0" w:space="0" w:color="auto"/>
        <w:bottom w:val="none" w:sz="0" w:space="0" w:color="auto"/>
        <w:right w:val="none" w:sz="0" w:space="0" w:color="auto"/>
      </w:divBdr>
    </w:div>
    <w:div w:id="938215732">
      <w:bodyDiv w:val="1"/>
      <w:marLeft w:val="0"/>
      <w:marRight w:val="0"/>
      <w:marTop w:val="0"/>
      <w:marBottom w:val="0"/>
      <w:divBdr>
        <w:top w:val="none" w:sz="0" w:space="0" w:color="auto"/>
        <w:left w:val="none" w:sz="0" w:space="0" w:color="auto"/>
        <w:bottom w:val="none" w:sz="0" w:space="0" w:color="auto"/>
        <w:right w:val="none" w:sz="0" w:space="0" w:color="auto"/>
      </w:divBdr>
    </w:div>
    <w:div w:id="1194997890">
      <w:bodyDiv w:val="1"/>
      <w:marLeft w:val="0"/>
      <w:marRight w:val="0"/>
      <w:marTop w:val="0"/>
      <w:marBottom w:val="0"/>
      <w:divBdr>
        <w:top w:val="none" w:sz="0" w:space="0" w:color="auto"/>
        <w:left w:val="none" w:sz="0" w:space="0" w:color="auto"/>
        <w:bottom w:val="none" w:sz="0" w:space="0" w:color="auto"/>
        <w:right w:val="none" w:sz="0" w:space="0" w:color="auto"/>
      </w:divBdr>
    </w:div>
    <w:div w:id="1257010866">
      <w:bodyDiv w:val="1"/>
      <w:marLeft w:val="0"/>
      <w:marRight w:val="0"/>
      <w:marTop w:val="0"/>
      <w:marBottom w:val="0"/>
      <w:divBdr>
        <w:top w:val="none" w:sz="0" w:space="0" w:color="auto"/>
        <w:left w:val="none" w:sz="0" w:space="0" w:color="auto"/>
        <w:bottom w:val="none" w:sz="0" w:space="0" w:color="auto"/>
        <w:right w:val="none" w:sz="0" w:space="0" w:color="auto"/>
      </w:divBdr>
    </w:div>
    <w:div w:id="1821578767">
      <w:bodyDiv w:val="1"/>
      <w:marLeft w:val="0"/>
      <w:marRight w:val="0"/>
      <w:marTop w:val="0"/>
      <w:marBottom w:val="0"/>
      <w:divBdr>
        <w:top w:val="none" w:sz="0" w:space="0" w:color="auto"/>
        <w:left w:val="none" w:sz="0" w:space="0" w:color="auto"/>
        <w:bottom w:val="none" w:sz="0" w:space="0" w:color="auto"/>
        <w:right w:val="none" w:sz="0" w:space="0" w:color="auto"/>
      </w:divBdr>
    </w:div>
    <w:div w:id="1842038423">
      <w:bodyDiv w:val="1"/>
      <w:marLeft w:val="0"/>
      <w:marRight w:val="0"/>
      <w:marTop w:val="0"/>
      <w:marBottom w:val="0"/>
      <w:divBdr>
        <w:top w:val="none" w:sz="0" w:space="0" w:color="auto"/>
        <w:left w:val="none" w:sz="0" w:space="0" w:color="auto"/>
        <w:bottom w:val="none" w:sz="0" w:space="0" w:color="auto"/>
        <w:right w:val="none" w:sz="0" w:space="0" w:color="auto"/>
      </w:divBdr>
    </w:div>
    <w:div w:id="1894153081">
      <w:bodyDiv w:val="1"/>
      <w:marLeft w:val="0"/>
      <w:marRight w:val="0"/>
      <w:marTop w:val="0"/>
      <w:marBottom w:val="0"/>
      <w:divBdr>
        <w:top w:val="none" w:sz="0" w:space="0" w:color="auto"/>
        <w:left w:val="none" w:sz="0" w:space="0" w:color="auto"/>
        <w:bottom w:val="none" w:sz="0" w:space="0" w:color="auto"/>
        <w:right w:val="none" w:sz="0" w:space="0" w:color="auto"/>
      </w:divBdr>
    </w:div>
    <w:div w:id="19688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commission.europa.eu/live-work-travel-eu/consumer-rights-and-complaints/resolve-your-consumer-complaint/alternative-dispute-resolution-consumers_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PL/TXT/?uri=celex%3A32013R0" TargetMode="External"/><Relationship Id="rId2" Type="http://schemas.openxmlformats.org/officeDocument/2006/relationships/hyperlink" Target="https://commission.europa.eu/strategy-documents/commission-work-programme/commission-work-programme-2023_en" TargetMode="External"/><Relationship Id="rId1" Type="http://schemas.openxmlformats.org/officeDocument/2006/relationships/hyperlink" Target="https://eur-lex.europa.eu/legal-content/PL/TXT/?uri=CELEX:32013L0011" TargetMode="External"/><Relationship Id="rId6" Type="http://schemas.openxmlformats.org/officeDocument/2006/relationships/hyperlink" Target="https://commission.europa.eu/system/files/2020-07/consumers-conditions-scoreboard-2019_pdf_en.pdf" TargetMode="External"/><Relationship Id="rId5" Type="http://schemas.openxmlformats.org/officeDocument/2006/relationships/hyperlink" Target="https://www.beuc.eu/sites/default/files/publications/beuc-x-2022-062_adr_position_paper.pdf" TargetMode="External"/><Relationship Id="rId4" Type="http://schemas.openxmlformats.org/officeDocument/2006/relationships/hyperlink" Target="https://www.eccnet.eu/pub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274D4-5A40-4DC6-8BFF-FDBCC105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21</TotalTime>
  <Pages>27</Pages>
  <Words>9026</Words>
  <Characters>60391</Characters>
  <Application>Microsoft Office Word</Application>
  <DocSecurity>0</DocSecurity>
  <Lines>1006</Lines>
  <Paragraphs>268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66</cp:revision>
  <cp:lastPrinted>2023-10-10T14:38:00Z</cp:lastPrinted>
  <dcterms:created xsi:type="dcterms:W3CDTF">2023-10-16T16:00:00Z</dcterms:created>
  <dcterms:modified xsi:type="dcterms:W3CDTF">2023-11-03T08:55:00Z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2023-09-22T13:30:32Z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7c6524b1-a362-4cb7-8595-c6c8d6463c75</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DQCStatus">
    <vt:lpwstr>Green (DQC version 03)</vt:lpwstr>
  </property>
</Properties>
</file>