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A6E0B" w14:textId="11C7B355" w:rsidR="0026613F" w:rsidRDefault="00C322F0" w:rsidP="00C322F0">
      <w:pPr>
        <w:pStyle w:val="Pagedecouverture"/>
        <w:rPr>
          <w:noProof/>
        </w:rPr>
      </w:pPr>
      <w:bookmarkStart w:id="0" w:name="LW_BM_COVERPAGE"/>
      <w:r>
        <w:rPr>
          <w:noProof/>
        </w:rPr>
        <w:pict w14:anchorId="4BC1B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BD400765-54D8-4922-9340-BF5E83EEA9AE" style="width:455.25pt;height:476.25pt">
            <v:imagedata r:id="rId7" o:title=""/>
          </v:shape>
        </w:pict>
      </w:r>
    </w:p>
    <w:bookmarkEnd w:id="0"/>
    <w:p w14:paraId="4CAC4CD9" w14:textId="77777777" w:rsidR="0026613F" w:rsidRDefault="0026613F" w:rsidP="0026613F">
      <w:pPr>
        <w:rPr>
          <w:noProof/>
        </w:rPr>
        <w:sectPr w:rsidR="0026613F" w:rsidSect="00C322F0">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360"/>
        </w:sectPr>
      </w:pPr>
    </w:p>
    <w:tbl>
      <w:tblPr>
        <w:tblStyle w:val="TableGrid"/>
        <w:tblW w:w="0" w:type="auto"/>
        <w:tblLook w:val="04A0" w:firstRow="1" w:lastRow="0" w:firstColumn="1" w:lastColumn="0" w:noHBand="0" w:noVBand="1"/>
      </w:tblPr>
      <w:tblGrid>
        <w:gridCol w:w="9288"/>
      </w:tblGrid>
      <w:tr w:rsidR="00AB297D" w:rsidRPr="00AB297D" w14:paraId="5471CDB4" w14:textId="77777777" w:rsidTr="000A17AD">
        <w:trPr>
          <w:trHeight w:val="411"/>
        </w:trPr>
        <w:tc>
          <w:tcPr>
            <w:tcW w:w="9288" w:type="dxa"/>
            <w:shd w:val="clear" w:color="auto" w:fill="BFBFBF" w:themeFill="background1" w:themeFillShade="BF"/>
          </w:tcPr>
          <w:p w14:paraId="090D0B29" w14:textId="77777777" w:rsidR="00AB297D" w:rsidRPr="00AB297D" w:rsidRDefault="00AB297D" w:rsidP="00AB297D">
            <w:pPr>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Streszczenie oceny skutków</w:t>
            </w:r>
          </w:p>
        </w:tc>
      </w:tr>
      <w:tr w:rsidR="00AB297D" w:rsidRPr="00AB297D" w14:paraId="289D6D92" w14:textId="77777777" w:rsidTr="00C63F22">
        <w:trPr>
          <w:trHeight w:val="700"/>
        </w:trPr>
        <w:tc>
          <w:tcPr>
            <w:tcW w:w="9288" w:type="dxa"/>
            <w:shd w:val="clear" w:color="auto" w:fill="8DB3E2" w:themeFill="text2" w:themeFillTint="66"/>
          </w:tcPr>
          <w:p w14:paraId="2CED59DE" w14:textId="323020E4" w:rsidR="00AB297D" w:rsidRPr="00C63F22" w:rsidRDefault="00AB297D" w:rsidP="00AB297D">
            <w:pPr>
              <w:rPr>
                <w:rFonts w:ascii="Times New Roman" w:hAnsi="Times New Roman" w:cs="Times New Roman"/>
                <w:bCs/>
                <w:iCs/>
                <w:noProof/>
                <w:sz w:val="24"/>
                <w:szCs w:val="24"/>
              </w:rPr>
            </w:pPr>
            <w:r>
              <w:rPr>
                <w:rFonts w:ascii="Times New Roman" w:hAnsi="Times New Roman"/>
                <w:noProof/>
                <w:sz w:val="24"/>
              </w:rPr>
              <w:t>Ocena skutków wniosku dotyczącego dyrektywy Parlamentu Europejskiego</w:t>
            </w:r>
            <w:r w:rsidR="00643F23">
              <w:rPr>
                <w:rFonts w:ascii="Times New Roman" w:hAnsi="Times New Roman"/>
                <w:noProof/>
                <w:sz w:val="24"/>
              </w:rPr>
              <w:t xml:space="preserve"> i Rad</w:t>
            </w:r>
            <w:r>
              <w:rPr>
                <w:rFonts w:ascii="Times New Roman" w:hAnsi="Times New Roman"/>
                <w:noProof/>
                <w:sz w:val="24"/>
              </w:rPr>
              <w:t>y</w:t>
            </w:r>
            <w:r w:rsidR="00643F23">
              <w:rPr>
                <w:rFonts w:ascii="Times New Roman" w:hAnsi="Times New Roman"/>
                <w:noProof/>
                <w:sz w:val="24"/>
              </w:rPr>
              <w:t xml:space="preserve"> w spr</w:t>
            </w:r>
            <w:r>
              <w:rPr>
                <w:rFonts w:ascii="Times New Roman" w:hAnsi="Times New Roman"/>
                <w:noProof/>
                <w:sz w:val="24"/>
              </w:rPr>
              <w:t xml:space="preserve">awie alternatywnych metod rozstrzygania sporów konsumenckich </w:t>
            </w:r>
          </w:p>
        </w:tc>
      </w:tr>
      <w:tr w:rsidR="00AB297D" w:rsidRPr="00AB297D" w14:paraId="0B3FD5A9" w14:textId="77777777" w:rsidTr="000A17AD">
        <w:trPr>
          <w:trHeight w:val="405"/>
        </w:trPr>
        <w:tc>
          <w:tcPr>
            <w:tcW w:w="9288" w:type="dxa"/>
            <w:shd w:val="clear" w:color="auto" w:fill="BFBFBF" w:themeFill="background1" w:themeFillShade="BF"/>
          </w:tcPr>
          <w:p w14:paraId="3A813E4D" w14:textId="77777777" w:rsidR="00AB297D" w:rsidRPr="00AB297D" w:rsidRDefault="00AB297D" w:rsidP="00AB297D">
            <w:pPr>
              <w:numPr>
                <w:ilvl w:val="0"/>
                <w:numId w:val="1"/>
              </w:numPr>
              <w:contextualSpacing/>
              <w:rPr>
                <w:rFonts w:ascii="Times New Roman" w:hAnsi="Times New Roman" w:cs="Times New Roman"/>
                <w:b/>
                <w:noProof/>
                <w:sz w:val="24"/>
                <w:szCs w:val="24"/>
              </w:rPr>
            </w:pPr>
            <w:r>
              <w:rPr>
                <w:rFonts w:ascii="Times New Roman" w:hAnsi="Times New Roman"/>
                <w:b/>
                <w:noProof/>
                <w:sz w:val="24"/>
              </w:rPr>
              <w:t>Zasadność działań</w:t>
            </w:r>
          </w:p>
        </w:tc>
      </w:tr>
      <w:tr w:rsidR="00AB297D" w:rsidRPr="00AB297D" w14:paraId="7CD46C98" w14:textId="77777777" w:rsidTr="000A17AD">
        <w:trPr>
          <w:trHeight w:val="425"/>
        </w:trPr>
        <w:tc>
          <w:tcPr>
            <w:tcW w:w="9288" w:type="dxa"/>
            <w:shd w:val="clear" w:color="auto" w:fill="D9D9D9" w:themeFill="background1" w:themeFillShade="D9"/>
          </w:tcPr>
          <w:p w14:paraId="2AF46506" w14:textId="6EE1939C" w:rsidR="00AB297D" w:rsidRPr="00AB297D" w:rsidRDefault="00AB297D" w:rsidP="00AB297D">
            <w:pPr>
              <w:jc w:val="both"/>
              <w:rPr>
                <w:rFonts w:ascii="Times New Roman" w:hAnsi="Times New Roman" w:cs="Times New Roman"/>
                <w:b/>
                <w:noProof/>
                <w:sz w:val="24"/>
                <w:szCs w:val="24"/>
              </w:rPr>
            </w:pPr>
            <w:r>
              <w:rPr>
                <w:rFonts w:ascii="Times New Roman" w:hAnsi="Times New Roman"/>
                <w:b/>
                <w:noProof/>
                <w:sz w:val="24"/>
              </w:rPr>
              <w:t>Na czym polega problem</w:t>
            </w:r>
            <w:r w:rsidR="00643F23">
              <w:rPr>
                <w:rFonts w:ascii="Times New Roman" w:hAnsi="Times New Roman"/>
                <w:b/>
                <w:noProof/>
                <w:sz w:val="24"/>
              </w:rPr>
              <w:t xml:space="preserve"> i dla</w:t>
            </w:r>
            <w:r>
              <w:rPr>
                <w:rFonts w:ascii="Times New Roman" w:hAnsi="Times New Roman"/>
                <w:b/>
                <w:noProof/>
                <w:sz w:val="24"/>
              </w:rPr>
              <w:t xml:space="preserve">czego jest to problem na szczeblu UE? </w:t>
            </w:r>
          </w:p>
        </w:tc>
      </w:tr>
      <w:tr w:rsidR="00AB297D" w:rsidRPr="00AB297D" w14:paraId="3AD11D8F" w14:textId="77777777" w:rsidTr="00CC503C">
        <w:trPr>
          <w:trHeight w:val="4521"/>
        </w:trPr>
        <w:tc>
          <w:tcPr>
            <w:tcW w:w="9288" w:type="dxa"/>
          </w:tcPr>
          <w:p w14:paraId="7C57061D" w14:textId="0C25D25F" w:rsidR="00AB297D" w:rsidRPr="00AB297D" w:rsidRDefault="00AB297D" w:rsidP="00AB297D">
            <w:pPr>
              <w:jc w:val="both"/>
              <w:rPr>
                <w:rFonts w:ascii="Times New Roman" w:hAnsi="Times New Roman" w:cs="Times New Roman"/>
                <w:noProof/>
                <w:sz w:val="24"/>
                <w:szCs w:val="24"/>
              </w:rPr>
            </w:pPr>
            <w:r>
              <w:rPr>
                <w:rFonts w:ascii="Times New Roman" w:hAnsi="Times New Roman"/>
                <w:noProof/>
                <w:sz w:val="24"/>
              </w:rPr>
              <w:t xml:space="preserve">Inicjatywa ma na celu rozwiązanie </w:t>
            </w:r>
            <w:r>
              <w:rPr>
                <w:rFonts w:ascii="Times New Roman" w:hAnsi="Times New Roman"/>
                <w:b/>
                <w:noProof/>
                <w:sz w:val="24"/>
              </w:rPr>
              <w:t>trzech nadrzędnych problemów</w:t>
            </w:r>
            <w:r>
              <w:rPr>
                <w:rFonts w:ascii="Times New Roman" w:hAnsi="Times New Roman"/>
                <w:noProof/>
                <w:sz w:val="24"/>
              </w:rPr>
              <w:t>, które zidentyfikowano na szczeblu UE: 1) dyrektywa ADR nie jest dostosowana do rynków cyfrowych, 2) poziom udziału przedsiębiorstw</w:t>
            </w:r>
            <w:r w:rsidR="00643F23">
              <w:rPr>
                <w:rFonts w:ascii="Times New Roman" w:hAnsi="Times New Roman"/>
                <w:noProof/>
                <w:sz w:val="24"/>
              </w:rPr>
              <w:t xml:space="preserve"> i kon</w:t>
            </w:r>
            <w:r>
              <w:rPr>
                <w:rFonts w:ascii="Times New Roman" w:hAnsi="Times New Roman"/>
                <w:noProof/>
                <w:sz w:val="24"/>
              </w:rPr>
              <w:t>sumentów w ADR jest niski, 3) mechanizmy ADR nie są wystarczająco wykorzystywane</w:t>
            </w:r>
            <w:r w:rsidR="00643F23">
              <w:rPr>
                <w:rFonts w:ascii="Times New Roman" w:hAnsi="Times New Roman"/>
                <w:noProof/>
                <w:sz w:val="24"/>
              </w:rPr>
              <w:t xml:space="preserve"> w kon</w:t>
            </w:r>
            <w:r>
              <w:rPr>
                <w:rFonts w:ascii="Times New Roman" w:hAnsi="Times New Roman"/>
                <w:noProof/>
                <w:sz w:val="24"/>
              </w:rPr>
              <w:t>tekście transgranicznym.</w:t>
            </w:r>
          </w:p>
          <w:p w14:paraId="31929354" w14:textId="77777777" w:rsidR="00AB297D" w:rsidRPr="00AB297D" w:rsidRDefault="00AB297D" w:rsidP="00AB297D">
            <w:pPr>
              <w:jc w:val="both"/>
              <w:rPr>
                <w:rFonts w:ascii="Times New Roman" w:hAnsi="Times New Roman" w:cs="Times New Roman"/>
                <w:noProof/>
                <w:sz w:val="24"/>
                <w:szCs w:val="24"/>
              </w:rPr>
            </w:pPr>
          </w:p>
          <w:p w14:paraId="5F2ABCAE" w14:textId="33C73D81" w:rsidR="00AB297D" w:rsidRPr="00AB297D" w:rsidRDefault="00AB297D" w:rsidP="00AB297D">
            <w:pPr>
              <w:jc w:val="both"/>
              <w:rPr>
                <w:rFonts w:ascii="Times New Roman" w:hAnsi="Times New Roman" w:cs="Times New Roman"/>
                <w:noProof/>
                <w:sz w:val="24"/>
                <w:szCs w:val="24"/>
              </w:rPr>
            </w:pPr>
            <w:r>
              <w:rPr>
                <w:rFonts w:ascii="Times New Roman" w:hAnsi="Times New Roman"/>
                <w:b/>
                <w:noProof/>
                <w:sz w:val="24"/>
              </w:rPr>
              <w:t>Przyczyny</w:t>
            </w:r>
            <w:r>
              <w:rPr>
                <w:rFonts w:ascii="Times New Roman" w:hAnsi="Times New Roman"/>
                <w:noProof/>
                <w:sz w:val="24"/>
              </w:rPr>
              <w:t xml:space="preserve"> tych problemów można podzielić na dwie grupy: „</w:t>
            </w:r>
            <w:r>
              <w:rPr>
                <w:rFonts w:ascii="Times New Roman" w:hAnsi="Times New Roman"/>
                <w:b/>
                <w:noProof/>
                <w:sz w:val="24"/>
              </w:rPr>
              <w:t>megatrendy</w:t>
            </w:r>
            <w:r w:rsidR="00643F23">
              <w:rPr>
                <w:rFonts w:ascii="Times New Roman" w:hAnsi="Times New Roman"/>
                <w:b/>
                <w:noProof/>
                <w:sz w:val="24"/>
              </w:rPr>
              <w:t xml:space="preserve"> i czy</w:t>
            </w:r>
            <w:r>
              <w:rPr>
                <w:rFonts w:ascii="Times New Roman" w:hAnsi="Times New Roman"/>
                <w:b/>
                <w:noProof/>
                <w:sz w:val="24"/>
              </w:rPr>
              <w:t>nniki związane</w:t>
            </w:r>
            <w:r w:rsidR="00643F23">
              <w:rPr>
                <w:rFonts w:ascii="Times New Roman" w:hAnsi="Times New Roman"/>
                <w:b/>
                <w:noProof/>
                <w:sz w:val="24"/>
              </w:rPr>
              <w:t xml:space="preserve"> z ryn</w:t>
            </w:r>
            <w:r>
              <w:rPr>
                <w:rFonts w:ascii="Times New Roman" w:hAnsi="Times New Roman"/>
                <w:b/>
                <w:noProof/>
                <w:sz w:val="24"/>
              </w:rPr>
              <w:t>kiem</w:t>
            </w:r>
            <w:r>
              <w:rPr>
                <w:rFonts w:ascii="Times New Roman" w:hAnsi="Times New Roman"/>
                <w:noProof/>
                <w:sz w:val="24"/>
              </w:rPr>
              <w:t>” oraz „</w:t>
            </w:r>
            <w:r>
              <w:rPr>
                <w:rFonts w:ascii="Times New Roman" w:hAnsi="Times New Roman"/>
                <w:b/>
                <w:noProof/>
                <w:sz w:val="24"/>
              </w:rPr>
              <w:t>czynniki związane</w:t>
            </w:r>
            <w:r w:rsidR="00643F23">
              <w:rPr>
                <w:rFonts w:ascii="Times New Roman" w:hAnsi="Times New Roman"/>
                <w:b/>
                <w:noProof/>
                <w:sz w:val="24"/>
              </w:rPr>
              <w:t xml:space="preserve"> z egz</w:t>
            </w:r>
            <w:r>
              <w:rPr>
                <w:rFonts w:ascii="Times New Roman" w:hAnsi="Times New Roman"/>
                <w:b/>
                <w:noProof/>
                <w:sz w:val="24"/>
              </w:rPr>
              <w:t>ekwowaniem prawa</w:t>
            </w:r>
            <w:r>
              <w:rPr>
                <w:rFonts w:ascii="Times New Roman" w:hAnsi="Times New Roman"/>
                <w:noProof/>
                <w:sz w:val="24"/>
              </w:rPr>
              <w:t xml:space="preserve">”. </w:t>
            </w:r>
          </w:p>
          <w:p w14:paraId="05953DC6" w14:textId="59E9E658" w:rsidR="00AB297D" w:rsidRPr="00AB297D" w:rsidRDefault="00AB297D" w:rsidP="00AB297D">
            <w:pPr>
              <w:jc w:val="both"/>
              <w:rPr>
                <w:rFonts w:ascii="Times New Roman" w:hAnsi="Times New Roman" w:cs="Times New Roman"/>
                <w:bCs/>
                <w:iCs/>
                <w:noProof/>
                <w:sz w:val="24"/>
                <w:szCs w:val="24"/>
              </w:rPr>
            </w:pPr>
            <w:r>
              <w:rPr>
                <w:rFonts w:ascii="Times New Roman" w:hAnsi="Times New Roman"/>
                <w:noProof/>
                <w:sz w:val="24"/>
              </w:rPr>
              <w:t>Pierwsza grupa przyczyn to: szybki rozwój</w:t>
            </w:r>
            <w:r w:rsidR="00643F23">
              <w:rPr>
                <w:rFonts w:ascii="Times New Roman" w:hAnsi="Times New Roman"/>
                <w:noProof/>
                <w:sz w:val="24"/>
              </w:rPr>
              <w:t xml:space="preserve"> i wię</w:t>
            </w:r>
            <w:r>
              <w:rPr>
                <w:rFonts w:ascii="Times New Roman" w:hAnsi="Times New Roman"/>
                <w:noProof/>
                <w:sz w:val="24"/>
              </w:rPr>
              <w:t>ksza koncentracja handlu elektronicznego</w:t>
            </w:r>
            <w:r w:rsidR="00643F23">
              <w:rPr>
                <w:rFonts w:ascii="Times New Roman" w:hAnsi="Times New Roman"/>
                <w:noProof/>
                <w:sz w:val="24"/>
              </w:rPr>
              <w:t xml:space="preserve"> i rek</w:t>
            </w:r>
            <w:r>
              <w:rPr>
                <w:rFonts w:ascii="Times New Roman" w:hAnsi="Times New Roman"/>
                <w:noProof/>
                <w:sz w:val="24"/>
              </w:rPr>
              <w:t>lamy internetowej, wzrost popularności zakupów transgranicznych, również od przedsiębiorców spoza UE, spory konsumenckie na rynkach cyfrowych wykraczające poza kwestie umowne, wysoki współczynnik nieprzestrzegania prawa UE</w:t>
            </w:r>
            <w:r w:rsidR="00643F23">
              <w:rPr>
                <w:rFonts w:ascii="Times New Roman" w:hAnsi="Times New Roman"/>
                <w:noProof/>
                <w:sz w:val="24"/>
              </w:rPr>
              <w:t xml:space="preserve"> w dzi</w:t>
            </w:r>
            <w:r>
              <w:rPr>
                <w:rFonts w:ascii="Times New Roman" w:hAnsi="Times New Roman"/>
                <w:noProof/>
                <w:sz w:val="24"/>
              </w:rPr>
              <w:t xml:space="preserve">edzinie ochrony konsumentów. </w:t>
            </w:r>
          </w:p>
          <w:p w14:paraId="496F913F" w14:textId="0DEB2EBB" w:rsidR="00AB297D" w:rsidRDefault="00AB297D" w:rsidP="00AB297D">
            <w:pPr>
              <w:jc w:val="both"/>
              <w:rPr>
                <w:rFonts w:ascii="Times New Roman" w:hAnsi="Times New Roman" w:cs="Times New Roman"/>
                <w:bCs/>
                <w:iCs/>
                <w:noProof/>
                <w:sz w:val="24"/>
                <w:szCs w:val="24"/>
              </w:rPr>
            </w:pPr>
            <w:r>
              <w:rPr>
                <w:rFonts w:ascii="Times New Roman" w:hAnsi="Times New Roman"/>
                <w:noProof/>
                <w:sz w:val="24"/>
              </w:rPr>
              <w:t>Druga grupa przyczyn to: bariery</w:t>
            </w:r>
            <w:r w:rsidR="00643F23">
              <w:rPr>
                <w:rFonts w:ascii="Times New Roman" w:hAnsi="Times New Roman"/>
                <w:noProof/>
                <w:sz w:val="24"/>
              </w:rPr>
              <w:t xml:space="preserve"> w dos</w:t>
            </w:r>
            <w:r>
              <w:rPr>
                <w:rFonts w:ascii="Times New Roman" w:hAnsi="Times New Roman"/>
                <w:noProof/>
                <w:sz w:val="24"/>
              </w:rPr>
              <w:t>tępie do ADR (brak wiedzy</w:t>
            </w:r>
            <w:r w:rsidR="00643F23">
              <w:rPr>
                <w:rFonts w:ascii="Times New Roman" w:hAnsi="Times New Roman"/>
                <w:noProof/>
                <w:sz w:val="24"/>
              </w:rPr>
              <w:t xml:space="preserve"> i kos</w:t>
            </w:r>
            <w:r>
              <w:rPr>
                <w:rFonts w:ascii="Times New Roman" w:hAnsi="Times New Roman"/>
                <w:noProof/>
                <w:sz w:val="24"/>
              </w:rPr>
              <w:t>zty procedur) oraz częstsze korzystanie</w:t>
            </w:r>
            <w:r w:rsidR="00643F23">
              <w:rPr>
                <w:rFonts w:ascii="Times New Roman" w:hAnsi="Times New Roman"/>
                <w:noProof/>
                <w:sz w:val="24"/>
              </w:rPr>
              <w:t xml:space="preserve"> z pry</w:t>
            </w:r>
            <w:r>
              <w:rPr>
                <w:rFonts w:ascii="Times New Roman" w:hAnsi="Times New Roman"/>
                <w:noProof/>
                <w:sz w:val="24"/>
              </w:rPr>
              <w:t>watnych systemów internetowego rozstrzygania sporów (PODR) oferowanych przez internetowe platformy handlowe.</w:t>
            </w:r>
          </w:p>
          <w:p w14:paraId="58240031" w14:textId="77777777" w:rsidR="00AB297D" w:rsidRPr="00643F23" w:rsidRDefault="00AB297D" w:rsidP="00AB297D">
            <w:pPr>
              <w:jc w:val="both"/>
              <w:rPr>
                <w:rFonts w:ascii="Times New Roman" w:hAnsi="Times New Roman" w:cs="Times New Roman"/>
                <w:noProof/>
                <w:sz w:val="24"/>
                <w:szCs w:val="24"/>
              </w:rPr>
            </w:pPr>
          </w:p>
          <w:p w14:paraId="78283DA0" w14:textId="737E3DC1" w:rsidR="00AB297D" w:rsidRPr="00AB297D" w:rsidRDefault="00AB297D" w:rsidP="000F3D87">
            <w:pPr>
              <w:jc w:val="both"/>
              <w:rPr>
                <w:rFonts w:ascii="Times New Roman" w:hAnsi="Times New Roman" w:cs="Times New Roman"/>
                <w:noProof/>
                <w:sz w:val="24"/>
                <w:szCs w:val="24"/>
              </w:rPr>
            </w:pPr>
            <w:r>
              <w:rPr>
                <w:rFonts w:ascii="Times New Roman" w:hAnsi="Times New Roman"/>
                <w:b/>
                <w:noProof/>
                <w:sz w:val="24"/>
              </w:rPr>
              <w:t xml:space="preserve">Skutkiem </w:t>
            </w:r>
            <w:r>
              <w:rPr>
                <w:rFonts w:ascii="Times New Roman" w:hAnsi="Times New Roman"/>
                <w:noProof/>
                <w:sz w:val="24"/>
              </w:rPr>
              <w:t xml:space="preserve">tych problemów dla </w:t>
            </w:r>
            <w:r>
              <w:rPr>
                <w:rFonts w:ascii="Times New Roman" w:hAnsi="Times New Roman"/>
                <w:b/>
                <w:noProof/>
                <w:sz w:val="24"/>
              </w:rPr>
              <w:t>konsumentów</w:t>
            </w:r>
            <w:r>
              <w:rPr>
                <w:rFonts w:ascii="Times New Roman" w:hAnsi="Times New Roman"/>
                <w:noProof/>
                <w:sz w:val="24"/>
              </w:rPr>
              <w:t xml:space="preserve"> jest</w:t>
            </w:r>
            <w:r>
              <w:rPr>
                <w:noProof/>
              </w:rPr>
              <w:t xml:space="preserve"> </w:t>
            </w:r>
            <w:r>
              <w:rPr>
                <w:rFonts w:ascii="Times New Roman" w:hAnsi="Times New Roman"/>
                <w:noProof/>
                <w:sz w:val="24"/>
              </w:rPr>
              <w:t>szkoda</w:t>
            </w:r>
            <w:r w:rsidR="00643F23">
              <w:rPr>
                <w:rFonts w:ascii="Times New Roman" w:hAnsi="Times New Roman"/>
                <w:noProof/>
                <w:sz w:val="24"/>
              </w:rPr>
              <w:t xml:space="preserve"> o łąc</w:t>
            </w:r>
            <w:r>
              <w:rPr>
                <w:rFonts w:ascii="Times New Roman" w:hAnsi="Times New Roman"/>
                <w:noProof/>
                <w:sz w:val="24"/>
              </w:rPr>
              <w:t xml:space="preserve">znej wysokości 383 mln EUR rocznie. </w:t>
            </w:r>
          </w:p>
        </w:tc>
      </w:tr>
      <w:tr w:rsidR="00AB297D" w:rsidRPr="00AB297D" w14:paraId="3FA233FD" w14:textId="77777777" w:rsidTr="000A17AD">
        <w:trPr>
          <w:trHeight w:val="464"/>
        </w:trPr>
        <w:tc>
          <w:tcPr>
            <w:tcW w:w="9288" w:type="dxa"/>
            <w:shd w:val="clear" w:color="auto" w:fill="D9D9D9" w:themeFill="background1" w:themeFillShade="D9"/>
          </w:tcPr>
          <w:p w14:paraId="0367C94D" w14:textId="77777777" w:rsidR="00AB297D" w:rsidRPr="00AB297D" w:rsidRDefault="00AB297D" w:rsidP="00AB297D">
            <w:pPr>
              <w:jc w:val="both"/>
              <w:rPr>
                <w:rFonts w:ascii="Times New Roman" w:hAnsi="Times New Roman" w:cs="Times New Roman"/>
                <w:b/>
                <w:noProof/>
                <w:sz w:val="24"/>
                <w:szCs w:val="24"/>
              </w:rPr>
            </w:pPr>
            <w:r>
              <w:rPr>
                <w:rFonts w:ascii="Times New Roman" w:hAnsi="Times New Roman"/>
                <w:b/>
                <w:noProof/>
                <w:sz w:val="24"/>
              </w:rPr>
              <w:t>Jaki jest cel inicjatywy?</w:t>
            </w:r>
          </w:p>
        </w:tc>
      </w:tr>
      <w:tr w:rsidR="00AB297D" w:rsidRPr="00AB297D" w14:paraId="2D26755F" w14:textId="77777777" w:rsidTr="00D54C18">
        <w:trPr>
          <w:trHeight w:val="2395"/>
        </w:trPr>
        <w:tc>
          <w:tcPr>
            <w:tcW w:w="9288" w:type="dxa"/>
          </w:tcPr>
          <w:p w14:paraId="4CB14069" w14:textId="4E37678B" w:rsidR="00AB297D" w:rsidRDefault="00AB297D" w:rsidP="00AB297D">
            <w:pPr>
              <w:jc w:val="both"/>
              <w:rPr>
                <w:rFonts w:ascii="Times New Roman" w:hAnsi="Times New Roman" w:cs="Times New Roman"/>
                <w:noProof/>
                <w:sz w:val="24"/>
                <w:szCs w:val="24"/>
              </w:rPr>
            </w:pPr>
            <w:r>
              <w:rPr>
                <w:rFonts w:ascii="Times New Roman" w:hAnsi="Times New Roman"/>
                <w:b/>
                <w:noProof/>
                <w:sz w:val="24"/>
              </w:rPr>
              <w:t>Ogólnym</w:t>
            </w:r>
            <w:r>
              <w:rPr>
                <w:rFonts w:ascii="Times New Roman" w:hAnsi="Times New Roman"/>
                <w:noProof/>
                <w:sz w:val="24"/>
              </w:rPr>
              <w:t xml:space="preserve"> celem interwencji jest zapewnienie właściwego funkcjonowania jednolitego rynku</w:t>
            </w:r>
            <w:r w:rsidR="00643F23">
              <w:rPr>
                <w:rFonts w:ascii="Times New Roman" w:hAnsi="Times New Roman"/>
                <w:noProof/>
                <w:sz w:val="24"/>
              </w:rPr>
              <w:t xml:space="preserve"> i osi</w:t>
            </w:r>
            <w:r>
              <w:rPr>
                <w:rFonts w:ascii="Times New Roman" w:hAnsi="Times New Roman"/>
                <w:noProof/>
                <w:sz w:val="24"/>
              </w:rPr>
              <w:t>ągnięcie wysokiego poziomu ochrony konsumentów przez umożliwienie konsumentom</w:t>
            </w:r>
            <w:r w:rsidR="00643F23">
              <w:rPr>
                <w:rFonts w:ascii="Times New Roman" w:hAnsi="Times New Roman"/>
                <w:noProof/>
                <w:sz w:val="24"/>
              </w:rPr>
              <w:t xml:space="preserve"> i prz</w:t>
            </w:r>
            <w:r>
              <w:rPr>
                <w:rFonts w:ascii="Times New Roman" w:hAnsi="Times New Roman"/>
                <w:noProof/>
                <w:sz w:val="24"/>
              </w:rPr>
              <w:t>edsiębiorcom skutecznego</w:t>
            </w:r>
            <w:r w:rsidR="00643F23">
              <w:rPr>
                <w:rFonts w:ascii="Times New Roman" w:hAnsi="Times New Roman"/>
                <w:noProof/>
                <w:sz w:val="24"/>
              </w:rPr>
              <w:t xml:space="preserve"> i efe</w:t>
            </w:r>
            <w:r>
              <w:rPr>
                <w:rFonts w:ascii="Times New Roman" w:hAnsi="Times New Roman"/>
                <w:noProof/>
                <w:sz w:val="24"/>
              </w:rPr>
              <w:t>ktywnego rozstrzygania sporów, niezależnie od kraju ich zamieszkania lub siedziby.</w:t>
            </w:r>
          </w:p>
          <w:p w14:paraId="4700CB45" w14:textId="77777777" w:rsidR="00D54C18" w:rsidRPr="00AB297D" w:rsidRDefault="00D54C18" w:rsidP="00AB297D">
            <w:pPr>
              <w:jc w:val="both"/>
              <w:rPr>
                <w:rFonts w:ascii="Times New Roman" w:hAnsi="Times New Roman" w:cs="Times New Roman"/>
                <w:noProof/>
                <w:sz w:val="24"/>
                <w:szCs w:val="24"/>
              </w:rPr>
            </w:pPr>
          </w:p>
          <w:p w14:paraId="0482E8B7" w14:textId="2E75B6BB" w:rsidR="00AB297D" w:rsidRPr="00AB297D" w:rsidRDefault="00AB297D" w:rsidP="003C2C35">
            <w:pPr>
              <w:jc w:val="both"/>
              <w:rPr>
                <w:rFonts w:ascii="Times New Roman" w:hAnsi="Times New Roman" w:cs="Times New Roman"/>
                <w:noProof/>
                <w:sz w:val="24"/>
                <w:szCs w:val="24"/>
              </w:rPr>
            </w:pPr>
            <w:r>
              <w:rPr>
                <w:rFonts w:ascii="Times New Roman" w:hAnsi="Times New Roman"/>
                <w:noProof/>
                <w:sz w:val="24"/>
              </w:rPr>
              <w:t xml:space="preserve">Inicjatywa ma następujące </w:t>
            </w:r>
            <w:r>
              <w:rPr>
                <w:rFonts w:ascii="Times New Roman" w:hAnsi="Times New Roman"/>
                <w:b/>
                <w:noProof/>
                <w:sz w:val="24"/>
              </w:rPr>
              <w:t>trzy cele szczegółowe</w:t>
            </w:r>
            <w:r>
              <w:rPr>
                <w:rFonts w:ascii="Times New Roman" w:hAnsi="Times New Roman"/>
                <w:noProof/>
                <w:sz w:val="24"/>
              </w:rPr>
              <w:t>: 1) dostosowanie ADR do potrzeb rynków cyfrowych; 2)</w:t>
            </w:r>
            <w:r>
              <w:rPr>
                <w:noProof/>
              </w:rPr>
              <w:t xml:space="preserve"> </w:t>
            </w:r>
            <w:r>
              <w:rPr>
                <w:rFonts w:ascii="Times New Roman" w:hAnsi="Times New Roman"/>
                <w:noProof/>
                <w:sz w:val="24"/>
              </w:rPr>
              <w:t>zwiększenie udziału konsumentów</w:t>
            </w:r>
            <w:r w:rsidR="00643F23">
              <w:rPr>
                <w:rFonts w:ascii="Times New Roman" w:hAnsi="Times New Roman"/>
                <w:noProof/>
                <w:sz w:val="24"/>
              </w:rPr>
              <w:t xml:space="preserve"> i prz</w:t>
            </w:r>
            <w:r>
              <w:rPr>
                <w:rFonts w:ascii="Times New Roman" w:hAnsi="Times New Roman"/>
                <w:noProof/>
                <w:sz w:val="24"/>
              </w:rPr>
              <w:t>edsiębiorców</w:t>
            </w:r>
            <w:r w:rsidR="00643F23">
              <w:rPr>
                <w:rFonts w:ascii="Times New Roman" w:hAnsi="Times New Roman"/>
                <w:noProof/>
                <w:sz w:val="24"/>
              </w:rPr>
              <w:t xml:space="preserve"> w pos</w:t>
            </w:r>
            <w:r>
              <w:rPr>
                <w:rFonts w:ascii="Times New Roman" w:hAnsi="Times New Roman"/>
                <w:noProof/>
                <w:sz w:val="24"/>
              </w:rPr>
              <w:t>tępowaniach ADR; 3) poprawa stosowania ADR</w:t>
            </w:r>
            <w:r w:rsidR="00643F23">
              <w:rPr>
                <w:rFonts w:ascii="Times New Roman" w:hAnsi="Times New Roman"/>
                <w:noProof/>
                <w:sz w:val="24"/>
              </w:rPr>
              <w:t xml:space="preserve"> w spr</w:t>
            </w:r>
            <w:r>
              <w:rPr>
                <w:rFonts w:ascii="Times New Roman" w:hAnsi="Times New Roman"/>
                <w:noProof/>
                <w:sz w:val="24"/>
              </w:rPr>
              <w:t>awach transgranicznych.</w:t>
            </w:r>
          </w:p>
        </w:tc>
      </w:tr>
      <w:tr w:rsidR="00AB297D" w:rsidRPr="00AB297D" w14:paraId="17C317AB" w14:textId="77777777" w:rsidTr="000A17AD">
        <w:trPr>
          <w:trHeight w:val="478"/>
        </w:trPr>
        <w:tc>
          <w:tcPr>
            <w:tcW w:w="9288" w:type="dxa"/>
            <w:shd w:val="clear" w:color="auto" w:fill="D9D9D9" w:themeFill="background1" w:themeFillShade="D9"/>
          </w:tcPr>
          <w:p w14:paraId="37717C87" w14:textId="77777777" w:rsidR="00AB297D" w:rsidRPr="00AB297D" w:rsidRDefault="00AB297D" w:rsidP="00AB297D">
            <w:pPr>
              <w:jc w:val="both"/>
              <w:rPr>
                <w:rFonts w:ascii="Times New Roman" w:hAnsi="Times New Roman" w:cs="Times New Roman"/>
                <w:b/>
                <w:noProof/>
                <w:sz w:val="24"/>
                <w:szCs w:val="24"/>
              </w:rPr>
            </w:pPr>
            <w:r>
              <w:rPr>
                <w:rFonts w:ascii="Times New Roman" w:hAnsi="Times New Roman"/>
                <w:b/>
                <w:noProof/>
                <w:sz w:val="24"/>
              </w:rPr>
              <w:t>Na czym polega wartość dodana podjęcia działań na poziomie UE? (pomocniczość)</w:t>
            </w:r>
          </w:p>
        </w:tc>
      </w:tr>
      <w:tr w:rsidR="00AB297D" w:rsidRPr="00AB297D" w14:paraId="041957C6" w14:textId="77777777" w:rsidTr="000A17AD">
        <w:trPr>
          <w:trHeight w:val="2061"/>
        </w:trPr>
        <w:tc>
          <w:tcPr>
            <w:tcW w:w="9288" w:type="dxa"/>
          </w:tcPr>
          <w:p w14:paraId="326FBFAE" w14:textId="323AEE94" w:rsidR="00AB297D" w:rsidRPr="00AB297D" w:rsidRDefault="00AB297D" w:rsidP="00AB297D">
            <w:pPr>
              <w:jc w:val="both"/>
              <w:rPr>
                <w:rFonts w:ascii="Times New Roman" w:hAnsi="Times New Roman" w:cs="Times New Roman"/>
                <w:noProof/>
                <w:sz w:val="24"/>
                <w:szCs w:val="24"/>
              </w:rPr>
            </w:pPr>
            <w:r>
              <w:rPr>
                <w:rFonts w:ascii="Times New Roman" w:hAnsi="Times New Roman"/>
                <w:noProof/>
                <w:sz w:val="24"/>
              </w:rPr>
              <w:t>Szybki rozwój rynków cyfrowych</w:t>
            </w:r>
            <w:r w:rsidR="00643F23">
              <w:rPr>
                <w:rFonts w:ascii="Times New Roman" w:hAnsi="Times New Roman"/>
                <w:noProof/>
                <w:sz w:val="24"/>
              </w:rPr>
              <w:t xml:space="preserve"> w poł</w:t>
            </w:r>
            <w:r>
              <w:rPr>
                <w:rFonts w:ascii="Times New Roman" w:hAnsi="Times New Roman"/>
                <w:noProof/>
                <w:sz w:val="24"/>
              </w:rPr>
              <w:t>ączeniu</w:t>
            </w:r>
            <w:r w:rsidR="00643F23">
              <w:rPr>
                <w:rFonts w:ascii="Times New Roman" w:hAnsi="Times New Roman"/>
                <w:noProof/>
                <w:sz w:val="24"/>
              </w:rPr>
              <w:t xml:space="preserve"> z roz</w:t>
            </w:r>
            <w:r>
              <w:rPr>
                <w:rFonts w:ascii="Times New Roman" w:hAnsi="Times New Roman"/>
                <w:noProof/>
                <w:sz w:val="24"/>
              </w:rPr>
              <w:t>wojem nowych modeli biznesowych</w:t>
            </w:r>
            <w:r w:rsidR="00643F23">
              <w:rPr>
                <w:rFonts w:ascii="Times New Roman" w:hAnsi="Times New Roman"/>
                <w:noProof/>
                <w:sz w:val="24"/>
              </w:rPr>
              <w:t xml:space="preserve"> i pra</w:t>
            </w:r>
            <w:r>
              <w:rPr>
                <w:rFonts w:ascii="Times New Roman" w:hAnsi="Times New Roman"/>
                <w:noProof/>
                <w:sz w:val="24"/>
              </w:rPr>
              <w:t>ktyk handlowych stwarza nowe wyzwania dla konsumentów dokonujących zakupów przez internet. Ze względu na ponadgraniczny charakter technologii cyfrowych pojawianie się nowych rodzajów zagrożeń dotyczy konsumentów w UE niezależnie od ich kraju zamieszkania</w:t>
            </w:r>
            <w:r w:rsidR="00643F23">
              <w:rPr>
                <w:rFonts w:ascii="Times New Roman" w:hAnsi="Times New Roman"/>
                <w:noProof/>
                <w:sz w:val="24"/>
              </w:rPr>
              <w:t xml:space="preserve"> i wym</w:t>
            </w:r>
            <w:r>
              <w:rPr>
                <w:rFonts w:ascii="Times New Roman" w:hAnsi="Times New Roman"/>
                <w:noProof/>
                <w:sz w:val="24"/>
              </w:rPr>
              <w:t>aga szybkiej, spójnej</w:t>
            </w:r>
            <w:r w:rsidR="00643F23">
              <w:rPr>
                <w:rFonts w:ascii="Times New Roman" w:hAnsi="Times New Roman"/>
                <w:noProof/>
                <w:sz w:val="24"/>
              </w:rPr>
              <w:t xml:space="preserve"> i sku</w:t>
            </w:r>
            <w:r>
              <w:rPr>
                <w:rFonts w:ascii="Times New Roman" w:hAnsi="Times New Roman"/>
                <w:noProof/>
                <w:sz w:val="24"/>
              </w:rPr>
              <w:t>tecznej reakcji organów publicznych, których działania powinny być ograniczone granicami ich jurysdykcji.</w:t>
            </w:r>
            <w:r>
              <w:rPr>
                <w:noProof/>
              </w:rPr>
              <w:t xml:space="preserve"> </w:t>
            </w:r>
            <w:r>
              <w:rPr>
                <w:rFonts w:ascii="Times New Roman" w:hAnsi="Times New Roman"/>
                <w:noProof/>
                <w:sz w:val="24"/>
              </w:rPr>
              <w:t>Bez działań na poziomie UE interwencje krajowe prawdopodobnie doprowadzą do powstania luk</w:t>
            </w:r>
            <w:r w:rsidR="00643F23">
              <w:rPr>
                <w:rFonts w:ascii="Times New Roman" w:hAnsi="Times New Roman"/>
                <w:noProof/>
                <w:sz w:val="24"/>
              </w:rPr>
              <w:t xml:space="preserve"> w egz</w:t>
            </w:r>
            <w:r>
              <w:rPr>
                <w:rFonts w:ascii="Times New Roman" w:hAnsi="Times New Roman"/>
                <w:noProof/>
                <w:sz w:val="24"/>
              </w:rPr>
              <w:t>ekwowaniu przepisów</w:t>
            </w:r>
            <w:r w:rsidR="00643F23">
              <w:rPr>
                <w:rFonts w:ascii="Times New Roman" w:hAnsi="Times New Roman"/>
                <w:noProof/>
                <w:sz w:val="24"/>
              </w:rPr>
              <w:t xml:space="preserve"> i zak</w:t>
            </w:r>
            <w:r>
              <w:rPr>
                <w:rFonts w:ascii="Times New Roman" w:hAnsi="Times New Roman"/>
                <w:noProof/>
                <w:sz w:val="24"/>
              </w:rPr>
              <w:t>łóceń na jednolitym rynku.</w:t>
            </w:r>
          </w:p>
        </w:tc>
      </w:tr>
      <w:tr w:rsidR="00AB297D" w:rsidRPr="00AB297D" w14:paraId="16D59AD2" w14:textId="77777777" w:rsidTr="000A17AD">
        <w:trPr>
          <w:trHeight w:val="388"/>
        </w:trPr>
        <w:tc>
          <w:tcPr>
            <w:tcW w:w="9288" w:type="dxa"/>
            <w:shd w:val="clear" w:color="auto" w:fill="BFBFBF" w:themeFill="background1" w:themeFillShade="BF"/>
          </w:tcPr>
          <w:p w14:paraId="5B48E713" w14:textId="77777777" w:rsidR="00AB297D" w:rsidRPr="00AB297D" w:rsidRDefault="00AB297D" w:rsidP="00AB297D">
            <w:pPr>
              <w:numPr>
                <w:ilvl w:val="0"/>
                <w:numId w:val="1"/>
              </w:numPr>
              <w:contextualSpacing/>
              <w:rPr>
                <w:rFonts w:ascii="Times New Roman" w:hAnsi="Times New Roman" w:cs="Times New Roman"/>
                <w:b/>
                <w:noProof/>
                <w:sz w:val="24"/>
                <w:szCs w:val="24"/>
              </w:rPr>
            </w:pPr>
            <w:r>
              <w:rPr>
                <w:rFonts w:ascii="Times New Roman" w:hAnsi="Times New Roman"/>
                <w:b/>
                <w:noProof/>
                <w:sz w:val="24"/>
              </w:rPr>
              <w:t>Warianty strategiczne</w:t>
            </w:r>
          </w:p>
        </w:tc>
      </w:tr>
      <w:tr w:rsidR="00AB297D" w:rsidRPr="00AB297D" w14:paraId="130A8B52" w14:textId="77777777" w:rsidTr="000A17AD">
        <w:trPr>
          <w:trHeight w:val="691"/>
        </w:trPr>
        <w:tc>
          <w:tcPr>
            <w:tcW w:w="9288" w:type="dxa"/>
            <w:shd w:val="clear" w:color="auto" w:fill="D9D9D9" w:themeFill="background1" w:themeFillShade="D9"/>
          </w:tcPr>
          <w:p w14:paraId="1BA138BE" w14:textId="77777777" w:rsidR="00AB297D" w:rsidRPr="00AB297D" w:rsidRDefault="00AB297D" w:rsidP="00AB297D">
            <w:pPr>
              <w:rPr>
                <w:rFonts w:ascii="Times New Roman" w:hAnsi="Times New Roman" w:cs="Times New Roman"/>
                <w:b/>
                <w:noProof/>
                <w:sz w:val="24"/>
                <w:szCs w:val="24"/>
              </w:rPr>
            </w:pPr>
            <w:r>
              <w:rPr>
                <w:rFonts w:ascii="Times New Roman" w:hAnsi="Times New Roman"/>
                <w:b/>
                <w:noProof/>
                <w:sz w:val="24"/>
              </w:rPr>
              <w:t>Jakie są różne warianty działań służących osiągnięciu celów? Czy wskazano preferowany wariant? Jeżeli nie, dlaczego?</w:t>
            </w:r>
          </w:p>
        </w:tc>
      </w:tr>
      <w:tr w:rsidR="00AB297D" w:rsidRPr="00AB297D" w14:paraId="02C067FF" w14:textId="77777777" w:rsidTr="00610914">
        <w:trPr>
          <w:trHeight w:val="4243"/>
        </w:trPr>
        <w:tc>
          <w:tcPr>
            <w:tcW w:w="9288" w:type="dxa"/>
          </w:tcPr>
          <w:p w14:paraId="168F8868" w14:textId="72975720" w:rsidR="00052B5D" w:rsidRDefault="00052B5D" w:rsidP="00052B5D">
            <w:pPr>
              <w:jc w:val="both"/>
              <w:rPr>
                <w:rFonts w:ascii="Times New Roman" w:hAnsi="Times New Roman" w:cs="Times New Roman"/>
                <w:noProof/>
                <w:sz w:val="24"/>
                <w:szCs w:val="24"/>
              </w:rPr>
            </w:pPr>
            <w:r>
              <w:rPr>
                <w:rFonts w:ascii="Times New Roman" w:hAnsi="Times New Roman"/>
                <w:noProof/>
                <w:sz w:val="24"/>
              </w:rPr>
              <w:t xml:space="preserve">Aby wywrzeć znaczące skutki, środki podzielono spójnie na </w:t>
            </w:r>
            <w:r>
              <w:rPr>
                <w:rFonts w:ascii="Times New Roman" w:hAnsi="Times New Roman"/>
                <w:b/>
                <w:noProof/>
                <w:sz w:val="24"/>
              </w:rPr>
              <w:t>cztery alternatywne warianty strategiczne</w:t>
            </w:r>
            <w:r>
              <w:rPr>
                <w:rFonts w:ascii="Times New Roman" w:hAnsi="Times New Roman"/>
                <w:noProof/>
                <w:sz w:val="24"/>
              </w:rPr>
              <w:t>, różniące się od siebie charakterem</w:t>
            </w:r>
            <w:r w:rsidR="00643F23">
              <w:rPr>
                <w:rFonts w:ascii="Times New Roman" w:hAnsi="Times New Roman"/>
                <w:noProof/>
                <w:sz w:val="24"/>
              </w:rPr>
              <w:t xml:space="preserve"> i int</w:t>
            </w:r>
            <w:r>
              <w:rPr>
                <w:rFonts w:ascii="Times New Roman" w:hAnsi="Times New Roman"/>
                <w:noProof/>
                <w:sz w:val="24"/>
              </w:rPr>
              <w:t>ensywnością interwencji: A) interwencja pozaregulacyjna; B) zmiany zakresu proceduralnego</w:t>
            </w:r>
            <w:r w:rsidR="00643F23">
              <w:rPr>
                <w:rFonts w:ascii="Times New Roman" w:hAnsi="Times New Roman"/>
                <w:noProof/>
                <w:sz w:val="24"/>
              </w:rPr>
              <w:t xml:space="preserve"> i geo</w:t>
            </w:r>
            <w:r>
              <w:rPr>
                <w:rFonts w:ascii="Times New Roman" w:hAnsi="Times New Roman"/>
                <w:noProof/>
                <w:sz w:val="24"/>
              </w:rPr>
              <w:t>graficznego; C) zmiany zakresu przedmiotowego</w:t>
            </w:r>
            <w:r w:rsidR="00643F23">
              <w:rPr>
                <w:rFonts w:ascii="Times New Roman" w:hAnsi="Times New Roman"/>
                <w:noProof/>
                <w:sz w:val="24"/>
              </w:rPr>
              <w:t xml:space="preserve"> i wpr</w:t>
            </w:r>
            <w:r>
              <w:rPr>
                <w:rFonts w:ascii="Times New Roman" w:hAnsi="Times New Roman"/>
                <w:noProof/>
                <w:sz w:val="24"/>
              </w:rPr>
              <w:t>owadzenie pewnych dodatkowych obowiązków dla przedsiębiorców (wariant preferowany); D) zmiany strukturalne</w:t>
            </w:r>
            <w:r w:rsidR="00643F23">
              <w:rPr>
                <w:rFonts w:ascii="Times New Roman" w:hAnsi="Times New Roman"/>
                <w:noProof/>
                <w:sz w:val="24"/>
              </w:rPr>
              <w:t xml:space="preserve"> i zwi</w:t>
            </w:r>
            <w:r>
              <w:rPr>
                <w:rFonts w:ascii="Times New Roman" w:hAnsi="Times New Roman"/>
                <w:noProof/>
                <w:sz w:val="24"/>
              </w:rPr>
              <w:t>ększenie poziomu harmonizacji.</w:t>
            </w:r>
          </w:p>
          <w:p w14:paraId="1B70B96D" w14:textId="4BF1A500" w:rsidR="00610914" w:rsidRDefault="00610914" w:rsidP="00052B5D">
            <w:pPr>
              <w:jc w:val="both"/>
              <w:rPr>
                <w:rFonts w:ascii="Times New Roman" w:hAnsi="Times New Roman" w:cs="Times New Roman"/>
                <w:noProof/>
                <w:sz w:val="24"/>
                <w:szCs w:val="24"/>
              </w:rPr>
            </w:pPr>
            <w:r>
              <w:rPr>
                <w:rFonts w:ascii="Times New Roman" w:hAnsi="Times New Roman"/>
                <w:noProof/>
                <w:sz w:val="24"/>
              </w:rPr>
              <w:t>Środki zaproponowane</w:t>
            </w:r>
            <w:r w:rsidR="00643F23">
              <w:rPr>
                <w:rFonts w:ascii="Times New Roman" w:hAnsi="Times New Roman"/>
                <w:noProof/>
                <w:sz w:val="24"/>
              </w:rPr>
              <w:t xml:space="preserve"> w ram</w:t>
            </w:r>
            <w:r>
              <w:rPr>
                <w:rFonts w:ascii="Times New Roman" w:hAnsi="Times New Roman"/>
                <w:noProof/>
                <w:sz w:val="24"/>
              </w:rPr>
              <w:t>ach preferowanego wariantu to: rozszerzenie zakresu geograficznego</w:t>
            </w:r>
            <w:r w:rsidR="00643F23">
              <w:rPr>
                <w:rFonts w:ascii="Times New Roman" w:hAnsi="Times New Roman"/>
                <w:noProof/>
                <w:sz w:val="24"/>
              </w:rPr>
              <w:t xml:space="preserve"> i prz</w:t>
            </w:r>
            <w:r>
              <w:rPr>
                <w:rFonts w:ascii="Times New Roman" w:hAnsi="Times New Roman"/>
                <w:noProof/>
                <w:sz w:val="24"/>
              </w:rPr>
              <w:t>edmiotowego dyrektywy ADR na wszelkie spory między przedsiębiorcą</w:t>
            </w:r>
            <w:r w:rsidR="00643F23">
              <w:rPr>
                <w:rFonts w:ascii="Times New Roman" w:hAnsi="Times New Roman"/>
                <w:noProof/>
                <w:sz w:val="24"/>
              </w:rPr>
              <w:t xml:space="preserve"> a kon</w:t>
            </w:r>
            <w:r>
              <w:rPr>
                <w:rFonts w:ascii="Times New Roman" w:hAnsi="Times New Roman"/>
                <w:noProof/>
                <w:sz w:val="24"/>
              </w:rPr>
              <w:t>sumentem związane</w:t>
            </w:r>
            <w:r w:rsidR="00643F23">
              <w:rPr>
                <w:rFonts w:ascii="Times New Roman" w:hAnsi="Times New Roman"/>
                <w:noProof/>
                <w:sz w:val="24"/>
              </w:rPr>
              <w:t xml:space="preserve"> z nar</w:t>
            </w:r>
            <w:r>
              <w:rPr>
                <w:rFonts w:ascii="Times New Roman" w:hAnsi="Times New Roman"/>
                <w:noProof/>
                <w:sz w:val="24"/>
              </w:rPr>
              <w:t>uszeniem unijnych przepisów dotyczących ochrony konsumentów; wymóg, aby internetowe platformy handlowe świadczące usługi PODR złożyły stosowne oświadczenie potwierdzające, że spełniają one normy jakości, których spełnienia konsumenci oczekują od certyfikowanych podmiotów ADR; zastąpienie europejskiej platformy ODR nowymi, efektywnymi kosztowo narzędziami wskazywania konsumentom właściwej ścieżki postępowania; wprowadzenie obowiązku udzielenia odpowiedzi przez przedsiębiorców, którzy otrzymują od podmiotu ADR powiadomienie</w:t>
            </w:r>
            <w:r w:rsidR="00643F23">
              <w:rPr>
                <w:rFonts w:ascii="Times New Roman" w:hAnsi="Times New Roman"/>
                <w:noProof/>
                <w:sz w:val="24"/>
              </w:rPr>
              <w:t xml:space="preserve"> o now</w:t>
            </w:r>
            <w:r>
              <w:rPr>
                <w:rFonts w:ascii="Times New Roman" w:hAnsi="Times New Roman"/>
                <w:noProof/>
                <w:sz w:val="24"/>
              </w:rPr>
              <w:t>ym sporze konsumenckim; zachęcanie do łączenia spraw,</w:t>
            </w:r>
            <w:r w:rsidR="00643F23">
              <w:rPr>
                <w:rFonts w:ascii="Times New Roman" w:hAnsi="Times New Roman"/>
                <w:noProof/>
                <w:sz w:val="24"/>
              </w:rPr>
              <w:t xml:space="preserve"> w prz</w:t>
            </w:r>
            <w:r>
              <w:rPr>
                <w:rFonts w:ascii="Times New Roman" w:hAnsi="Times New Roman"/>
                <w:noProof/>
                <w:sz w:val="24"/>
              </w:rPr>
              <w:t>ypadku gdy podmiot ADR otrzymuje do rozpatrzenia podobne sprawy; przyznanie centrom ECC nowej roli polegającej na świadczeniu specjalistycznych usług wsparcia ADR</w:t>
            </w:r>
            <w:r w:rsidR="00643F23">
              <w:rPr>
                <w:rFonts w:ascii="Times New Roman" w:hAnsi="Times New Roman"/>
                <w:noProof/>
                <w:sz w:val="24"/>
              </w:rPr>
              <w:t xml:space="preserve"> w ska</w:t>
            </w:r>
            <w:r>
              <w:rPr>
                <w:rFonts w:ascii="Times New Roman" w:hAnsi="Times New Roman"/>
                <w:noProof/>
                <w:sz w:val="24"/>
              </w:rPr>
              <w:t>rgach transgranicznych oraz stworzenie mechanizmu,</w:t>
            </w:r>
            <w:r w:rsidR="00643F23">
              <w:rPr>
                <w:rFonts w:ascii="Times New Roman" w:hAnsi="Times New Roman"/>
                <w:noProof/>
                <w:sz w:val="24"/>
              </w:rPr>
              <w:t xml:space="preserve"> w ram</w:t>
            </w:r>
            <w:r>
              <w:rPr>
                <w:rFonts w:ascii="Times New Roman" w:hAnsi="Times New Roman"/>
                <w:noProof/>
                <w:sz w:val="24"/>
              </w:rPr>
              <w:t>ach którego stowarzyszenia branżowe, po przedłożeniu stosownego oświadczenia, będą upoważnione do tworzenia transgranicznych systemów rozstrzygania sporów.</w:t>
            </w:r>
          </w:p>
          <w:p w14:paraId="4E86548D" w14:textId="77777777" w:rsidR="00B23B73" w:rsidRDefault="00B23B73" w:rsidP="00052B5D">
            <w:pPr>
              <w:jc w:val="both"/>
              <w:rPr>
                <w:rFonts w:ascii="Times New Roman" w:hAnsi="Times New Roman" w:cs="Times New Roman"/>
                <w:noProof/>
                <w:sz w:val="24"/>
                <w:szCs w:val="24"/>
              </w:rPr>
            </w:pPr>
          </w:p>
          <w:p w14:paraId="126689C8" w14:textId="77777777" w:rsidR="00B23B73" w:rsidRPr="00AB297D" w:rsidRDefault="00B23B73" w:rsidP="00052B5D">
            <w:pPr>
              <w:jc w:val="both"/>
              <w:rPr>
                <w:rFonts w:ascii="Times New Roman" w:hAnsi="Times New Roman" w:cs="Times New Roman"/>
                <w:noProof/>
                <w:sz w:val="24"/>
                <w:szCs w:val="24"/>
              </w:rPr>
            </w:pPr>
          </w:p>
        </w:tc>
      </w:tr>
      <w:tr w:rsidR="00AB297D" w:rsidRPr="00AB297D" w14:paraId="174303EA" w14:textId="77777777" w:rsidTr="00052B5D">
        <w:trPr>
          <w:trHeight w:val="410"/>
        </w:trPr>
        <w:tc>
          <w:tcPr>
            <w:tcW w:w="9288" w:type="dxa"/>
            <w:shd w:val="clear" w:color="auto" w:fill="D9D9D9" w:themeFill="background1" w:themeFillShade="D9"/>
          </w:tcPr>
          <w:p w14:paraId="2A6246CE" w14:textId="77777777" w:rsidR="00AB297D" w:rsidRPr="00AB297D" w:rsidRDefault="00AB297D" w:rsidP="00AB297D">
            <w:pPr>
              <w:jc w:val="both"/>
              <w:rPr>
                <w:rFonts w:ascii="Times New Roman" w:hAnsi="Times New Roman" w:cs="Times New Roman"/>
                <w:b/>
                <w:noProof/>
                <w:sz w:val="24"/>
                <w:szCs w:val="24"/>
              </w:rPr>
            </w:pPr>
            <w:r>
              <w:rPr>
                <w:rFonts w:ascii="Times New Roman" w:hAnsi="Times New Roman"/>
                <w:b/>
                <w:noProof/>
                <w:sz w:val="24"/>
              </w:rPr>
              <w:t>Jakie są opinie poszczególnych zainteresowanych stron? Jak kształtuje się poparcie dla poszczególnych wariantów?</w:t>
            </w:r>
          </w:p>
        </w:tc>
      </w:tr>
      <w:tr w:rsidR="00AB297D" w:rsidRPr="00AB297D" w14:paraId="542118F0" w14:textId="77777777" w:rsidTr="00432BB8">
        <w:trPr>
          <w:trHeight w:val="416"/>
        </w:trPr>
        <w:tc>
          <w:tcPr>
            <w:tcW w:w="9288" w:type="dxa"/>
          </w:tcPr>
          <w:p w14:paraId="00F9DF89" w14:textId="0FE0D162" w:rsidR="00432BB8" w:rsidRDefault="00432BB8" w:rsidP="00432BB8">
            <w:pPr>
              <w:pStyle w:val="paragraph"/>
              <w:spacing w:before="0" w:beforeAutospacing="0" w:after="0" w:afterAutospacing="0"/>
              <w:jc w:val="both"/>
              <w:textAlignment w:val="baseline"/>
              <w:rPr>
                <w:noProof/>
              </w:rPr>
            </w:pPr>
            <w:r>
              <w:rPr>
                <w:rStyle w:val="normaltextrun"/>
                <w:noProof/>
              </w:rPr>
              <w:t>Ogólnie rzecz biorąc, zainteresowane strony opowiadają się za wzmocnieniem unijnych ram ADR</w:t>
            </w:r>
            <w:r w:rsidR="00643F23">
              <w:rPr>
                <w:rStyle w:val="normaltextrun"/>
                <w:noProof/>
              </w:rPr>
              <w:t xml:space="preserve"> i dos</w:t>
            </w:r>
            <w:r>
              <w:rPr>
                <w:rStyle w:val="normaltextrun"/>
                <w:noProof/>
              </w:rPr>
              <w:t>tosowaniem ich do rynków cyfrowych,</w:t>
            </w:r>
            <w:r w:rsidR="00643F23">
              <w:rPr>
                <w:rStyle w:val="normaltextrun"/>
                <w:noProof/>
              </w:rPr>
              <w:t xml:space="preserve"> w szc</w:t>
            </w:r>
            <w:r>
              <w:rPr>
                <w:rStyle w:val="normaltextrun"/>
                <w:noProof/>
              </w:rPr>
              <w:t>zególności przez:</w:t>
            </w:r>
            <w:r>
              <w:rPr>
                <w:rStyle w:val="eop"/>
                <w:noProof/>
              </w:rPr>
              <w:t> </w:t>
            </w:r>
          </w:p>
          <w:p w14:paraId="0D012EBD" w14:textId="77777777" w:rsidR="00432BB8" w:rsidRDefault="00432BB8" w:rsidP="00432BB8">
            <w:pPr>
              <w:pStyle w:val="paragraph"/>
              <w:spacing w:before="0" w:beforeAutospacing="0" w:after="0" w:afterAutospacing="0"/>
              <w:jc w:val="both"/>
              <w:textAlignment w:val="baseline"/>
              <w:rPr>
                <w:noProof/>
              </w:rPr>
            </w:pPr>
            <w:r>
              <w:rPr>
                <w:rStyle w:val="eop"/>
                <w:noProof/>
              </w:rPr>
              <w:t> </w:t>
            </w:r>
          </w:p>
          <w:p w14:paraId="016AC356" w14:textId="77C326E4" w:rsidR="00432BB8" w:rsidRPr="003F2C4B" w:rsidRDefault="00432BB8" w:rsidP="00432BB8">
            <w:pPr>
              <w:pStyle w:val="paragraph"/>
              <w:numPr>
                <w:ilvl w:val="0"/>
                <w:numId w:val="2"/>
              </w:numPr>
              <w:spacing w:before="0" w:beforeAutospacing="0" w:after="0" w:afterAutospacing="0"/>
              <w:ind w:left="360" w:firstLine="0"/>
              <w:jc w:val="both"/>
              <w:textAlignment w:val="baseline"/>
              <w:rPr>
                <w:noProof/>
              </w:rPr>
            </w:pPr>
            <w:r>
              <w:rPr>
                <w:rStyle w:val="normaltextrun"/>
                <w:noProof/>
              </w:rPr>
              <w:t>rozszerzenie zakresu geograficznego</w:t>
            </w:r>
            <w:r w:rsidR="00643F23">
              <w:rPr>
                <w:rStyle w:val="normaltextrun"/>
                <w:noProof/>
              </w:rPr>
              <w:t xml:space="preserve"> i prz</w:t>
            </w:r>
            <w:r>
              <w:rPr>
                <w:rStyle w:val="normaltextrun"/>
                <w:noProof/>
              </w:rPr>
              <w:t>edmiotowego dyrektywy ADR;</w:t>
            </w:r>
            <w:r>
              <w:rPr>
                <w:rStyle w:val="eop"/>
                <w:noProof/>
              </w:rPr>
              <w:t> </w:t>
            </w:r>
          </w:p>
          <w:p w14:paraId="77D45B78" w14:textId="77777777" w:rsidR="00432BB8" w:rsidRPr="003F2C4B" w:rsidRDefault="00432BB8" w:rsidP="00432BB8">
            <w:pPr>
              <w:pStyle w:val="paragraph"/>
              <w:numPr>
                <w:ilvl w:val="0"/>
                <w:numId w:val="2"/>
              </w:numPr>
              <w:spacing w:before="0" w:beforeAutospacing="0" w:after="0" w:afterAutospacing="0"/>
              <w:ind w:left="360" w:firstLine="0"/>
              <w:jc w:val="both"/>
              <w:textAlignment w:val="baseline"/>
              <w:rPr>
                <w:noProof/>
              </w:rPr>
            </w:pPr>
            <w:r>
              <w:rPr>
                <w:rStyle w:val="normaltextrun"/>
                <w:noProof/>
              </w:rPr>
              <w:t>zwiększenie udziału przedsiębiorców w ADR oraz zapewnienie egzekwowania wyników ADR;</w:t>
            </w:r>
            <w:r>
              <w:rPr>
                <w:rStyle w:val="eop"/>
                <w:noProof/>
              </w:rPr>
              <w:t> </w:t>
            </w:r>
          </w:p>
          <w:p w14:paraId="28C60D02" w14:textId="77777777" w:rsidR="00432BB8" w:rsidRPr="003F2C4B" w:rsidRDefault="00432BB8" w:rsidP="00432BB8">
            <w:pPr>
              <w:pStyle w:val="paragraph"/>
              <w:numPr>
                <w:ilvl w:val="0"/>
                <w:numId w:val="2"/>
              </w:numPr>
              <w:spacing w:before="0" w:beforeAutospacing="0" w:after="0" w:afterAutospacing="0"/>
              <w:ind w:left="360" w:firstLine="0"/>
              <w:jc w:val="both"/>
              <w:textAlignment w:val="baseline"/>
              <w:rPr>
                <w:noProof/>
              </w:rPr>
            </w:pPr>
            <w:r>
              <w:rPr>
                <w:rStyle w:val="normaltextrun"/>
                <w:noProof/>
              </w:rPr>
              <w:t>ułatwianie transgranicznych postępowań ADR;</w:t>
            </w:r>
            <w:r>
              <w:rPr>
                <w:rStyle w:val="eop"/>
                <w:noProof/>
              </w:rPr>
              <w:t> </w:t>
            </w:r>
          </w:p>
          <w:p w14:paraId="50EDDD78" w14:textId="77777777" w:rsidR="00432BB8" w:rsidRDefault="00432BB8" w:rsidP="00432BB8">
            <w:pPr>
              <w:pStyle w:val="paragraph"/>
              <w:numPr>
                <w:ilvl w:val="0"/>
                <w:numId w:val="2"/>
              </w:numPr>
              <w:spacing w:before="0" w:beforeAutospacing="0" w:after="0" w:afterAutospacing="0"/>
              <w:ind w:left="360" w:firstLine="0"/>
              <w:jc w:val="both"/>
              <w:textAlignment w:val="baseline"/>
              <w:rPr>
                <w:noProof/>
              </w:rPr>
            </w:pPr>
            <w:r>
              <w:rPr>
                <w:rStyle w:val="normaltextrun"/>
                <w:noProof/>
              </w:rPr>
              <w:t>wprowadzenie zabezpieczeń dla konsumentów podatnych na zagrożenia, którym brakuje umiejętności cyfrowych.</w:t>
            </w:r>
            <w:r>
              <w:rPr>
                <w:rStyle w:val="eop"/>
                <w:noProof/>
              </w:rPr>
              <w:t> </w:t>
            </w:r>
          </w:p>
          <w:p w14:paraId="505612F8" w14:textId="77777777" w:rsidR="00432BB8" w:rsidRDefault="00432BB8" w:rsidP="00432BB8">
            <w:pPr>
              <w:pStyle w:val="paragraph"/>
              <w:spacing w:before="0" w:beforeAutospacing="0" w:after="0" w:afterAutospacing="0"/>
              <w:jc w:val="both"/>
              <w:textAlignment w:val="baseline"/>
              <w:rPr>
                <w:noProof/>
              </w:rPr>
            </w:pPr>
            <w:r>
              <w:rPr>
                <w:rStyle w:val="eop"/>
                <w:noProof/>
              </w:rPr>
              <w:t> </w:t>
            </w:r>
          </w:p>
          <w:p w14:paraId="11228DC9" w14:textId="16E75ECB" w:rsidR="00432BB8" w:rsidRDefault="00432BB8" w:rsidP="00432BB8">
            <w:pPr>
              <w:pStyle w:val="paragraph"/>
              <w:spacing w:before="0" w:beforeAutospacing="0" w:after="0" w:afterAutospacing="0"/>
              <w:jc w:val="both"/>
              <w:textAlignment w:val="baseline"/>
              <w:rPr>
                <w:noProof/>
              </w:rPr>
            </w:pPr>
            <w:r>
              <w:rPr>
                <w:rStyle w:val="normaltextrun"/>
                <w:noProof/>
              </w:rPr>
              <w:t>Niektóre zainteresowane strony (głównie organizacje konsumenckie) wezwały do wprowadzenia obowiązku udziału przedsiębiorców w ADR, ale zmianie tej sprzeciwia się kilka państw członkowskich, które zwracają uwagę na potencjalny konflikt</w:t>
            </w:r>
            <w:r w:rsidR="00643F23">
              <w:rPr>
                <w:rStyle w:val="normaltextrun"/>
                <w:noProof/>
              </w:rPr>
              <w:t xml:space="preserve"> z ich</w:t>
            </w:r>
            <w:r>
              <w:rPr>
                <w:rStyle w:val="normaltextrun"/>
                <w:noProof/>
              </w:rPr>
              <w:t xml:space="preserve"> zasadami ustrojowymi dotyczącymi dostępu do wymiaru sprawiedliwości. </w:t>
            </w:r>
          </w:p>
          <w:p w14:paraId="75A61BC0" w14:textId="79D19C61" w:rsidR="00432BB8" w:rsidRPr="00643F23" w:rsidRDefault="00432BB8" w:rsidP="00432BB8">
            <w:pPr>
              <w:pStyle w:val="paragraph"/>
              <w:spacing w:before="0" w:beforeAutospacing="0" w:after="0" w:afterAutospacing="0"/>
              <w:jc w:val="both"/>
              <w:textAlignment w:val="baseline"/>
              <w:rPr>
                <w:noProof/>
              </w:rPr>
            </w:pPr>
            <w:r>
              <w:rPr>
                <w:rStyle w:val="normaltextrun"/>
                <w:noProof/>
              </w:rPr>
              <w:t>Za ważny cel przeglądu uznano również ugruntowanie mechanizmu zbiorowych postępowań ADR. Mechanizm ten wprowadzono już</w:t>
            </w:r>
            <w:r w:rsidR="00643F23">
              <w:rPr>
                <w:rStyle w:val="normaltextrun"/>
                <w:noProof/>
              </w:rPr>
              <w:t xml:space="preserve"> w ust</w:t>
            </w:r>
            <w:r>
              <w:rPr>
                <w:rStyle w:val="normaltextrun"/>
                <w:noProof/>
              </w:rPr>
              <w:t>awodawstwie krajowym kilku państw członkowskich, ale jego wykorzystanie jest nadal ograniczone. Zainteresowane strony wezwały Komisję do podjęcia działań polegających na propagowaniu korzystania ze zbiorowych postępowań ADR. Równocześnie podkreślono, że to państwom członkowskim należy powierzyć kwestię wdrożenia zbiorowych postępowań ADR zgodnie</w:t>
            </w:r>
            <w:r w:rsidR="00643F23">
              <w:rPr>
                <w:rStyle w:val="normaltextrun"/>
                <w:noProof/>
              </w:rPr>
              <w:t xml:space="preserve"> z prz</w:t>
            </w:r>
            <w:r>
              <w:rPr>
                <w:rStyle w:val="normaltextrun"/>
                <w:noProof/>
              </w:rPr>
              <w:t>yjętym</w:t>
            </w:r>
            <w:r w:rsidR="00643F23">
              <w:rPr>
                <w:rStyle w:val="normaltextrun"/>
                <w:noProof/>
              </w:rPr>
              <w:t xml:space="preserve"> w dyr</w:t>
            </w:r>
            <w:r>
              <w:rPr>
                <w:rStyle w:val="normaltextrun"/>
                <w:noProof/>
              </w:rPr>
              <w:t>ektywie podejściem minimalnej harmonizacji</w:t>
            </w:r>
            <w:r w:rsidRPr="00643F23">
              <w:rPr>
                <w:rStyle w:val="normaltextrun"/>
                <w:noProof/>
              </w:rPr>
              <w:t>.</w:t>
            </w:r>
            <w:r w:rsidR="00643F23" w:rsidRPr="00643F23">
              <w:rPr>
                <w:rStyle w:val="normaltextrun"/>
                <w:noProof/>
              </w:rPr>
              <w:t xml:space="preserve"> </w:t>
            </w:r>
          </w:p>
          <w:p w14:paraId="00839CC0" w14:textId="42B806C5" w:rsidR="00AB297D" w:rsidRPr="00432BB8" w:rsidRDefault="0028333C" w:rsidP="004643CD">
            <w:pPr>
              <w:pStyle w:val="paragraph"/>
              <w:spacing w:before="0" w:beforeAutospacing="0" w:after="0" w:afterAutospacing="0"/>
              <w:jc w:val="both"/>
              <w:textAlignment w:val="baseline"/>
              <w:rPr>
                <w:noProof/>
              </w:rPr>
            </w:pPr>
            <w:r>
              <w:rPr>
                <w:rStyle w:val="normaltextrun"/>
                <w:noProof/>
              </w:rPr>
              <w:t>Biorąc pod uwagę, że niektóre zainteresowane strony początkowo ostrożnie odnosiły się do zaprzestania funkcjonowania platformy ODR, Komisja omówiła</w:t>
            </w:r>
            <w:r w:rsidR="00643F23">
              <w:rPr>
                <w:rStyle w:val="normaltextrun"/>
                <w:noProof/>
              </w:rPr>
              <w:t xml:space="preserve"> z nim</w:t>
            </w:r>
            <w:r>
              <w:rPr>
                <w:rStyle w:val="normaltextrun"/>
                <w:noProof/>
              </w:rPr>
              <w:t>i dostępne dane</w:t>
            </w:r>
            <w:r w:rsidR="00643F23">
              <w:rPr>
                <w:rStyle w:val="normaltextrun"/>
                <w:noProof/>
              </w:rPr>
              <w:t xml:space="preserve"> i odn</w:t>
            </w:r>
            <w:r>
              <w:rPr>
                <w:rStyle w:val="normaltextrun"/>
                <w:noProof/>
              </w:rPr>
              <w:t>iosła się do ich obaw. </w:t>
            </w:r>
            <w:r>
              <w:rPr>
                <w:rStyle w:val="eop"/>
                <w:noProof/>
              </w:rPr>
              <w:t> </w:t>
            </w:r>
          </w:p>
        </w:tc>
      </w:tr>
      <w:tr w:rsidR="00AB297D" w:rsidRPr="00AB297D" w14:paraId="1F80CECF" w14:textId="77777777" w:rsidTr="000A17AD">
        <w:trPr>
          <w:trHeight w:val="474"/>
        </w:trPr>
        <w:tc>
          <w:tcPr>
            <w:tcW w:w="9288" w:type="dxa"/>
            <w:shd w:val="clear" w:color="auto" w:fill="BFBFBF" w:themeFill="background1" w:themeFillShade="BF"/>
          </w:tcPr>
          <w:p w14:paraId="14C688F5" w14:textId="77777777" w:rsidR="00AB297D" w:rsidRPr="00AB297D" w:rsidRDefault="00AB297D" w:rsidP="00AB297D">
            <w:pPr>
              <w:numPr>
                <w:ilvl w:val="0"/>
                <w:numId w:val="1"/>
              </w:numPr>
              <w:contextualSpacing/>
              <w:rPr>
                <w:rFonts w:ascii="Times New Roman" w:hAnsi="Times New Roman" w:cs="Times New Roman"/>
                <w:b/>
                <w:noProof/>
                <w:sz w:val="24"/>
                <w:szCs w:val="24"/>
              </w:rPr>
            </w:pPr>
            <w:r>
              <w:rPr>
                <w:rFonts w:ascii="Times New Roman" w:hAnsi="Times New Roman"/>
                <w:b/>
                <w:noProof/>
                <w:sz w:val="24"/>
              </w:rPr>
              <w:t>Skutki wdrożenia preferowanego wariantu</w:t>
            </w:r>
          </w:p>
        </w:tc>
      </w:tr>
      <w:tr w:rsidR="00AB297D" w:rsidRPr="00AB297D" w14:paraId="02A959CF" w14:textId="77777777" w:rsidTr="000A17AD">
        <w:trPr>
          <w:trHeight w:val="336"/>
        </w:trPr>
        <w:tc>
          <w:tcPr>
            <w:tcW w:w="9288" w:type="dxa"/>
            <w:shd w:val="clear" w:color="auto" w:fill="D9D9D9" w:themeFill="background1" w:themeFillShade="D9"/>
          </w:tcPr>
          <w:p w14:paraId="2B8AB0B2" w14:textId="77777777" w:rsidR="00AB297D" w:rsidRPr="00AB297D" w:rsidRDefault="00AB297D" w:rsidP="00AB297D">
            <w:pPr>
              <w:jc w:val="both"/>
              <w:rPr>
                <w:rFonts w:ascii="Times New Roman" w:hAnsi="Times New Roman" w:cs="Times New Roman"/>
                <w:b/>
                <w:noProof/>
                <w:sz w:val="24"/>
                <w:szCs w:val="24"/>
              </w:rPr>
            </w:pPr>
            <w:r>
              <w:rPr>
                <w:rFonts w:ascii="Times New Roman" w:hAnsi="Times New Roman"/>
                <w:b/>
                <w:noProof/>
                <w:sz w:val="24"/>
              </w:rPr>
              <w:t>Jakie korzyści przyniesie wdrożenie preferowanego wariantu lub – jeśli go nie wskazano – głównych wariantów?</w:t>
            </w:r>
          </w:p>
        </w:tc>
      </w:tr>
      <w:tr w:rsidR="00AB297D" w:rsidRPr="00AB297D" w14:paraId="481A9EBA" w14:textId="77777777" w:rsidTr="00C1087F">
        <w:trPr>
          <w:trHeight w:val="1550"/>
        </w:trPr>
        <w:tc>
          <w:tcPr>
            <w:tcW w:w="9288" w:type="dxa"/>
            <w:shd w:val="clear" w:color="auto" w:fill="FFFFFF" w:themeFill="background1"/>
          </w:tcPr>
          <w:p w14:paraId="35E71611" w14:textId="245AF810" w:rsidR="00AB297D" w:rsidRDefault="00AB297D" w:rsidP="00AB297D">
            <w:pPr>
              <w:jc w:val="both"/>
              <w:rPr>
                <w:rFonts w:ascii="Times New Roman" w:hAnsi="Times New Roman" w:cs="Times New Roman"/>
                <w:noProof/>
                <w:sz w:val="24"/>
                <w:szCs w:val="24"/>
              </w:rPr>
            </w:pPr>
            <w:r>
              <w:rPr>
                <w:rFonts w:ascii="Times New Roman" w:hAnsi="Times New Roman"/>
                <w:noProof/>
                <w:sz w:val="24"/>
              </w:rPr>
              <w:t xml:space="preserve">Wariant preferowany jest </w:t>
            </w:r>
            <w:r>
              <w:rPr>
                <w:rFonts w:ascii="Times New Roman" w:hAnsi="Times New Roman"/>
                <w:b/>
                <w:noProof/>
                <w:sz w:val="24"/>
              </w:rPr>
              <w:t>skutecznym</w:t>
            </w:r>
            <w:r>
              <w:rPr>
                <w:rFonts w:ascii="Times New Roman" w:hAnsi="Times New Roman"/>
                <w:noProof/>
                <w:sz w:val="24"/>
              </w:rPr>
              <w:t xml:space="preserve"> sposobem osiągnięcia celów szczegółowych. Jest on </w:t>
            </w:r>
            <w:r>
              <w:rPr>
                <w:rFonts w:ascii="Times New Roman" w:hAnsi="Times New Roman"/>
                <w:b/>
                <w:noProof/>
                <w:sz w:val="24"/>
              </w:rPr>
              <w:t>efektywny</w:t>
            </w:r>
            <w:r>
              <w:rPr>
                <w:rFonts w:ascii="Times New Roman" w:hAnsi="Times New Roman"/>
                <w:noProof/>
                <w:sz w:val="24"/>
              </w:rPr>
              <w:t>,</w:t>
            </w:r>
            <w:r w:rsidR="00643F23">
              <w:rPr>
                <w:rFonts w:ascii="Times New Roman" w:hAnsi="Times New Roman"/>
                <w:noProof/>
                <w:sz w:val="24"/>
              </w:rPr>
              <w:t xml:space="preserve"> w szc</w:t>
            </w:r>
            <w:r>
              <w:rPr>
                <w:rFonts w:ascii="Times New Roman" w:hAnsi="Times New Roman"/>
                <w:noProof/>
                <w:sz w:val="24"/>
              </w:rPr>
              <w:t>zególności</w:t>
            </w:r>
            <w:r w:rsidR="00643F23">
              <w:rPr>
                <w:rFonts w:ascii="Times New Roman" w:hAnsi="Times New Roman"/>
                <w:noProof/>
                <w:sz w:val="24"/>
              </w:rPr>
              <w:t xml:space="preserve"> w odn</w:t>
            </w:r>
            <w:r>
              <w:rPr>
                <w:rFonts w:ascii="Times New Roman" w:hAnsi="Times New Roman"/>
                <w:noProof/>
                <w:sz w:val="24"/>
              </w:rPr>
              <w:t>iesieniu do konsumentów,</w:t>
            </w:r>
            <w:r w:rsidR="00643F23">
              <w:rPr>
                <w:rFonts w:ascii="Times New Roman" w:hAnsi="Times New Roman"/>
                <w:noProof/>
                <w:sz w:val="24"/>
              </w:rPr>
              <w:t xml:space="preserve"> i zap</w:t>
            </w:r>
            <w:r>
              <w:rPr>
                <w:rFonts w:ascii="Times New Roman" w:hAnsi="Times New Roman"/>
                <w:noProof/>
                <w:sz w:val="24"/>
              </w:rPr>
              <w:t xml:space="preserve">ewnia wysoki poziom </w:t>
            </w:r>
            <w:r>
              <w:rPr>
                <w:rFonts w:ascii="Times New Roman" w:hAnsi="Times New Roman"/>
                <w:b/>
                <w:noProof/>
                <w:sz w:val="24"/>
              </w:rPr>
              <w:t>spójności</w:t>
            </w:r>
            <w:r>
              <w:rPr>
                <w:rFonts w:ascii="Times New Roman" w:hAnsi="Times New Roman"/>
                <w:noProof/>
                <w:sz w:val="24"/>
              </w:rPr>
              <w:t>.</w:t>
            </w:r>
          </w:p>
          <w:p w14:paraId="7D466909" w14:textId="77777777" w:rsidR="00670798" w:rsidRPr="00643F23" w:rsidRDefault="00670798" w:rsidP="00AB297D">
            <w:pPr>
              <w:jc w:val="both"/>
              <w:rPr>
                <w:rFonts w:ascii="Times New Roman" w:hAnsi="Times New Roman" w:cs="Times New Roman"/>
                <w:noProof/>
                <w:sz w:val="24"/>
                <w:szCs w:val="24"/>
              </w:rPr>
            </w:pPr>
          </w:p>
          <w:p w14:paraId="11386D77" w14:textId="2F7416DB" w:rsidR="001B3DEA" w:rsidRDefault="00AB297D" w:rsidP="001B3DEA">
            <w:pPr>
              <w:jc w:val="both"/>
              <w:rPr>
                <w:rFonts w:ascii="Times New Roman" w:hAnsi="Times New Roman" w:cs="Times New Roman"/>
                <w:noProof/>
                <w:sz w:val="24"/>
                <w:szCs w:val="24"/>
              </w:rPr>
            </w:pPr>
            <w:r w:rsidRPr="00643F23">
              <w:rPr>
                <w:rFonts w:ascii="Times New Roman" w:hAnsi="Times New Roman"/>
                <w:b/>
                <w:noProof/>
                <w:sz w:val="24"/>
              </w:rPr>
              <w:t>C</w:t>
            </w:r>
            <w:r>
              <w:rPr>
                <w:rFonts w:ascii="Times New Roman" w:hAnsi="Times New Roman"/>
                <w:b/>
                <w:noProof/>
                <w:sz w:val="24"/>
              </w:rPr>
              <w:t>ałkowita korzyść dla konsumentów</w:t>
            </w:r>
            <w:r>
              <w:rPr>
                <w:rFonts w:ascii="Times New Roman" w:hAnsi="Times New Roman"/>
                <w:noProof/>
                <w:sz w:val="24"/>
              </w:rPr>
              <w:t xml:space="preserve"> płynąca</w:t>
            </w:r>
            <w:r w:rsidR="00643F23">
              <w:rPr>
                <w:rFonts w:ascii="Times New Roman" w:hAnsi="Times New Roman"/>
                <w:noProof/>
                <w:sz w:val="24"/>
              </w:rPr>
              <w:t xml:space="preserve"> z teg</w:t>
            </w:r>
            <w:r>
              <w:rPr>
                <w:rFonts w:ascii="Times New Roman" w:hAnsi="Times New Roman"/>
                <w:noProof/>
                <w:sz w:val="24"/>
              </w:rPr>
              <w:t>o wariantu polegałaby na zmniejszeniu wartości ponoszonej przez nich szkody</w:t>
            </w:r>
            <w:r w:rsidR="00643F23">
              <w:rPr>
                <w:rFonts w:ascii="Times New Roman" w:hAnsi="Times New Roman"/>
                <w:noProof/>
                <w:sz w:val="24"/>
              </w:rPr>
              <w:t xml:space="preserve"> o </w:t>
            </w:r>
            <w:r w:rsidR="00643F23">
              <w:rPr>
                <w:rFonts w:ascii="Times New Roman" w:hAnsi="Times New Roman"/>
                <w:b/>
                <w:noProof/>
                <w:sz w:val="24"/>
              </w:rPr>
              <w:t>3</w:t>
            </w:r>
            <w:r>
              <w:rPr>
                <w:rFonts w:ascii="Times New Roman" w:hAnsi="Times New Roman"/>
                <w:b/>
                <w:noProof/>
                <w:sz w:val="24"/>
              </w:rPr>
              <w:t>3 mln EUR rocznie</w:t>
            </w:r>
            <w:r>
              <w:rPr>
                <w:rFonts w:ascii="Times New Roman" w:hAnsi="Times New Roman"/>
                <w:noProof/>
                <w:sz w:val="24"/>
              </w:rPr>
              <w:t>.</w:t>
            </w:r>
          </w:p>
          <w:p w14:paraId="3CCC36FD" w14:textId="77777777" w:rsidR="00FA5876" w:rsidRDefault="00FA5876" w:rsidP="00F027B7">
            <w:pPr>
              <w:jc w:val="both"/>
              <w:rPr>
                <w:rFonts w:ascii="Times New Roman" w:hAnsi="Times New Roman" w:cs="Times New Roman"/>
                <w:noProof/>
                <w:sz w:val="24"/>
                <w:szCs w:val="24"/>
              </w:rPr>
            </w:pPr>
          </w:p>
          <w:p w14:paraId="016649B4" w14:textId="436EE81C" w:rsidR="00AB297D" w:rsidRDefault="00AB297D" w:rsidP="00F027B7">
            <w:pPr>
              <w:jc w:val="both"/>
              <w:rPr>
                <w:rFonts w:ascii="Times New Roman" w:hAnsi="Times New Roman" w:cs="Times New Roman"/>
                <w:noProof/>
                <w:sz w:val="24"/>
                <w:szCs w:val="24"/>
              </w:rPr>
            </w:pPr>
            <w:r>
              <w:rPr>
                <w:rFonts w:ascii="Times New Roman" w:hAnsi="Times New Roman"/>
                <w:b/>
                <w:noProof/>
                <w:sz w:val="24"/>
              </w:rPr>
              <w:t>To samo dotyczy Komisji</w:t>
            </w:r>
            <w:r>
              <w:rPr>
                <w:rFonts w:ascii="Times New Roman" w:hAnsi="Times New Roman"/>
                <w:noProof/>
                <w:sz w:val="24"/>
              </w:rPr>
              <w:t xml:space="preserve"> – szacuje się, że łączna wartość korzyści wynikających ze zrezygnowania</w:t>
            </w:r>
            <w:r w:rsidR="00643F23">
              <w:rPr>
                <w:rFonts w:ascii="Times New Roman" w:hAnsi="Times New Roman"/>
                <w:noProof/>
                <w:sz w:val="24"/>
              </w:rPr>
              <w:t xml:space="preserve"> z pla</w:t>
            </w:r>
            <w:r>
              <w:rPr>
                <w:rFonts w:ascii="Times New Roman" w:hAnsi="Times New Roman"/>
                <w:noProof/>
                <w:sz w:val="24"/>
              </w:rPr>
              <w:t xml:space="preserve">tformy ODR wyniosłaby </w:t>
            </w:r>
            <w:r>
              <w:rPr>
                <w:rFonts w:ascii="Times New Roman" w:hAnsi="Times New Roman"/>
                <w:b/>
                <w:noProof/>
                <w:sz w:val="24"/>
              </w:rPr>
              <w:t>500 000 EUR</w:t>
            </w:r>
            <w:r>
              <w:rPr>
                <w:rFonts w:ascii="Times New Roman" w:hAnsi="Times New Roman"/>
                <w:noProof/>
                <w:sz w:val="24"/>
              </w:rPr>
              <w:t xml:space="preserve"> rocznie.</w:t>
            </w:r>
          </w:p>
          <w:p w14:paraId="4C261DEF" w14:textId="77777777" w:rsidR="00FA5876" w:rsidRDefault="00FA5876" w:rsidP="00F027B7">
            <w:pPr>
              <w:jc w:val="both"/>
              <w:rPr>
                <w:rFonts w:ascii="Times New Roman" w:hAnsi="Times New Roman" w:cs="Times New Roman"/>
                <w:noProof/>
                <w:sz w:val="24"/>
                <w:szCs w:val="24"/>
              </w:rPr>
            </w:pPr>
          </w:p>
          <w:p w14:paraId="6D5745B8" w14:textId="6E3A61A3" w:rsidR="00FA5876" w:rsidRPr="00AB297D" w:rsidRDefault="00FA5876" w:rsidP="008C673D">
            <w:pPr>
              <w:jc w:val="both"/>
              <w:rPr>
                <w:rFonts w:ascii="Times New Roman" w:hAnsi="Times New Roman" w:cs="Times New Roman"/>
                <w:noProof/>
                <w:sz w:val="24"/>
                <w:szCs w:val="24"/>
              </w:rPr>
            </w:pPr>
            <w:r>
              <w:rPr>
                <w:rFonts w:ascii="Times New Roman" w:hAnsi="Times New Roman"/>
                <w:noProof/>
                <w:sz w:val="24"/>
              </w:rPr>
              <w:t xml:space="preserve">Wariant ten przyniósłby </w:t>
            </w:r>
            <w:r>
              <w:rPr>
                <w:rFonts w:ascii="Times New Roman" w:hAnsi="Times New Roman"/>
                <w:b/>
                <w:noProof/>
                <w:sz w:val="24"/>
              </w:rPr>
              <w:t>przedsiębiorstwom łączne korzyści</w:t>
            </w:r>
            <w:r w:rsidR="00643F23">
              <w:rPr>
                <w:rFonts w:ascii="Times New Roman" w:hAnsi="Times New Roman"/>
                <w:noProof/>
                <w:sz w:val="24"/>
              </w:rPr>
              <w:t xml:space="preserve"> w wys</w:t>
            </w:r>
            <w:r>
              <w:rPr>
                <w:rFonts w:ascii="Times New Roman" w:hAnsi="Times New Roman"/>
                <w:noProof/>
                <w:sz w:val="24"/>
              </w:rPr>
              <w:t xml:space="preserve">okości </w:t>
            </w:r>
            <w:r>
              <w:rPr>
                <w:rFonts w:ascii="Times New Roman" w:hAnsi="Times New Roman"/>
                <w:b/>
                <w:noProof/>
                <w:sz w:val="24"/>
              </w:rPr>
              <w:t>634 mln EUR rocznie</w:t>
            </w:r>
            <w:r>
              <w:rPr>
                <w:rFonts w:ascii="Times New Roman" w:hAnsi="Times New Roman"/>
                <w:noProof/>
                <w:sz w:val="24"/>
              </w:rPr>
              <w:t xml:space="preserve"> (264 mln EUR rocznie</w:t>
            </w:r>
            <w:r w:rsidR="00643F23">
              <w:rPr>
                <w:rFonts w:ascii="Times New Roman" w:hAnsi="Times New Roman"/>
                <w:noProof/>
                <w:sz w:val="24"/>
              </w:rPr>
              <w:t xml:space="preserve"> w zwi</w:t>
            </w:r>
            <w:r>
              <w:rPr>
                <w:rFonts w:ascii="Times New Roman" w:hAnsi="Times New Roman"/>
                <w:noProof/>
                <w:sz w:val="24"/>
              </w:rPr>
              <w:t>ązku</w:t>
            </w:r>
            <w:r w:rsidR="00643F23">
              <w:rPr>
                <w:rFonts w:ascii="Times New Roman" w:hAnsi="Times New Roman"/>
                <w:noProof/>
                <w:sz w:val="24"/>
              </w:rPr>
              <w:t xml:space="preserve"> z ogr</w:t>
            </w:r>
            <w:r>
              <w:rPr>
                <w:rFonts w:ascii="Times New Roman" w:hAnsi="Times New Roman"/>
                <w:noProof/>
                <w:sz w:val="24"/>
              </w:rPr>
              <w:t>aniczeniem obowiązków informacyjnych oraz 370 mln EUR rocznie</w:t>
            </w:r>
            <w:r w:rsidR="00643F23">
              <w:rPr>
                <w:rFonts w:ascii="Times New Roman" w:hAnsi="Times New Roman"/>
                <w:noProof/>
                <w:sz w:val="24"/>
              </w:rPr>
              <w:t xml:space="preserve"> w zwi</w:t>
            </w:r>
            <w:r>
              <w:rPr>
                <w:rFonts w:ascii="Times New Roman" w:hAnsi="Times New Roman"/>
                <w:noProof/>
                <w:sz w:val="24"/>
              </w:rPr>
              <w:t>ązku</w:t>
            </w:r>
            <w:r w:rsidR="00643F23">
              <w:rPr>
                <w:rFonts w:ascii="Times New Roman" w:hAnsi="Times New Roman"/>
                <w:noProof/>
                <w:sz w:val="24"/>
              </w:rPr>
              <w:t xml:space="preserve"> z rez</w:t>
            </w:r>
            <w:r>
              <w:rPr>
                <w:rFonts w:ascii="Times New Roman" w:hAnsi="Times New Roman"/>
                <w:noProof/>
                <w:sz w:val="24"/>
              </w:rPr>
              <w:t>ygnacją</w:t>
            </w:r>
            <w:r w:rsidR="00643F23">
              <w:rPr>
                <w:rFonts w:ascii="Times New Roman" w:hAnsi="Times New Roman"/>
                <w:noProof/>
                <w:sz w:val="24"/>
              </w:rPr>
              <w:t xml:space="preserve"> z pla</w:t>
            </w:r>
            <w:r>
              <w:rPr>
                <w:rFonts w:ascii="Times New Roman" w:hAnsi="Times New Roman"/>
                <w:noProof/>
                <w:sz w:val="24"/>
              </w:rPr>
              <w:t>tformy ODR).</w:t>
            </w:r>
          </w:p>
        </w:tc>
      </w:tr>
      <w:tr w:rsidR="00AB297D" w:rsidRPr="00AB297D" w14:paraId="2948D80F" w14:textId="77777777" w:rsidTr="000A17AD">
        <w:trPr>
          <w:trHeight w:val="351"/>
        </w:trPr>
        <w:tc>
          <w:tcPr>
            <w:tcW w:w="9288" w:type="dxa"/>
            <w:shd w:val="clear" w:color="auto" w:fill="D9D9D9" w:themeFill="background1" w:themeFillShade="D9"/>
          </w:tcPr>
          <w:p w14:paraId="40481B37" w14:textId="77777777" w:rsidR="00AB297D" w:rsidRPr="00AB297D" w:rsidRDefault="00AB297D" w:rsidP="00AB297D">
            <w:pPr>
              <w:jc w:val="both"/>
              <w:rPr>
                <w:rFonts w:ascii="Times New Roman" w:hAnsi="Times New Roman" w:cs="Times New Roman"/>
                <w:b/>
                <w:noProof/>
                <w:sz w:val="24"/>
                <w:szCs w:val="24"/>
              </w:rPr>
            </w:pPr>
            <w:r>
              <w:rPr>
                <w:rFonts w:ascii="Times New Roman" w:hAnsi="Times New Roman"/>
                <w:b/>
                <w:noProof/>
                <w:sz w:val="24"/>
              </w:rPr>
              <w:t>Jakie są koszty wdrożenia preferowanego wariantu lub – jeśli go nie wskazano – głównych wariantów?</w:t>
            </w:r>
          </w:p>
        </w:tc>
      </w:tr>
      <w:tr w:rsidR="00AB297D" w:rsidRPr="00AB297D" w14:paraId="06F9554D" w14:textId="77777777" w:rsidTr="004631EE">
        <w:trPr>
          <w:trHeight w:val="1150"/>
        </w:trPr>
        <w:tc>
          <w:tcPr>
            <w:tcW w:w="9288" w:type="dxa"/>
            <w:shd w:val="clear" w:color="auto" w:fill="FFFFFF" w:themeFill="background1"/>
          </w:tcPr>
          <w:p w14:paraId="6A959170" w14:textId="31F431E7" w:rsidR="00AB297D" w:rsidRPr="00AB297D" w:rsidRDefault="00AB297D" w:rsidP="008C673D">
            <w:pPr>
              <w:jc w:val="both"/>
              <w:rPr>
                <w:rFonts w:ascii="Times New Roman" w:hAnsi="Times New Roman" w:cs="Times New Roman"/>
                <w:noProof/>
                <w:sz w:val="24"/>
                <w:szCs w:val="24"/>
              </w:rPr>
            </w:pPr>
            <w:r>
              <w:rPr>
                <w:rFonts w:ascii="Times New Roman" w:hAnsi="Times New Roman"/>
                <w:noProof/>
                <w:sz w:val="24"/>
              </w:rPr>
              <w:t>Przyjęcie preferowanego wariantu wiązałoby się</w:t>
            </w:r>
            <w:r w:rsidR="00643F23">
              <w:rPr>
                <w:rFonts w:ascii="Times New Roman" w:hAnsi="Times New Roman"/>
                <w:noProof/>
                <w:sz w:val="24"/>
              </w:rPr>
              <w:t xml:space="preserve"> z </w:t>
            </w:r>
            <w:r w:rsidR="00643F23">
              <w:rPr>
                <w:rFonts w:ascii="Times New Roman" w:hAnsi="Times New Roman"/>
                <w:b/>
                <w:noProof/>
                <w:sz w:val="24"/>
              </w:rPr>
              <w:t>dod</w:t>
            </w:r>
            <w:r>
              <w:rPr>
                <w:rFonts w:ascii="Times New Roman" w:hAnsi="Times New Roman"/>
                <w:b/>
                <w:noProof/>
                <w:sz w:val="24"/>
              </w:rPr>
              <w:t>atkowymi stałymi kosztami dla przedsiębiorstw</w:t>
            </w:r>
            <w:r w:rsidR="00643F23">
              <w:rPr>
                <w:rFonts w:ascii="Times New Roman" w:hAnsi="Times New Roman"/>
                <w:noProof/>
                <w:sz w:val="24"/>
              </w:rPr>
              <w:t xml:space="preserve"> w wys</w:t>
            </w:r>
            <w:r>
              <w:rPr>
                <w:rFonts w:ascii="Times New Roman" w:hAnsi="Times New Roman"/>
                <w:noProof/>
                <w:sz w:val="24"/>
              </w:rPr>
              <w:t xml:space="preserve">okości </w:t>
            </w:r>
            <w:r>
              <w:rPr>
                <w:rFonts w:ascii="Times New Roman" w:hAnsi="Times New Roman"/>
                <w:b/>
                <w:noProof/>
                <w:sz w:val="24"/>
              </w:rPr>
              <w:t>38,6 mln EUR rocznie</w:t>
            </w:r>
            <w:r>
              <w:rPr>
                <w:rFonts w:ascii="Times New Roman" w:hAnsi="Times New Roman"/>
                <w:noProof/>
                <w:sz w:val="24"/>
              </w:rPr>
              <w:t xml:space="preserve"> (2,6 mln EUR rocznie</w:t>
            </w:r>
            <w:r w:rsidR="00643F23">
              <w:rPr>
                <w:rFonts w:ascii="Times New Roman" w:hAnsi="Times New Roman"/>
                <w:noProof/>
                <w:sz w:val="24"/>
              </w:rPr>
              <w:t xml:space="preserve"> w zwi</w:t>
            </w:r>
            <w:r>
              <w:rPr>
                <w:rFonts w:ascii="Times New Roman" w:hAnsi="Times New Roman"/>
                <w:noProof/>
                <w:sz w:val="24"/>
              </w:rPr>
              <w:t>ązku</w:t>
            </w:r>
            <w:r w:rsidR="00643F23">
              <w:rPr>
                <w:rFonts w:ascii="Times New Roman" w:hAnsi="Times New Roman"/>
                <w:noProof/>
                <w:sz w:val="24"/>
              </w:rPr>
              <w:t xml:space="preserve"> z obo</w:t>
            </w:r>
            <w:r>
              <w:rPr>
                <w:rFonts w:ascii="Times New Roman" w:hAnsi="Times New Roman"/>
                <w:noProof/>
                <w:sz w:val="24"/>
              </w:rPr>
              <w:t>wiązkiem udzielenia odpowiedzi, 25 mln EUR rocznie dla podmiotów ADR</w:t>
            </w:r>
            <w:r w:rsidR="00643F23">
              <w:rPr>
                <w:rFonts w:ascii="Times New Roman" w:hAnsi="Times New Roman"/>
                <w:noProof/>
                <w:sz w:val="24"/>
              </w:rPr>
              <w:t xml:space="preserve"> w zwi</w:t>
            </w:r>
            <w:r>
              <w:rPr>
                <w:rFonts w:ascii="Times New Roman" w:hAnsi="Times New Roman"/>
                <w:noProof/>
                <w:sz w:val="24"/>
              </w:rPr>
              <w:t>ązku</w:t>
            </w:r>
            <w:r w:rsidR="00643F23">
              <w:rPr>
                <w:rFonts w:ascii="Times New Roman" w:hAnsi="Times New Roman"/>
                <w:noProof/>
                <w:sz w:val="24"/>
              </w:rPr>
              <w:t xml:space="preserve"> z dod</w:t>
            </w:r>
            <w:r>
              <w:rPr>
                <w:rFonts w:ascii="Times New Roman" w:hAnsi="Times New Roman"/>
                <w:noProof/>
                <w:sz w:val="24"/>
              </w:rPr>
              <w:t>atkowymi sporami oraz 11 mln EUR rocznie na dostosowanie platform do obowiązujących przepisów).</w:t>
            </w:r>
          </w:p>
        </w:tc>
      </w:tr>
      <w:tr w:rsidR="00AB297D" w:rsidRPr="00AB297D" w14:paraId="03318274" w14:textId="77777777" w:rsidTr="000A17AD">
        <w:trPr>
          <w:trHeight w:val="426"/>
        </w:trPr>
        <w:tc>
          <w:tcPr>
            <w:tcW w:w="9288" w:type="dxa"/>
            <w:shd w:val="clear" w:color="auto" w:fill="D9D9D9" w:themeFill="background1" w:themeFillShade="D9"/>
          </w:tcPr>
          <w:p w14:paraId="264A15C2" w14:textId="72CC7E02" w:rsidR="00AB297D" w:rsidRPr="00AB297D" w:rsidRDefault="00AB297D" w:rsidP="00AB297D">
            <w:pPr>
              <w:jc w:val="both"/>
              <w:rPr>
                <w:rFonts w:ascii="Times New Roman" w:hAnsi="Times New Roman" w:cs="Times New Roman"/>
                <w:b/>
                <w:noProof/>
                <w:sz w:val="24"/>
                <w:szCs w:val="24"/>
              </w:rPr>
            </w:pPr>
            <w:r>
              <w:rPr>
                <w:rFonts w:ascii="Times New Roman" w:hAnsi="Times New Roman"/>
                <w:b/>
                <w:noProof/>
                <w:sz w:val="24"/>
              </w:rPr>
              <w:t>Jakie są skutki dla MŚP</w:t>
            </w:r>
            <w:r w:rsidR="00643F23">
              <w:rPr>
                <w:rFonts w:ascii="Times New Roman" w:hAnsi="Times New Roman"/>
                <w:b/>
                <w:noProof/>
                <w:sz w:val="24"/>
              </w:rPr>
              <w:t xml:space="preserve"> i kon</w:t>
            </w:r>
            <w:r>
              <w:rPr>
                <w:rFonts w:ascii="Times New Roman" w:hAnsi="Times New Roman"/>
                <w:b/>
                <w:noProof/>
                <w:sz w:val="24"/>
              </w:rPr>
              <w:t>kurencyjności?</w:t>
            </w:r>
          </w:p>
        </w:tc>
      </w:tr>
      <w:tr w:rsidR="00AB297D" w:rsidRPr="00AB297D" w14:paraId="7B9E5453" w14:textId="77777777" w:rsidTr="000A17AD">
        <w:trPr>
          <w:trHeight w:val="413"/>
        </w:trPr>
        <w:tc>
          <w:tcPr>
            <w:tcW w:w="9288" w:type="dxa"/>
          </w:tcPr>
          <w:p w14:paraId="1D6660DA" w14:textId="4FFDCE55" w:rsidR="00AB297D" w:rsidRPr="00AB297D" w:rsidRDefault="00D35DA9" w:rsidP="00773971">
            <w:pPr>
              <w:jc w:val="both"/>
              <w:rPr>
                <w:rFonts w:ascii="Times New Roman" w:hAnsi="Times New Roman" w:cs="Times New Roman"/>
                <w:noProof/>
                <w:sz w:val="24"/>
                <w:szCs w:val="24"/>
              </w:rPr>
            </w:pPr>
            <w:r>
              <w:rPr>
                <w:rFonts w:ascii="Times New Roman" w:hAnsi="Times New Roman"/>
                <w:noProof/>
                <w:sz w:val="24"/>
              </w:rPr>
              <w:t>MŚP stanowią większość przedsiębiorstw,</w:t>
            </w:r>
            <w:r w:rsidR="00643F23">
              <w:rPr>
                <w:rFonts w:ascii="Times New Roman" w:hAnsi="Times New Roman"/>
                <w:noProof/>
                <w:sz w:val="24"/>
              </w:rPr>
              <w:t xml:space="preserve"> a zat</w:t>
            </w:r>
            <w:r>
              <w:rPr>
                <w:rFonts w:ascii="Times New Roman" w:hAnsi="Times New Roman"/>
                <w:noProof/>
                <w:sz w:val="24"/>
              </w:rPr>
              <w:t>em to głównie one skorzystają</w:t>
            </w:r>
            <w:r w:rsidR="00643F23">
              <w:rPr>
                <w:rFonts w:ascii="Times New Roman" w:hAnsi="Times New Roman"/>
                <w:noProof/>
                <w:sz w:val="24"/>
              </w:rPr>
              <w:t xml:space="preserve"> z osz</w:t>
            </w:r>
            <w:r>
              <w:rPr>
                <w:rFonts w:ascii="Times New Roman" w:hAnsi="Times New Roman"/>
                <w:noProof/>
                <w:sz w:val="24"/>
              </w:rPr>
              <w:t>czędności kosztów wynikających</w:t>
            </w:r>
            <w:r w:rsidR="00643F23">
              <w:rPr>
                <w:rFonts w:ascii="Times New Roman" w:hAnsi="Times New Roman"/>
                <w:noProof/>
                <w:sz w:val="24"/>
              </w:rPr>
              <w:t xml:space="preserve"> z rez</w:t>
            </w:r>
            <w:r>
              <w:rPr>
                <w:rFonts w:ascii="Times New Roman" w:hAnsi="Times New Roman"/>
                <w:noProof/>
                <w:sz w:val="24"/>
              </w:rPr>
              <w:t>ygnacji</w:t>
            </w:r>
            <w:r w:rsidR="00643F23">
              <w:rPr>
                <w:rFonts w:ascii="Times New Roman" w:hAnsi="Times New Roman"/>
                <w:noProof/>
                <w:sz w:val="24"/>
              </w:rPr>
              <w:t xml:space="preserve"> z obe</w:t>
            </w:r>
            <w:r>
              <w:rPr>
                <w:rFonts w:ascii="Times New Roman" w:hAnsi="Times New Roman"/>
                <w:noProof/>
                <w:sz w:val="24"/>
              </w:rPr>
              <w:t>cnych wymogów informacyjnych, zarówno dotyczących platformy ODR, jak i ADR. Wariant ten będzie miał pozytywny wpływ na konkurencyjność unijnych MŚP, ponieważ powstałe oszczędności będzie można wykorzystać do zwiększenia atrakcyjności cen oferowanych przez MŚP</w:t>
            </w:r>
            <w:r w:rsidR="00643F23">
              <w:rPr>
                <w:rFonts w:ascii="Times New Roman" w:hAnsi="Times New Roman"/>
                <w:noProof/>
                <w:sz w:val="24"/>
              </w:rPr>
              <w:t xml:space="preserve"> i ewe</w:t>
            </w:r>
            <w:r>
              <w:rPr>
                <w:rFonts w:ascii="Times New Roman" w:hAnsi="Times New Roman"/>
                <w:noProof/>
                <w:sz w:val="24"/>
              </w:rPr>
              <w:t>ntualnie do wspierania innowacji.</w:t>
            </w:r>
          </w:p>
        </w:tc>
      </w:tr>
      <w:tr w:rsidR="00AB297D" w:rsidRPr="00AB297D" w14:paraId="589CC0C5" w14:textId="77777777" w:rsidTr="000A17AD">
        <w:trPr>
          <w:trHeight w:val="410"/>
        </w:trPr>
        <w:tc>
          <w:tcPr>
            <w:tcW w:w="9288" w:type="dxa"/>
            <w:shd w:val="clear" w:color="auto" w:fill="D9D9D9" w:themeFill="background1" w:themeFillShade="D9"/>
          </w:tcPr>
          <w:p w14:paraId="0415EFCA" w14:textId="4C8360F5" w:rsidR="00AB297D" w:rsidRPr="00AB297D" w:rsidRDefault="00AB297D" w:rsidP="00AB297D">
            <w:pPr>
              <w:jc w:val="both"/>
              <w:rPr>
                <w:rFonts w:ascii="Times New Roman" w:hAnsi="Times New Roman" w:cs="Times New Roman"/>
                <w:b/>
                <w:noProof/>
                <w:sz w:val="24"/>
                <w:szCs w:val="24"/>
              </w:rPr>
            </w:pPr>
            <w:r>
              <w:rPr>
                <w:rFonts w:ascii="Times New Roman" w:hAnsi="Times New Roman"/>
                <w:b/>
                <w:noProof/>
                <w:sz w:val="24"/>
              </w:rPr>
              <w:t>Czy przewiduje się znaczące skutki dla budżetów</w:t>
            </w:r>
            <w:r w:rsidR="00643F23">
              <w:rPr>
                <w:rFonts w:ascii="Times New Roman" w:hAnsi="Times New Roman"/>
                <w:b/>
                <w:noProof/>
                <w:sz w:val="24"/>
              </w:rPr>
              <w:t xml:space="preserve"> i adm</w:t>
            </w:r>
            <w:r>
              <w:rPr>
                <w:rFonts w:ascii="Times New Roman" w:hAnsi="Times New Roman"/>
                <w:b/>
                <w:noProof/>
                <w:sz w:val="24"/>
              </w:rPr>
              <w:t>inistracji krajowych?</w:t>
            </w:r>
          </w:p>
        </w:tc>
      </w:tr>
      <w:tr w:rsidR="00AB297D" w:rsidRPr="00AB297D" w14:paraId="4FE0D0CA" w14:textId="77777777" w:rsidTr="000A17AD">
        <w:trPr>
          <w:trHeight w:val="415"/>
        </w:trPr>
        <w:tc>
          <w:tcPr>
            <w:tcW w:w="9288" w:type="dxa"/>
            <w:shd w:val="clear" w:color="auto" w:fill="FFFFFF" w:themeFill="background1"/>
          </w:tcPr>
          <w:p w14:paraId="109C1BBD" w14:textId="77777777" w:rsidR="00AB297D" w:rsidRPr="00AB297D" w:rsidRDefault="00FA5876" w:rsidP="00FA5876">
            <w:pPr>
              <w:jc w:val="both"/>
              <w:rPr>
                <w:rFonts w:ascii="Times New Roman" w:hAnsi="Times New Roman" w:cs="Times New Roman"/>
                <w:noProof/>
                <w:sz w:val="24"/>
                <w:szCs w:val="24"/>
              </w:rPr>
            </w:pPr>
            <w:r>
              <w:rPr>
                <w:rFonts w:ascii="Times New Roman" w:hAnsi="Times New Roman"/>
                <w:noProof/>
                <w:sz w:val="24"/>
              </w:rPr>
              <w:t>Nie.</w:t>
            </w:r>
          </w:p>
        </w:tc>
      </w:tr>
      <w:tr w:rsidR="00AB297D" w:rsidRPr="00AB297D" w14:paraId="42DFBEB2" w14:textId="77777777" w:rsidTr="000A17AD">
        <w:trPr>
          <w:trHeight w:val="421"/>
        </w:trPr>
        <w:tc>
          <w:tcPr>
            <w:tcW w:w="9288" w:type="dxa"/>
            <w:shd w:val="clear" w:color="auto" w:fill="D9D9D9" w:themeFill="background1" w:themeFillShade="D9"/>
          </w:tcPr>
          <w:p w14:paraId="7EB6B8E2" w14:textId="77777777" w:rsidR="00AB297D" w:rsidRPr="00AB297D" w:rsidRDefault="00AB297D" w:rsidP="00AB297D">
            <w:pPr>
              <w:jc w:val="both"/>
              <w:rPr>
                <w:rFonts w:ascii="Times New Roman" w:hAnsi="Times New Roman" w:cs="Times New Roman"/>
                <w:b/>
                <w:noProof/>
                <w:sz w:val="24"/>
                <w:szCs w:val="24"/>
              </w:rPr>
            </w:pPr>
            <w:r>
              <w:rPr>
                <w:rFonts w:ascii="Times New Roman" w:hAnsi="Times New Roman"/>
                <w:b/>
                <w:noProof/>
                <w:sz w:val="24"/>
              </w:rPr>
              <w:t>Czy wystąpią inne znaczące skutki?</w:t>
            </w:r>
          </w:p>
        </w:tc>
      </w:tr>
      <w:tr w:rsidR="00AB297D" w:rsidRPr="00AB297D" w14:paraId="4A1579BE" w14:textId="77777777" w:rsidTr="000A17AD">
        <w:trPr>
          <w:trHeight w:val="700"/>
        </w:trPr>
        <w:tc>
          <w:tcPr>
            <w:tcW w:w="9288" w:type="dxa"/>
          </w:tcPr>
          <w:p w14:paraId="1CA3919A" w14:textId="6C4F278C" w:rsidR="00AB297D" w:rsidRPr="00AB297D" w:rsidRDefault="005569BF" w:rsidP="005569BF">
            <w:pPr>
              <w:jc w:val="both"/>
              <w:rPr>
                <w:rFonts w:ascii="Times New Roman" w:hAnsi="Times New Roman" w:cs="Times New Roman"/>
                <w:noProof/>
                <w:sz w:val="24"/>
                <w:szCs w:val="24"/>
              </w:rPr>
            </w:pPr>
            <w:r>
              <w:rPr>
                <w:rFonts w:ascii="Times New Roman" w:hAnsi="Times New Roman"/>
                <w:noProof/>
                <w:sz w:val="24"/>
              </w:rPr>
              <w:t>Poprawi się poziom ochrony praw podstawowych przedsiębiorstw</w:t>
            </w:r>
            <w:r w:rsidR="00643F23">
              <w:rPr>
                <w:rFonts w:ascii="Times New Roman" w:hAnsi="Times New Roman"/>
                <w:noProof/>
                <w:sz w:val="24"/>
              </w:rPr>
              <w:t xml:space="preserve"> i kon</w:t>
            </w:r>
            <w:r>
              <w:rPr>
                <w:rFonts w:ascii="Times New Roman" w:hAnsi="Times New Roman"/>
                <w:noProof/>
                <w:sz w:val="24"/>
              </w:rPr>
              <w:t>sumentów dzięki wsparciu równych warunków działania</w:t>
            </w:r>
            <w:r w:rsidR="00643F23">
              <w:rPr>
                <w:rFonts w:ascii="Times New Roman" w:hAnsi="Times New Roman"/>
                <w:noProof/>
                <w:sz w:val="24"/>
              </w:rPr>
              <w:t xml:space="preserve"> i ogr</w:t>
            </w:r>
            <w:r>
              <w:rPr>
                <w:rFonts w:ascii="Times New Roman" w:hAnsi="Times New Roman"/>
                <w:noProof/>
                <w:sz w:val="24"/>
              </w:rPr>
              <w:t xml:space="preserve">aniczeniu szkód ponoszonych przez konsumentów. </w:t>
            </w:r>
          </w:p>
        </w:tc>
      </w:tr>
      <w:tr w:rsidR="00AB297D" w:rsidRPr="00AB297D" w14:paraId="65BC0FE8" w14:textId="77777777" w:rsidTr="000A17AD">
        <w:trPr>
          <w:trHeight w:val="453"/>
        </w:trPr>
        <w:tc>
          <w:tcPr>
            <w:tcW w:w="9288" w:type="dxa"/>
            <w:shd w:val="clear" w:color="auto" w:fill="D9D9D9" w:themeFill="background1" w:themeFillShade="D9"/>
          </w:tcPr>
          <w:p w14:paraId="34EC3BBA" w14:textId="77777777" w:rsidR="00AB297D" w:rsidRPr="00AB297D" w:rsidRDefault="00AB297D" w:rsidP="00AB297D">
            <w:pPr>
              <w:jc w:val="both"/>
              <w:rPr>
                <w:rFonts w:ascii="Times New Roman" w:hAnsi="Times New Roman" w:cs="Times New Roman"/>
                <w:b/>
                <w:noProof/>
                <w:sz w:val="24"/>
                <w:szCs w:val="24"/>
              </w:rPr>
            </w:pPr>
            <w:r>
              <w:rPr>
                <w:rFonts w:ascii="Times New Roman" w:hAnsi="Times New Roman"/>
                <w:b/>
                <w:noProof/>
                <w:sz w:val="24"/>
              </w:rPr>
              <w:t>Proporcjonalność?</w:t>
            </w:r>
          </w:p>
        </w:tc>
      </w:tr>
      <w:tr w:rsidR="00AB297D" w:rsidRPr="00AB297D" w14:paraId="77CB8A11" w14:textId="77777777" w:rsidTr="000A17AD">
        <w:trPr>
          <w:trHeight w:val="701"/>
        </w:trPr>
        <w:tc>
          <w:tcPr>
            <w:tcW w:w="9288" w:type="dxa"/>
          </w:tcPr>
          <w:p w14:paraId="7ABB201A" w14:textId="5A9F5DF1" w:rsidR="00AB297D" w:rsidRPr="00AB297D" w:rsidRDefault="00242492" w:rsidP="003F33CD">
            <w:pPr>
              <w:jc w:val="both"/>
              <w:rPr>
                <w:rFonts w:ascii="Times New Roman" w:hAnsi="Times New Roman" w:cs="Times New Roman"/>
                <w:noProof/>
                <w:sz w:val="24"/>
                <w:szCs w:val="24"/>
              </w:rPr>
            </w:pPr>
            <w:r>
              <w:rPr>
                <w:rFonts w:ascii="Times New Roman" w:hAnsi="Times New Roman"/>
                <w:noProof/>
                <w:sz w:val="24"/>
              </w:rPr>
              <w:t>Preferowany wariant utrzymuje obecne podejście polegające na minimalnej harmonizacji zawarte</w:t>
            </w:r>
            <w:r w:rsidR="00643F23">
              <w:rPr>
                <w:rFonts w:ascii="Times New Roman" w:hAnsi="Times New Roman"/>
                <w:noProof/>
                <w:sz w:val="24"/>
              </w:rPr>
              <w:t xml:space="preserve"> w dyr</w:t>
            </w:r>
            <w:r>
              <w:rPr>
                <w:rFonts w:ascii="Times New Roman" w:hAnsi="Times New Roman"/>
                <w:noProof/>
                <w:sz w:val="24"/>
              </w:rPr>
              <w:t>ektywie</w:t>
            </w:r>
            <w:r w:rsidR="00643F23">
              <w:rPr>
                <w:rFonts w:ascii="Times New Roman" w:hAnsi="Times New Roman"/>
                <w:noProof/>
                <w:sz w:val="24"/>
              </w:rPr>
              <w:t xml:space="preserve"> i nie</w:t>
            </w:r>
            <w:r>
              <w:rPr>
                <w:rFonts w:ascii="Times New Roman" w:hAnsi="Times New Roman"/>
                <w:noProof/>
                <w:sz w:val="24"/>
              </w:rPr>
              <w:t xml:space="preserve"> nakłada na państwa członkowskie obowiązku stosowania ADR. Cele szczegółowe są realizowane za pomocą środków, które nie wykraczają poza to, co jest absolutnie niezbędne. Zakres dyrektywy zostaje rozszerzony</w:t>
            </w:r>
            <w:r w:rsidR="00643F23">
              <w:rPr>
                <w:rFonts w:ascii="Times New Roman" w:hAnsi="Times New Roman"/>
                <w:noProof/>
                <w:sz w:val="24"/>
              </w:rPr>
              <w:t xml:space="preserve"> w cel</w:t>
            </w:r>
            <w:r>
              <w:rPr>
                <w:rFonts w:ascii="Times New Roman" w:hAnsi="Times New Roman"/>
                <w:noProof/>
                <w:sz w:val="24"/>
              </w:rPr>
              <w:t>u uwzględnienia nowych form sporów pojawiających się na rynkach cyfrowych, ale dobrowolny charakter ADR gwarantuje, że zmiany nie będą skutkować nieproporcjonalnymi kosztami dla podmiotów ADR, krajowych organów ochrony konkurencji ani przedsiębiorstw. Proporcjonalność zachowano również</w:t>
            </w:r>
            <w:r w:rsidR="00643F23">
              <w:rPr>
                <w:rFonts w:ascii="Times New Roman" w:hAnsi="Times New Roman"/>
                <w:noProof/>
                <w:sz w:val="24"/>
              </w:rPr>
              <w:t xml:space="preserve"> w odn</w:t>
            </w:r>
            <w:r>
              <w:rPr>
                <w:rFonts w:ascii="Times New Roman" w:hAnsi="Times New Roman"/>
                <w:noProof/>
                <w:sz w:val="24"/>
              </w:rPr>
              <w:t>iesieniu do środka dotyczącego prywatnego internetowego rozstrzygania sporów („PODR”). Środek przewidziany</w:t>
            </w:r>
            <w:r w:rsidR="00643F23">
              <w:rPr>
                <w:rFonts w:ascii="Times New Roman" w:hAnsi="Times New Roman"/>
                <w:noProof/>
                <w:sz w:val="24"/>
              </w:rPr>
              <w:t xml:space="preserve"> w pre</w:t>
            </w:r>
            <w:r>
              <w:rPr>
                <w:rFonts w:ascii="Times New Roman" w:hAnsi="Times New Roman"/>
                <w:noProof/>
                <w:sz w:val="24"/>
              </w:rPr>
              <w:t>ferowanym wariancie zakłada, że internetowe platformy handlowe będą składały stosowne oświadczenia</w:t>
            </w:r>
            <w:r w:rsidR="00643F23">
              <w:rPr>
                <w:rFonts w:ascii="Times New Roman" w:hAnsi="Times New Roman"/>
                <w:noProof/>
                <w:sz w:val="24"/>
              </w:rPr>
              <w:t xml:space="preserve"> w cel</w:t>
            </w:r>
            <w:r>
              <w:rPr>
                <w:rFonts w:ascii="Times New Roman" w:hAnsi="Times New Roman"/>
                <w:noProof/>
                <w:sz w:val="24"/>
              </w:rPr>
              <w:t>u wykazania, że ich systemy PODR spełniają wysokie standardy jakości. Obowiązek ten nie nakłada nadmiernych obciążeń na tych przedsiębiorców. Obowiązek udzielenia odpowiedzi powinien poprawić poziom zaangażowania przedsiębiorców</w:t>
            </w:r>
            <w:r w:rsidR="00643F23">
              <w:rPr>
                <w:rFonts w:ascii="Times New Roman" w:hAnsi="Times New Roman"/>
                <w:noProof/>
                <w:sz w:val="24"/>
              </w:rPr>
              <w:t xml:space="preserve"> w pos</w:t>
            </w:r>
            <w:r>
              <w:rPr>
                <w:rFonts w:ascii="Times New Roman" w:hAnsi="Times New Roman"/>
                <w:noProof/>
                <w:sz w:val="24"/>
              </w:rPr>
              <w:t>tępowania ADR. Środek ten pociąga za sobą koszty dla przedsiębiorstw, które zostaną jednak skompensowane</w:t>
            </w:r>
            <w:r w:rsidR="00643F23">
              <w:rPr>
                <w:rFonts w:ascii="Times New Roman" w:hAnsi="Times New Roman"/>
                <w:noProof/>
                <w:sz w:val="24"/>
              </w:rPr>
              <w:t xml:space="preserve"> z nad</w:t>
            </w:r>
            <w:r>
              <w:rPr>
                <w:rFonts w:ascii="Times New Roman" w:hAnsi="Times New Roman"/>
                <w:noProof/>
                <w:sz w:val="24"/>
              </w:rPr>
              <w:t>wyżką oszczędnościami wynikającymi</w:t>
            </w:r>
            <w:r w:rsidR="00643F23">
              <w:rPr>
                <w:rFonts w:ascii="Times New Roman" w:hAnsi="Times New Roman"/>
                <w:noProof/>
                <w:sz w:val="24"/>
              </w:rPr>
              <w:t xml:space="preserve"> z rez</w:t>
            </w:r>
            <w:r>
              <w:rPr>
                <w:rFonts w:ascii="Times New Roman" w:hAnsi="Times New Roman"/>
                <w:noProof/>
                <w:sz w:val="24"/>
              </w:rPr>
              <w:t>ygnacji</w:t>
            </w:r>
            <w:r w:rsidR="00643F23">
              <w:rPr>
                <w:rFonts w:ascii="Times New Roman" w:hAnsi="Times New Roman"/>
                <w:noProof/>
                <w:sz w:val="24"/>
              </w:rPr>
              <w:t xml:space="preserve"> z obo</w:t>
            </w:r>
            <w:r>
              <w:rPr>
                <w:rFonts w:ascii="Times New Roman" w:hAnsi="Times New Roman"/>
                <w:noProof/>
                <w:sz w:val="24"/>
              </w:rPr>
              <w:t>wiązku podawania informacji przez przedsiębiorstwa, które nie zamierzają brać udziału w ODR</w:t>
            </w:r>
            <w:r w:rsidR="00643F23">
              <w:rPr>
                <w:rFonts w:ascii="Times New Roman" w:hAnsi="Times New Roman"/>
                <w:noProof/>
                <w:sz w:val="24"/>
              </w:rPr>
              <w:t xml:space="preserve"> i nie</w:t>
            </w:r>
            <w:r>
              <w:rPr>
                <w:rFonts w:ascii="Times New Roman" w:hAnsi="Times New Roman"/>
                <w:noProof/>
                <w:sz w:val="24"/>
              </w:rPr>
              <w:t xml:space="preserve"> mają takiego obowiązku. Ponadto poprawę transgranicznych postępowań ADR można osiągnąć wyłącznie przez przyznanie nowej szczególnej roli istniejącym centrom ECC oraz umożliwienie stowarzyszeniom handlowym tworzenia transgranicznych systemów rozstrzygania sporów. </w:t>
            </w:r>
          </w:p>
        </w:tc>
      </w:tr>
      <w:tr w:rsidR="00AB297D" w:rsidRPr="00AB297D" w14:paraId="05663194" w14:textId="77777777" w:rsidTr="000A17AD">
        <w:trPr>
          <w:trHeight w:val="402"/>
        </w:trPr>
        <w:tc>
          <w:tcPr>
            <w:tcW w:w="9288" w:type="dxa"/>
            <w:shd w:val="clear" w:color="auto" w:fill="BFBFBF" w:themeFill="background1" w:themeFillShade="BF"/>
          </w:tcPr>
          <w:p w14:paraId="567C9B7F" w14:textId="77777777" w:rsidR="00AB297D" w:rsidRPr="00AB297D" w:rsidRDefault="00AB297D" w:rsidP="00AB297D">
            <w:pPr>
              <w:numPr>
                <w:ilvl w:val="0"/>
                <w:numId w:val="1"/>
              </w:numPr>
              <w:contextualSpacing/>
              <w:rPr>
                <w:rFonts w:ascii="Times New Roman" w:hAnsi="Times New Roman" w:cs="Times New Roman"/>
                <w:b/>
                <w:noProof/>
                <w:sz w:val="24"/>
                <w:szCs w:val="24"/>
              </w:rPr>
            </w:pPr>
            <w:r>
              <w:rPr>
                <w:rFonts w:ascii="Times New Roman" w:hAnsi="Times New Roman"/>
                <w:b/>
                <w:noProof/>
                <w:sz w:val="24"/>
              </w:rPr>
              <w:t xml:space="preserve">Działania następcze </w:t>
            </w:r>
          </w:p>
        </w:tc>
      </w:tr>
      <w:tr w:rsidR="00AB297D" w:rsidRPr="00AB297D" w14:paraId="63F2E249" w14:textId="77777777" w:rsidTr="000A17AD">
        <w:trPr>
          <w:trHeight w:val="422"/>
        </w:trPr>
        <w:tc>
          <w:tcPr>
            <w:tcW w:w="9288" w:type="dxa"/>
            <w:shd w:val="clear" w:color="auto" w:fill="D9D9D9" w:themeFill="background1" w:themeFillShade="D9"/>
          </w:tcPr>
          <w:p w14:paraId="3C88B775" w14:textId="77777777" w:rsidR="00AB297D" w:rsidRPr="00AB297D" w:rsidRDefault="00AB297D" w:rsidP="00AB297D">
            <w:pPr>
              <w:rPr>
                <w:rFonts w:ascii="Times New Roman" w:hAnsi="Times New Roman" w:cs="Times New Roman"/>
                <w:b/>
                <w:noProof/>
                <w:sz w:val="24"/>
                <w:szCs w:val="24"/>
              </w:rPr>
            </w:pPr>
            <w:r>
              <w:rPr>
                <w:rFonts w:ascii="Times New Roman" w:hAnsi="Times New Roman"/>
                <w:b/>
                <w:noProof/>
                <w:sz w:val="24"/>
              </w:rPr>
              <w:t>Kiedy nastąpi przegląd przyjętej polityki?</w:t>
            </w:r>
          </w:p>
        </w:tc>
      </w:tr>
      <w:tr w:rsidR="00AB297D" w:rsidRPr="00AB297D" w14:paraId="67BD9BC0" w14:textId="77777777" w:rsidTr="004E5828">
        <w:trPr>
          <w:trHeight w:val="1269"/>
        </w:trPr>
        <w:tc>
          <w:tcPr>
            <w:tcW w:w="9288" w:type="dxa"/>
            <w:shd w:val="clear" w:color="auto" w:fill="FFFFFF" w:themeFill="background1"/>
          </w:tcPr>
          <w:p w14:paraId="77E0021A" w14:textId="6CDCA99F" w:rsidR="00AB297D" w:rsidRPr="00AB297D" w:rsidRDefault="00AB297D" w:rsidP="00AB297D">
            <w:pPr>
              <w:rPr>
                <w:rFonts w:ascii="Times New Roman" w:hAnsi="Times New Roman" w:cs="Times New Roman"/>
                <w:noProof/>
                <w:sz w:val="24"/>
                <w:szCs w:val="24"/>
              </w:rPr>
            </w:pPr>
            <w:r>
              <w:rPr>
                <w:rFonts w:ascii="Times New Roman" w:hAnsi="Times New Roman"/>
                <w:noProof/>
                <w:sz w:val="24"/>
              </w:rPr>
              <w:t>Jeżeli wybrany wariant zostanie przyjęty, Komisja będzie monitorować jego wdrażanie po jego przyjęciu. Zgodnie</w:t>
            </w:r>
            <w:r w:rsidR="00643F23">
              <w:rPr>
                <w:rFonts w:ascii="Times New Roman" w:hAnsi="Times New Roman"/>
                <w:noProof/>
                <w:sz w:val="24"/>
              </w:rPr>
              <w:t xml:space="preserve"> z cel</w:t>
            </w:r>
            <w:r>
              <w:rPr>
                <w:rFonts w:ascii="Times New Roman" w:hAnsi="Times New Roman"/>
                <w:noProof/>
                <w:sz w:val="24"/>
              </w:rPr>
              <w:t>ami środka</w:t>
            </w:r>
            <w:r w:rsidR="00643F23">
              <w:rPr>
                <w:rFonts w:ascii="Times New Roman" w:hAnsi="Times New Roman"/>
                <w:noProof/>
                <w:sz w:val="24"/>
              </w:rPr>
              <w:t xml:space="preserve"> z zak</w:t>
            </w:r>
            <w:r>
              <w:rPr>
                <w:rFonts w:ascii="Times New Roman" w:hAnsi="Times New Roman"/>
                <w:noProof/>
                <w:sz w:val="24"/>
              </w:rPr>
              <w:t>resu polityki opracowano wykaz najważniejszych wskaźników postępu. Wskaźniki te mogą posłużyć za podstawę oceny, jak również mogą być one celami, które należy osiągnąć siedem lat po wejściu</w:t>
            </w:r>
            <w:r w:rsidR="00643F23">
              <w:rPr>
                <w:rFonts w:ascii="Times New Roman" w:hAnsi="Times New Roman"/>
                <w:noProof/>
                <w:sz w:val="24"/>
              </w:rPr>
              <w:t xml:space="preserve"> w życ</w:t>
            </w:r>
            <w:r>
              <w:rPr>
                <w:rFonts w:ascii="Times New Roman" w:hAnsi="Times New Roman"/>
                <w:noProof/>
                <w:sz w:val="24"/>
              </w:rPr>
              <w:t>ie zmienionej dyrektywy.</w:t>
            </w:r>
          </w:p>
        </w:tc>
      </w:tr>
    </w:tbl>
    <w:p w14:paraId="700CFBC6" w14:textId="77777777" w:rsidR="00F31280" w:rsidRPr="00AB297D" w:rsidRDefault="00F31280" w:rsidP="00E04261">
      <w:pPr>
        <w:jc w:val="both"/>
        <w:rPr>
          <w:rFonts w:ascii="Times New Roman" w:hAnsi="Times New Roman" w:cs="Times New Roman"/>
          <w:noProof/>
          <w:sz w:val="24"/>
          <w:szCs w:val="24"/>
        </w:rPr>
      </w:pPr>
    </w:p>
    <w:sectPr w:rsidR="00F31280" w:rsidRPr="00AB297D" w:rsidSect="0026613F">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A9D49" w14:textId="77777777" w:rsidR="00851962" w:rsidRDefault="00851962" w:rsidP="0026613F">
      <w:pPr>
        <w:spacing w:after="0" w:line="240" w:lineRule="auto"/>
      </w:pPr>
      <w:r>
        <w:separator/>
      </w:r>
    </w:p>
  </w:endnote>
  <w:endnote w:type="continuationSeparator" w:id="0">
    <w:p w14:paraId="50559F61" w14:textId="77777777" w:rsidR="00851962" w:rsidRDefault="00851962" w:rsidP="0026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BF204" w14:textId="193FBFB4" w:rsidR="004D138C" w:rsidRPr="00C322F0" w:rsidRDefault="004D138C" w:rsidP="00C32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AEE9C" w14:textId="5B107479" w:rsidR="004D138C" w:rsidRPr="00C322F0" w:rsidRDefault="00C322F0" w:rsidP="00C322F0">
    <w:pPr>
      <w:pStyle w:val="FooterCoverPage"/>
      <w:rPr>
        <w:rFonts w:ascii="Arial" w:hAnsi="Arial" w:cs="Arial"/>
        <w:b/>
        <w:sz w:val="48"/>
      </w:rPr>
    </w:pPr>
    <w:r w:rsidRPr="00C322F0">
      <w:rPr>
        <w:rFonts w:ascii="Arial" w:hAnsi="Arial" w:cs="Arial"/>
        <w:b/>
        <w:sz w:val="48"/>
      </w:rPr>
      <w:t>PL</w:t>
    </w:r>
    <w:r w:rsidRPr="00C322F0">
      <w:rPr>
        <w:rFonts w:ascii="Arial" w:hAnsi="Arial" w:cs="Arial"/>
        <w:b/>
        <w:sz w:val="48"/>
      </w:rPr>
      <w:tab/>
    </w:r>
    <w:r w:rsidRPr="00C322F0">
      <w:rPr>
        <w:rFonts w:ascii="Arial" w:hAnsi="Arial" w:cs="Arial"/>
        <w:b/>
        <w:sz w:val="48"/>
      </w:rPr>
      <w:tab/>
    </w:r>
    <w:r w:rsidRPr="00C322F0">
      <w:tab/>
    </w:r>
    <w:r w:rsidRPr="00C322F0">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A269" w14:textId="77777777" w:rsidR="00C322F0" w:rsidRPr="00C322F0" w:rsidRDefault="00C322F0" w:rsidP="00C322F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F6743" w14:textId="77777777" w:rsidR="0026613F" w:rsidRDefault="002661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100745"/>
      <w:docPartObj>
        <w:docPartGallery w:val="Page Numbers (Bottom of Page)"/>
        <w:docPartUnique/>
      </w:docPartObj>
    </w:sdtPr>
    <w:sdtEndPr>
      <w:rPr>
        <w:noProof/>
      </w:rPr>
    </w:sdtEndPr>
    <w:sdtContent>
      <w:p w14:paraId="7537B1F9" w14:textId="752238EF" w:rsidR="0026613F" w:rsidRDefault="0026613F">
        <w:pPr>
          <w:pStyle w:val="Footer"/>
          <w:jc w:val="center"/>
        </w:pPr>
        <w:r>
          <w:fldChar w:fldCharType="begin"/>
        </w:r>
        <w:r>
          <w:instrText xml:space="preserve"> PAGE   \* MERGEFORMAT </w:instrText>
        </w:r>
        <w:r>
          <w:fldChar w:fldCharType="separate"/>
        </w:r>
        <w:r w:rsidR="00C322F0">
          <w:rPr>
            <w:noProof/>
          </w:rPr>
          <w:t>1</w:t>
        </w:r>
        <w:r>
          <w:fldChar w:fldCharType="end"/>
        </w:r>
      </w:p>
    </w:sdtContent>
  </w:sdt>
  <w:p w14:paraId="74B38C33" w14:textId="77777777" w:rsidR="0026613F" w:rsidRDefault="0026613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209FD" w14:textId="77777777" w:rsidR="0026613F" w:rsidRDefault="00266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2BDB4" w14:textId="77777777" w:rsidR="00851962" w:rsidRDefault="00851962" w:rsidP="0026613F">
      <w:pPr>
        <w:spacing w:after="0" w:line="240" w:lineRule="auto"/>
      </w:pPr>
      <w:r>
        <w:separator/>
      </w:r>
    </w:p>
  </w:footnote>
  <w:footnote w:type="continuationSeparator" w:id="0">
    <w:p w14:paraId="12E9CEEB" w14:textId="77777777" w:rsidR="00851962" w:rsidRDefault="00851962" w:rsidP="00266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65ABA" w14:textId="77777777" w:rsidR="00C322F0" w:rsidRPr="00C322F0" w:rsidRDefault="00C322F0" w:rsidP="00C32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C0725" w14:textId="77777777" w:rsidR="00C322F0" w:rsidRPr="00C322F0" w:rsidRDefault="00C322F0" w:rsidP="00C322F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21135" w14:textId="77777777" w:rsidR="00C322F0" w:rsidRPr="00C322F0" w:rsidRDefault="00C322F0" w:rsidP="00C322F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EA29A" w14:textId="77777777" w:rsidR="0026613F" w:rsidRDefault="002661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C27FA" w14:textId="77777777" w:rsidR="0026613F" w:rsidRDefault="002661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77ADC" w14:textId="77777777" w:rsidR="0026613F" w:rsidRDefault="00266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A68F8"/>
    <w:multiLevelType w:val="multilevel"/>
    <w:tmpl w:val="63BA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BA0953"/>
    <w:multiLevelType w:val="hybridMultilevel"/>
    <w:tmpl w:val="93386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812070"/>
    <w:multiLevelType w:val="multilevel"/>
    <w:tmpl w:val="5AE46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it-IT"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pl-PL" w:vendorID="64" w:dllVersion="0" w:nlCheck="1" w:checkStyle="0"/>
  <w:revisionView w:markup="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Towarzyszący dokumentowi:"/>
    <w:docVar w:name="LW_CORRIGENDUM" w:val="&lt;UNUSED&gt;"/>
    <w:docVar w:name="LW_COVERPAGE_EXISTS" w:val="True"/>
    <w:docVar w:name="LW_COVERPAGE_GUID" w:val="BD400765-54D8-4922-9340-BF5E83EEA9AE"/>
    <w:docVar w:name="LW_COVERPAGE_TYPE" w:val="1"/>
    <w:docVar w:name="LW_CROSSREFERENCE" w:val="{COM(2023) 649 final} - {SEC(2023) 347 final} - {SWD(2023) 334 final} - {SWD(2023) 335 final}"/>
    <w:docVar w:name="LW_DocType" w:val="NORMAL"/>
    <w:docVar w:name="LW_EMISSION" w:val="17.10.2023"/>
    <w:docVar w:name="LW_EMISSION_ISODATE" w:val="2023-10-17"/>
    <w:docVar w:name="LW_EMISSION_LOCATION" w:val="BRX"/>
    <w:docVar w:name="LW_EMISSION_PREFIX" w:val="Bruksela, dnia "/>
    <w:docVar w:name="LW_EMISSION_SUFFIX" w:val=" r."/>
    <w:docVar w:name="LW_ID_DOCTYPE_NONLW" w:val="CP-027"/>
    <w:docVar w:name="LW_LANGUE" w:val="PL"/>
    <w:docVar w:name="LW_LEVEL_OF_SENSITIVITY" w:val="Standard treatment"/>
    <w:docVar w:name="LW_NOM.INST" w:val="KOMISJA EUROPEJSKA"/>
    <w:docVar w:name="LW_NOM.INST_JOINTDOC" w:val="&lt;EMPTY&gt;"/>
    <w:docVar w:name="LW_OBJETACTEPRINCIPAL.CP" w:val="zmieniającej dyrektywę 2013/11/UE w sprawie alternatywnych metod rozstrzygania sporów konsumenckich oraz dyrektywy (UE) 2015/2302, (UE) 2019/2161 i (UE) 2020/1828"/>
    <w:docVar w:name="LW_PART_NBR" w:val="1"/>
    <w:docVar w:name="LW_PART_NBR_TOTAL" w:val="1"/>
    <w:docVar w:name="LW_REF.INST.NEW" w:val="SWD"/>
    <w:docVar w:name="LW_REF.INST.NEW_ADOPTED" w:val="final"/>
    <w:docVar w:name="LW_REF.INST.NEW_TEXT" w:val="(2023) 33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Style_Marker&gt; &lt;/FMT&gt;"/>
    <w:docVar w:name="LW_TYPE.DOC.CP" w:val="DOKUMENT ROBOCZY SŁUŻB KOMISJI_x000b__x000b_STRESZCZENIE SPRAWOZDANIA Z OCENY SKUTKÓW_x000b_"/>
    <w:docVar w:name="LW_TYPEACTEPRINCIPAL.CP" w:val="Wniosek dotyczący DYREKTYWY PARLAMENTU EUROPEJSKIEGO I RADY"/>
    <w:docVar w:name="LwApiVersions" w:val="LW4CoDe 1.23.2.0; LW 8.0, Build 20211117"/>
  </w:docVars>
  <w:rsids>
    <w:rsidRoot w:val="0026613F"/>
    <w:rsid w:val="000368AF"/>
    <w:rsid w:val="00052B5D"/>
    <w:rsid w:val="000544F0"/>
    <w:rsid w:val="000F3D87"/>
    <w:rsid w:val="001345AD"/>
    <w:rsid w:val="00161A2C"/>
    <w:rsid w:val="00166725"/>
    <w:rsid w:val="001B3DEA"/>
    <w:rsid w:val="001B4052"/>
    <w:rsid w:val="001B4DA9"/>
    <w:rsid w:val="00242492"/>
    <w:rsid w:val="002529A1"/>
    <w:rsid w:val="00252ACE"/>
    <w:rsid w:val="0026613F"/>
    <w:rsid w:val="00275F13"/>
    <w:rsid w:val="0028333C"/>
    <w:rsid w:val="0029238A"/>
    <w:rsid w:val="002D0197"/>
    <w:rsid w:val="002D345A"/>
    <w:rsid w:val="00341CC1"/>
    <w:rsid w:val="003C2C35"/>
    <w:rsid w:val="003C612D"/>
    <w:rsid w:val="003E3A3D"/>
    <w:rsid w:val="003F2C4B"/>
    <w:rsid w:val="003F33CD"/>
    <w:rsid w:val="00432BB8"/>
    <w:rsid w:val="00444F9F"/>
    <w:rsid w:val="004456D3"/>
    <w:rsid w:val="004631EE"/>
    <w:rsid w:val="004643CD"/>
    <w:rsid w:val="004A3979"/>
    <w:rsid w:val="004D138C"/>
    <w:rsid w:val="004E5828"/>
    <w:rsid w:val="0051176C"/>
    <w:rsid w:val="005569BF"/>
    <w:rsid w:val="005C4F2A"/>
    <w:rsid w:val="00610914"/>
    <w:rsid w:val="00624693"/>
    <w:rsid w:val="00636885"/>
    <w:rsid w:val="00643F23"/>
    <w:rsid w:val="00670798"/>
    <w:rsid w:val="0068380A"/>
    <w:rsid w:val="00683D2D"/>
    <w:rsid w:val="006E39DB"/>
    <w:rsid w:val="00753F5E"/>
    <w:rsid w:val="007560FE"/>
    <w:rsid w:val="00763041"/>
    <w:rsid w:val="00772FD8"/>
    <w:rsid w:val="00773971"/>
    <w:rsid w:val="007B35A5"/>
    <w:rsid w:val="007C4EF6"/>
    <w:rsid w:val="007D510F"/>
    <w:rsid w:val="00805439"/>
    <w:rsid w:val="00822832"/>
    <w:rsid w:val="00837956"/>
    <w:rsid w:val="00851962"/>
    <w:rsid w:val="008768BA"/>
    <w:rsid w:val="008C673D"/>
    <w:rsid w:val="008E4072"/>
    <w:rsid w:val="008E6BA8"/>
    <w:rsid w:val="008F22E5"/>
    <w:rsid w:val="009616FD"/>
    <w:rsid w:val="00982615"/>
    <w:rsid w:val="009945D3"/>
    <w:rsid w:val="009D0B87"/>
    <w:rsid w:val="00A87708"/>
    <w:rsid w:val="00AB297D"/>
    <w:rsid w:val="00B1566B"/>
    <w:rsid w:val="00B23B73"/>
    <w:rsid w:val="00B420CF"/>
    <w:rsid w:val="00B55305"/>
    <w:rsid w:val="00B847B7"/>
    <w:rsid w:val="00B957B7"/>
    <w:rsid w:val="00B9713C"/>
    <w:rsid w:val="00BC2C70"/>
    <w:rsid w:val="00C1087F"/>
    <w:rsid w:val="00C322F0"/>
    <w:rsid w:val="00C63F22"/>
    <w:rsid w:val="00C70738"/>
    <w:rsid w:val="00CC503C"/>
    <w:rsid w:val="00CF18AC"/>
    <w:rsid w:val="00D20FD1"/>
    <w:rsid w:val="00D35DA9"/>
    <w:rsid w:val="00D36CBC"/>
    <w:rsid w:val="00D5142D"/>
    <w:rsid w:val="00D54C18"/>
    <w:rsid w:val="00D6422B"/>
    <w:rsid w:val="00DA3769"/>
    <w:rsid w:val="00DE50E2"/>
    <w:rsid w:val="00DF3653"/>
    <w:rsid w:val="00E04261"/>
    <w:rsid w:val="00E25FEF"/>
    <w:rsid w:val="00E439BB"/>
    <w:rsid w:val="00EC71B5"/>
    <w:rsid w:val="00F027B7"/>
    <w:rsid w:val="00F31280"/>
    <w:rsid w:val="00F8255D"/>
    <w:rsid w:val="00FA5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E4F7EA3"/>
  <w15:chartTrackingRefBased/>
  <w15:docId w15:val="{C06031B9-DAFF-4D24-8216-215BE15B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26613F"/>
    <w:rPr>
      <w:color w:val="0000FF"/>
      <w:shd w:val="clear" w:color="auto" w:fill="auto"/>
    </w:rPr>
  </w:style>
  <w:style w:type="paragraph" w:customStyle="1" w:styleId="Pagedecouverture">
    <w:name w:val="Page de couverture"/>
    <w:basedOn w:val="Normal"/>
    <w:next w:val="Normal"/>
    <w:rsid w:val="0026613F"/>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266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13F"/>
  </w:style>
  <w:style w:type="paragraph" w:styleId="Footer">
    <w:name w:val="footer"/>
    <w:basedOn w:val="Normal"/>
    <w:link w:val="FooterChar"/>
    <w:uiPriority w:val="99"/>
    <w:unhideWhenUsed/>
    <w:rsid w:val="002661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13F"/>
  </w:style>
  <w:style w:type="paragraph" w:customStyle="1" w:styleId="FooterCoverPage">
    <w:name w:val="Footer Cover Page"/>
    <w:basedOn w:val="Normal"/>
    <w:link w:val="FooterCoverPageChar"/>
    <w:rsid w:val="0026613F"/>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6613F"/>
    <w:rPr>
      <w:rFonts w:ascii="Times New Roman" w:hAnsi="Times New Roman" w:cs="Times New Roman"/>
      <w:sz w:val="24"/>
    </w:rPr>
  </w:style>
  <w:style w:type="paragraph" w:customStyle="1" w:styleId="FooterSensitivity">
    <w:name w:val="Footer Sensitivity"/>
    <w:basedOn w:val="Normal"/>
    <w:link w:val="FooterSensitivityChar"/>
    <w:rsid w:val="0026613F"/>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6613F"/>
    <w:rPr>
      <w:rFonts w:ascii="Times New Roman" w:hAnsi="Times New Roman" w:cs="Times New Roman"/>
      <w:b/>
      <w:sz w:val="32"/>
    </w:rPr>
  </w:style>
  <w:style w:type="paragraph" w:customStyle="1" w:styleId="HeaderCoverPage">
    <w:name w:val="Header Cover Page"/>
    <w:basedOn w:val="Normal"/>
    <w:link w:val="HeaderCoverPageChar"/>
    <w:rsid w:val="0026613F"/>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6613F"/>
    <w:rPr>
      <w:rFonts w:ascii="Times New Roman" w:hAnsi="Times New Roman" w:cs="Times New Roman"/>
      <w:sz w:val="24"/>
    </w:rPr>
  </w:style>
  <w:style w:type="paragraph" w:customStyle="1" w:styleId="HeaderSensitivity">
    <w:name w:val="Header Sensitivity"/>
    <w:basedOn w:val="Normal"/>
    <w:link w:val="HeaderSensitivityChar"/>
    <w:rsid w:val="0026613F"/>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6613F"/>
    <w:rPr>
      <w:rFonts w:ascii="Times New Roman" w:hAnsi="Times New Roman" w:cs="Times New Roman"/>
      <w:b/>
      <w:sz w:val="32"/>
    </w:rPr>
  </w:style>
  <w:style w:type="paragraph" w:customStyle="1" w:styleId="HeaderSensitivityRight">
    <w:name w:val="Header Sensitivity Right"/>
    <w:basedOn w:val="Normal"/>
    <w:link w:val="HeaderSensitivityRightChar"/>
    <w:rsid w:val="0026613F"/>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6613F"/>
    <w:rPr>
      <w:rFonts w:ascii="Times New Roman" w:hAnsi="Times New Roman" w:cs="Times New Roman"/>
      <w:sz w:val="28"/>
    </w:rPr>
  </w:style>
  <w:style w:type="table" w:styleId="TableGrid">
    <w:name w:val="Table Grid"/>
    <w:basedOn w:val="TableNormal"/>
    <w:uiPriority w:val="59"/>
    <w:rsid w:val="00AB2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297D"/>
    <w:rPr>
      <w:sz w:val="16"/>
      <w:szCs w:val="16"/>
    </w:rPr>
  </w:style>
  <w:style w:type="paragraph" w:styleId="CommentText">
    <w:name w:val="annotation text"/>
    <w:basedOn w:val="Normal"/>
    <w:link w:val="CommentTextChar"/>
    <w:uiPriority w:val="99"/>
    <w:unhideWhenUsed/>
    <w:rsid w:val="00AB297D"/>
    <w:pPr>
      <w:spacing w:line="240" w:lineRule="auto"/>
    </w:pPr>
    <w:rPr>
      <w:sz w:val="20"/>
      <w:szCs w:val="20"/>
    </w:rPr>
  </w:style>
  <w:style w:type="character" w:customStyle="1" w:styleId="CommentTextChar">
    <w:name w:val="Comment Text Char"/>
    <w:basedOn w:val="DefaultParagraphFont"/>
    <w:link w:val="CommentText"/>
    <w:uiPriority w:val="99"/>
    <w:rsid w:val="00AB297D"/>
    <w:rPr>
      <w:sz w:val="20"/>
      <w:szCs w:val="20"/>
    </w:rPr>
  </w:style>
  <w:style w:type="paragraph" w:styleId="BalloonText">
    <w:name w:val="Balloon Text"/>
    <w:basedOn w:val="Normal"/>
    <w:link w:val="BalloonTextChar"/>
    <w:uiPriority w:val="99"/>
    <w:semiHidden/>
    <w:unhideWhenUsed/>
    <w:rsid w:val="00AB2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97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B297D"/>
    <w:rPr>
      <w:b/>
      <w:bCs/>
    </w:rPr>
  </w:style>
  <w:style w:type="character" w:customStyle="1" w:styleId="CommentSubjectChar">
    <w:name w:val="Comment Subject Char"/>
    <w:basedOn w:val="CommentTextChar"/>
    <w:link w:val="CommentSubject"/>
    <w:uiPriority w:val="99"/>
    <w:semiHidden/>
    <w:rsid w:val="00AB297D"/>
    <w:rPr>
      <w:b/>
      <w:bCs/>
      <w:sz w:val="20"/>
      <w:szCs w:val="20"/>
    </w:rPr>
  </w:style>
  <w:style w:type="paragraph" w:customStyle="1" w:styleId="paragraph">
    <w:name w:val="paragraph"/>
    <w:basedOn w:val="Normal"/>
    <w:rsid w:val="00432B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32BB8"/>
  </w:style>
  <w:style w:type="character" w:customStyle="1" w:styleId="eop">
    <w:name w:val="eop"/>
    <w:basedOn w:val="DefaultParagraphFont"/>
    <w:rsid w:val="00432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655947">
      <w:bodyDiv w:val="1"/>
      <w:marLeft w:val="0"/>
      <w:marRight w:val="0"/>
      <w:marTop w:val="0"/>
      <w:marBottom w:val="0"/>
      <w:divBdr>
        <w:top w:val="none" w:sz="0" w:space="0" w:color="auto"/>
        <w:left w:val="none" w:sz="0" w:space="0" w:color="auto"/>
        <w:bottom w:val="none" w:sz="0" w:space="0" w:color="auto"/>
        <w:right w:val="none" w:sz="0" w:space="0" w:color="auto"/>
      </w:divBdr>
      <w:divsChild>
        <w:div w:id="2142503933">
          <w:marLeft w:val="0"/>
          <w:marRight w:val="0"/>
          <w:marTop w:val="0"/>
          <w:marBottom w:val="0"/>
          <w:divBdr>
            <w:top w:val="none" w:sz="0" w:space="0" w:color="auto"/>
            <w:left w:val="none" w:sz="0" w:space="0" w:color="auto"/>
            <w:bottom w:val="none" w:sz="0" w:space="0" w:color="auto"/>
            <w:right w:val="none" w:sz="0" w:space="0" w:color="auto"/>
          </w:divBdr>
        </w:div>
        <w:div w:id="478116625">
          <w:marLeft w:val="0"/>
          <w:marRight w:val="0"/>
          <w:marTop w:val="0"/>
          <w:marBottom w:val="0"/>
          <w:divBdr>
            <w:top w:val="none" w:sz="0" w:space="0" w:color="auto"/>
            <w:left w:val="none" w:sz="0" w:space="0" w:color="auto"/>
            <w:bottom w:val="none" w:sz="0" w:space="0" w:color="auto"/>
            <w:right w:val="none" w:sz="0" w:space="0" w:color="auto"/>
          </w:divBdr>
        </w:div>
        <w:div w:id="2096171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1264</Words>
  <Characters>8838</Characters>
  <Application>Microsoft Office Word</Application>
  <DocSecurity>0</DocSecurity>
  <Lines>157</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34</cp:revision>
  <dcterms:created xsi:type="dcterms:W3CDTF">2023-03-29T10:28:00Z</dcterms:created>
  <dcterms:modified xsi:type="dcterms:W3CDTF">2023-11-03T08:56:00Z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9.0, Build 20230317</vt:lpwstr>
  </property>
  <property fmtid="{D5CDD505-2E9C-101B-9397-08002B2CF9AE}" pid="8" name="Created using">
    <vt:lpwstr>LW 7.0.1, Build 20190916</vt:lpwstr>
  </property>
  <property fmtid="{D5CDD505-2E9C-101B-9397-08002B2CF9AE}" pid="9" name="MSIP_Label_6bd9ddd1-4d20-43f6-abfa-fc3c07406f94_Enabled">
    <vt:lpwstr>true</vt:lpwstr>
  </property>
  <property fmtid="{D5CDD505-2E9C-101B-9397-08002B2CF9AE}" pid="10" name="MSIP_Label_6bd9ddd1-4d20-43f6-abfa-fc3c07406f94_SetDate">
    <vt:lpwstr>2023-09-21T09:02:52Z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91763663-9ab0-4501-9286-e575148dd4ee</vt:lpwstr>
  </property>
  <property fmtid="{D5CDD505-2E9C-101B-9397-08002B2CF9AE}" pid="15" name="MSIP_Label_6bd9ddd1-4d20-43f6-abfa-fc3c07406f94_ContentBits">
    <vt:lpwstr>0</vt:lpwstr>
  </property>
</Properties>
</file>