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87" w:rsidRPr="00245987" w:rsidRDefault="00AB5C3D" w:rsidP="00245987">
      <w:pPr>
        <w:pStyle w:val="tytukomunikatu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WYPRZEDAŻE – PRAWA KONSUMENTÓW</w:t>
      </w:r>
    </w:p>
    <w:p w:rsidR="00245987" w:rsidRPr="003E4E96" w:rsidRDefault="00AB5C3D" w:rsidP="00245987">
      <w:pPr>
        <w:pStyle w:val="tekstkomunikatu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 xml:space="preserve">Ubrania przecenione nie podlegają reklamacji </w:t>
      </w:r>
      <w:r w:rsidR="003E4E96">
        <w:rPr>
          <w:rFonts w:ascii="Trebuchet MS" w:hAnsi="Trebuchet MS"/>
          <w:b/>
          <w:i/>
          <w:sz w:val="22"/>
          <w:szCs w:val="22"/>
        </w:rPr>
        <w:t>–</w:t>
      </w:r>
      <w:r>
        <w:rPr>
          <w:rFonts w:ascii="Trebuchet MS" w:hAnsi="Trebuchet MS"/>
          <w:b/>
          <w:i/>
          <w:sz w:val="22"/>
          <w:szCs w:val="22"/>
        </w:rPr>
        <w:t xml:space="preserve"> </w:t>
      </w:r>
      <w:r w:rsidR="003E4E96">
        <w:rPr>
          <w:rFonts w:ascii="Trebuchet MS" w:hAnsi="Trebuchet MS"/>
          <w:b/>
          <w:sz w:val="22"/>
          <w:szCs w:val="22"/>
        </w:rPr>
        <w:t xml:space="preserve">sprzedawca, który </w:t>
      </w:r>
      <w:r w:rsidR="00AC0BED">
        <w:rPr>
          <w:rFonts w:ascii="Trebuchet MS" w:hAnsi="Trebuchet MS"/>
          <w:b/>
          <w:sz w:val="22"/>
          <w:szCs w:val="22"/>
        </w:rPr>
        <w:t>informuje o tym</w:t>
      </w:r>
      <w:r w:rsidR="00BA319A">
        <w:rPr>
          <w:rFonts w:ascii="Trebuchet MS" w:hAnsi="Trebuchet MS"/>
          <w:b/>
          <w:sz w:val="22"/>
          <w:szCs w:val="22"/>
        </w:rPr>
        <w:t xml:space="preserve"> klientów – łamie prawo. </w:t>
      </w:r>
      <w:r w:rsidR="00CE6100">
        <w:rPr>
          <w:rFonts w:ascii="Trebuchet MS" w:hAnsi="Trebuchet MS"/>
          <w:b/>
          <w:sz w:val="22"/>
          <w:szCs w:val="22"/>
        </w:rPr>
        <w:t>R</w:t>
      </w:r>
      <w:r w:rsidR="00BA319A">
        <w:rPr>
          <w:rFonts w:ascii="Trebuchet MS" w:hAnsi="Trebuchet MS"/>
          <w:b/>
          <w:sz w:val="22"/>
          <w:szCs w:val="22"/>
        </w:rPr>
        <w:t xml:space="preserve">zecz kupioną na wyprzedaży </w:t>
      </w:r>
      <w:r w:rsidR="002274A1">
        <w:rPr>
          <w:rFonts w:ascii="Trebuchet MS" w:hAnsi="Trebuchet MS"/>
          <w:b/>
          <w:sz w:val="22"/>
          <w:szCs w:val="22"/>
        </w:rPr>
        <w:t>moż</w:t>
      </w:r>
      <w:r w:rsidR="004026D6">
        <w:rPr>
          <w:rFonts w:ascii="Trebuchet MS" w:hAnsi="Trebuchet MS"/>
          <w:b/>
          <w:sz w:val="22"/>
          <w:szCs w:val="22"/>
        </w:rPr>
        <w:t>na</w:t>
      </w:r>
      <w:r w:rsidR="002274A1">
        <w:rPr>
          <w:rFonts w:ascii="Trebuchet MS" w:hAnsi="Trebuchet MS"/>
          <w:b/>
          <w:sz w:val="22"/>
          <w:szCs w:val="22"/>
        </w:rPr>
        <w:t xml:space="preserve"> </w:t>
      </w:r>
      <w:r w:rsidR="00BA319A">
        <w:rPr>
          <w:rFonts w:ascii="Trebuchet MS" w:hAnsi="Trebuchet MS"/>
          <w:b/>
          <w:sz w:val="22"/>
          <w:szCs w:val="22"/>
        </w:rPr>
        <w:t>reklamować</w:t>
      </w:r>
      <w:r w:rsidR="00053CB4">
        <w:rPr>
          <w:rFonts w:ascii="Trebuchet MS" w:hAnsi="Trebuchet MS"/>
          <w:b/>
          <w:sz w:val="22"/>
          <w:szCs w:val="22"/>
        </w:rPr>
        <w:t>, ale już jej zwrot zależy tylko od dobrej woli sprzedawcy</w:t>
      </w:r>
      <w:r w:rsidR="00B647A2">
        <w:rPr>
          <w:rFonts w:ascii="Trebuchet MS" w:hAnsi="Trebuchet MS"/>
          <w:b/>
          <w:sz w:val="22"/>
          <w:szCs w:val="22"/>
        </w:rPr>
        <w:t>. Przypominamy o prawach korzystających z wyprzedaży</w:t>
      </w:r>
    </w:p>
    <w:p w:rsidR="00174447" w:rsidRDefault="00245987" w:rsidP="002274A1">
      <w:pPr>
        <w:spacing w:after="120" w:line="360" w:lineRule="auto"/>
        <w:jc w:val="both"/>
        <w:rPr>
          <w:rFonts w:ascii="Trebuchet MS" w:hAnsi="Trebuchet MS"/>
        </w:rPr>
      </w:pPr>
      <w:r w:rsidRPr="00245987">
        <w:rPr>
          <w:rFonts w:ascii="Trebuchet MS" w:hAnsi="Trebuchet MS"/>
          <w:b/>
          <w:bCs/>
        </w:rPr>
        <w:t xml:space="preserve">[Warszawa, </w:t>
      </w:r>
      <w:r w:rsidR="00A43604">
        <w:rPr>
          <w:rFonts w:ascii="Trebuchet MS" w:hAnsi="Trebuchet MS"/>
          <w:b/>
          <w:bCs/>
        </w:rPr>
        <w:t>1</w:t>
      </w:r>
      <w:r w:rsidR="00B57CE7">
        <w:rPr>
          <w:rFonts w:ascii="Trebuchet MS" w:hAnsi="Trebuchet MS"/>
          <w:b/>
          <w:bCs/>
        </w:rPr>
        <w:t xml:space="preserve">7 </w:t>
      </w:r>
      <w:r w:rsidR="00A43604">
        <w:rPr>
          <w:rFonts w:ascii="Trebuchet MS" w:hAnsi="Trebuchet MS"/>
          <w:b/>
          <w:bCs/>
        </w:rPr>
        <w:t>lipca</w:t>
      </w:r>
      <w:r w:rsidR="002274A1">
        <w:rPr>
          <w:rFonts w:ascii="Trebuchet MS" w:hAnsi="Trebuchet MS"/>
          <w:b/>
          <w:bCs/>
        </w:rPr>
        <w:t xml:space="preserve"> 201</w:t>
      </w:r>
      <w:r w:rsidR="002E2BDC">
        <w:rPr>
          <w:rFonts w:ascii="Trebuchet MS" w:hAnsi="Trebuchet MS"/>
          <w:b/>
          <w:bCs/>
        </w:rPr>
        <w:t>5</w:t>
      </w:r>
      <w:r w:rsidRPr="00245987">
        <w:rPr>
          <w:rFonts w:ascii="Trebuchet MS" w:hAnsi="Trebuchet MS"/>
          <w:b/>
          <w:bCs/>
        </w:rPr>
        <w:t xml:space="preserve"> r.]</w:t>
      </w:r>
      <w:r w:rsidRPr="00245987">
        <w:rPr>
          <w:rFonts w:ascii="Trebuchet MS" w:hAnsi="Trebuchet MS"/>
        </w:rPr>
        <w:t xml:space="preserve"> </w:t>
      </w:r>
      <w:r w:rsidR="004E5960" w:rsidRPr="004E5960">
        <w:rPr>
          <w:rFonts w:ascii="Trebuchet MS" w:hAnsi="Trebuchet MS" w:cs="Georgia"/>
          <w:kern w:val="16"/>
          <w:lang w:eastAsia="pl-PL"/>
        </w:rPr>
        <w:t>W czasie sezonowych wyprzedaży klienci powinni pamiętać o kilku podstawowych zasadach:</w:t>
      </w:r>
    </w:p>
    <w:p w:rsidR="00781A91" w:rsidRDefault="00E178BB" w:rsidP="00053CB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rebuchet MS" w:hAnsi="Trebuchet MS"/>
        </w:rPr>
      </w:pPr>
      <w:r w:rsidRPr="00053CB4">
        <w:rPr>
          <w:rFonts w:ascii="Trebuchet MS" w:hAnsi="Trebuchet MS"/>
          <w:b/>
        </w:rPr>
        <w:t>2 lata</w:t>
      </w:r>
      <w:r w:rsidR="004E5960">
        <w:rPr>
          <w:rFonts w:ascii="Trebuchet MS" w:hAnsi="Trebuchet MS"/>
          <w:b/>
        </w:rPr>
        <w:t xml:space="preserve"> </w:t>
      </w:r>
      <w:r w:rsidRPr="00053CB4">
        <w:rPr>
          <w:rFonts w:ascii="Trebuchet MS" w:hAnsi="Trebuchet MS"/>
        </w:rPr>
        <w:t>– tyle w</w:t>
      </w:r>
      <w:r w:rsidR="004026D6" w:rsidRPr="00053CB4">
        <w:rPr>
          <w:rFonts w:ascii="Trebuchet MS" w:hAnsi="Trebuchet MS"/>
        </w:rPr>
        <w:t xml:space="preserve">ynosi czas na </w:t>
      </w:r>
      <w:hyperlink r:id="rId8" w:history="1">
        <w:r w:rsidR="004026D6" w:rsidRPr="007E1679">
          <w:rPr>
            <w:rStyle w:val="Hipercze"/>
            <w:rFonts w:ascii="Trebuchet MS" w:hAnsi="Trebuchet MS"/>
          </w:rPr>
          <w:t>zgłoszenie reklamacji</w:t>
        </w:r>
      </w:hyperlink>
      <w:r w:rsidR="00174447" w:rsidRPr="00053CB4">
        <w:rPr>
          <w:rFonts w:ascii="Trebuchet MS" w:hAnsi="Trebuchet MS"/>
        </w:rPr>
        <w:t xml:space="preserve">. </w:t>
      </w:r>
      <w:r w:rsidR="0034096F">
        <w:rPr>
          <w:rFonts w:ascii="Trebuchet MS" w:hAnsi="Trebuchet MS"/>
        </w:rPr>
        <w:t>Reklamację składamy w sklepie,</w:t>
      </w:r>
      <w:r w:rsidR="00781A91">
        <w:rPr>
          <w:rFonts w:ascii="Trebuchet MS" w:hAnsi="Trebuchet MS"/>
        </w:rPr>
        <w:t xml:space="preserve"> </w:t>
      </w:r>
      <w:r w:rsidR="0034096F">
        <w:rPr>
          <w:rFonts w:ascii="Trebuchet MS" w:hAnsi="Trebuchet MS"/>
        </w:rPr>
        <w:t>w którym zrobiliśmy</w:t>
      </w:r>
      <w:r w:rsidR="00781A91">
        <w:rPr>
          <w:rFonts w:ascii="Trebuchet MS" w:hAnsi="Trebuchet MS"/>
        </w:rPr>
        <w:t xml:space="preserve"> zakupy.</w:t>
      </w:r>
      <w:r w:rsidR="00E30F3F">
        <w:rPr>
          <w:rFonts w:ascii="Trebuchet MS" w:hAnsi="Trebuchet MS"/>
        </w:rPr>
        <w:t xml:space="preserve"> </w:t>
      </w:r>
      <w:r w:rsidR="0034096F">
        <w:rPr>
          <w:rFonts w:ascii="Trebuchet MS" w:hAnsi="Trebuchet MS"/>
        </w:rPr>
        <w:t xml:space="preserve">Najlepiej na piśmie. </w:t>
      </w:r>
      <w:r w:rsidR="00405BB6" w:rsidRPr="007E1679">
        <w:rPr>
          <w:rStyle w:val="Pogrubienie"/>
          <w:rFonts w:ascii="Trebuchet MS" w:hAnsi="Trebuchet MS"/>
          <w:b w:val="0"/>
        </w:rPr>
        <w:t>Przedsiębiorca nie może w żaden sposób odmówić przyjęcia reklamacji.</w:t>
      </w:r>
      <w:r w:rsidR="00405BB6">
        <w:rPr>
          <w:rStyle w:val="Pogrubienie"/>
        </w:rPr>
        <w:t xml:space="preserve"> </w:t>
      </w:r>
      <w:r w:rsidR="00E860FB" w:rsidRPr="00405BB6">
        <w:rPr>
          <w:rFonts w:ascii="Trebuchet MS" w:hAnsi="Trebuchet MS"/>
          <w:b/>
        </w:rPr>
        <w:t xml:space="preserve">Kupując rzeczy </w:t>
      </w:r>
      <w:r w:rsidR="00E30F3F" w:rsidRPr="00405BB6">
        <w:rPr>
          <w:rFonts w:ascii="Trebuchet MS" w:hAnsi="Trebuchet MS"/>
          <w:b/>
        </w:rPr>
        <w:t xml:space="preserve">na wyprzedaży,  ekspozycji </w:t>
      </w:r>
      <w:r w:rsidR="00E25916" w:rsidRPr="00405BB6">
        <w:rPr>
          <w:rFonts w:ascii="Trebuchet MS" w:hAnsi="Trebuchet MS"/>
          <w:b/>
        </w:rPr>
        <w:t>lub</w:t>
      </w:r>
      <w:r w:rsidR="00E30F3F" w:rsidRPr="00405BB6">
        <w:rPr>
          <w:rFonts w:ascii="Trebuchet MS" w:hAnsi="Trebuchet MS"/>
          <w:b/>
        </w:rPr>
        <w:t xml:space="preserve"> z promocji</w:t>
      </w:r>
      <w:r w:rsidR="0034096F" w:rsidRPr="00405BB6">
        <w:rPr>
          <w:rFonts w:ascii="Trebuchet MS" w:hAnsi="Trebuchet MS"/>
          <w:b/>
        </w:rPr>
        <w:t xml:space="preserve"> – </w:t>
      </w:r>
      <w:r w:rsidR="00E860FB" w:rsidRPr="00405BB6">
        <w:rPr>
          <w:rFonts w:ascii="Trebuchet MS" w:hAnsi="Trebuchet MS"/>
          <w:b/>
        </w:rPr>
        <w:t>mamy tyle samo praw, co w przypadku zakupu po cenie regularnej</w:t>
      </w:r>
      <w:r w:rsidR="00E30F3F">
        <w:rPr>
          <w:rFonts w:ascii="Trebuchet MS" w:hAnsi="Trebuchet MS"/>
        </w:rPr>
        <w:t>.</w:t>
      </w:r>
      <w:r w:rsidR="007E1679">
        <w:rPr>
          <w:rFonts w:ascii="Trebuchet MS" w:hAnsi="Trebuchet MS"/>
        </w:rPr>
        <w:t xml:space="preserve"> </w:t>
      </w:r>
    </w:p>
    <w:p w:rsidR="00A8324A" w:rsidRPr="00A8324A" w:rsidRDefault="00E25916" w:rsidP="00A832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Możemy </w:t>
      </w:r>
      <w:r w:rsidR="00781A91">
        <w:rPr>
          <w:rFonts w:ascii="Trebuchet MS" w:hAnsi="Trebuchet MS"/>
          <w:b/>
        </w:rPr>
        <w:t>żądać:</w:t>
      </w:r>
      <w:r w:rsidR="00DA7900">
        <w:rPr>
          <w:rFonts w:ascii="Trebuchet MS" w:hAnsi="Trebuchet MS"/>
          <w:b/>
        </w:rPr>
        <w:t xml:space="preserve"> </w:t>
      </w:r>
      <w:r w:rsidR="00186193">
        <w:rPr>
          <w:rFonts w:ascii="Trebuchet MS" w:hAnsi="Trebuchet MS"/>
        </w:rPr>
        <w:t xml:space="preserve">naprawy, wymiany, </w:t>
      </w:r>
      <w:r w:rsidR="00781A91" w:rsidRPr="00781A91">
        <w:rPr>
          <w:rFonts w:ascii="Trebuchet MS" w:hAnsi="Trebuchet MS"/>
        </w:rPr>
        <w:t>obniżenia ceny</w:t>
      </w:r>
      <w:r w:rsidR="00781A91">
        <w:rPr>
          <w:rFonts w:ascii="Trebuchet MS" w:hAnsi="Trebuchet MS"/>
        </w:rPr>
        <w:t xml:space="preserve"> (konsument musi wskazać o ile powinna</w:t>
      </w:r>
      <w:r w:rsidR="00B57CE7">
        <w:rPr>
          <w:rFonts w:ascii="Trebuchet MS" w:hAnsi="Trebuchet MS"/>
        </w:rPr>
        <w:t xml:space="preserve"> obniżyć się cena</w:t>
      </w:r>
      <w:r w:rsidR="00781A91">
        <w:rPr>
          <w:rFonts w:ascii="Trebuchet MS" w:hAnsi="Trebuchet MS"/>
        </w:rPr>
        <w:t>)</w:t>
      </w:r>
      <w:r w:rsidR="00781A91" w:rsidRPr="00781A91">
        <w:rPr>
          <w:rFonts w:ascii="Trebuchet MS" w:hAnsi="Trebuchet MS"/>
        </w:rPr>
        <w:t xml:space="preserve"> lub </w:t>
      </w:r>
      <w:r w:rsidR="00E30F3F" w:rsidRPr="00781A91">
        <w:rPr>
          <w:rFonts w:ascii="Trebuchet MS" w:hAnsi="Trebuchet MS"/>
        </w:rPr>
        <w:t xml:space="preserve">gdy wada jest istotna </w:t>
      </w:r>
      <w:r w:rsidR="00E30F3F">
        <w:rPr>
          <w:rFonts w:ascii="Trebuchet MS" w:hAnsi="Trebuchet MS"/>
        </w:rPr>
        <w:t xml:space="preserve">- </w:t>
      </w:r>
      <w:r w:rsidR="00781A91" w:rsidRPr="00781A91">
        <w:rPr>
          <w:rFonts w:ascii="Trebuchet MS" w:hAnsi="Trebuchet MS"/>
        </w:rPr>
        <w:t>zwrotu pieniędzy.</w:t>
      </w:r>
      <w:r w:rsidR="00C50A45">
        <w:rPr>
          <w:rFonts w:ascii="Trebuchet MS" w:hAnsi="Trebuchet MS"/>
        </w:rPr>
        <w:t xml:space="preserve"> Wybór należy do klienta.</w:t>
      </w:r>
      <w:r w:rsidR="00A8324A">
        <w:rPr>
          <w:rFonts w:ascii="Trebuchet MS" w:hAnsi="Trebuchet MS"/>
        </w:rPr>
        <w:t xml:space="preserve"> </w:t>
      </w:r>
      <w:r w:rsidR="006479C7">
        <w:rPr>
          <w:rFonts w:ascii="Trebuchet MS" w:hAnsi="Trebuchet MS"/>
        </w:rPr>
        <w:t>Jeżeli p</w:t>
      </w:r>
      <w:r w:rsidR="00030802" w:rsidRPr="004D483E">
        <w:rPr>
          <w:rFonts w:ascii="Trebuchet MS" w:hAnsi="Trebuchet MS"/>
        </w:rPr>
        <w:t>rzedsiębiorca nie zgadza się z tym wyborem, może pod pewnymi warunkami zaproponować inne rozwiązanie</w:t>
      </w:r>
      <w:r w:rsidR="00405BB6">
        <w:rPr>
          <w:rFonts w:ascii="Trebuchet MS" w:hAnsi="Trebuchet MS"/>
        </w:rPr>
        <w:t xml:space="preserve"> (np. zamiast wymiany – naprawę)</w:t>
      </w:r>
      <w:r w:rsidR="004D483E">
        <w:rPr>
          <w:rFonts w:ascii="Trebuchet MS" w:hAnsi="Trebuchet MS"/>
        </w:rPr>
        <w:t>.</w:t>
      </w:r>
    </w:p>
    <w:p w:rsidR="002274A1" w:rsidRDefault="00174447" w:rsidP="00053CB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rebuchet MS" w:hAnsi="Trebuchet MS"/>
        </w:rPr>
      </w:pPr>
      <w:r w:rsidRPr="00053CB4">
        <w:rPr>
          <w:rFonts w:ascii="Trebuchet MS" w:hAnsi="Trebuchet MS"/>
          <w:b/>
        </w:rPr>
        <w:t>1</w:t>
      </w:r>
      <w:r w:rsidR="004D483E">
        <w:rPr>
          <w:rFonts w:ascii="Trebuchet MS" w:hAnsi="Trebuchet MS"/>
          <w:b/>
        </w:rPr>
        <w:t xml:space="preserve">4 dni - </w:t>
      </w:r>
      <w:r w:rsidRPr="00053CB4">
        <w:rPr>
          <w:rFonts w:ascii="Trebuchet MS" w:hAnsi="Trebuchet MS"/>
        </w:rPr>
        <w:t xml:space="preserve">w takim czasie </w:t>
      </w:r>
      <w:r w:rsidR="004D483E">
        <w:rPr>
          <w:rFonts w:ascii="Trebuchet MS" w:hAnsi="Trebuchet MS"/>
        </w:rPr>
        <w:t>przedsiębiorca musi rozpatrzyć reklamacje klienta</w:t>
      </w:r>
      <w:r w:rsidR="00E25916">
        <w:rPr>
          <w:rFonts w:ascii="Trebuchet MS" w:hAnsi="Trebuchet MS"/>
        </w:rPr>
        <w:t>.</w:t>
      </w:r>
      <w:r w:rsidR="004D483E" w:rsidRPr="004D483E">
        <w:rPr>
          <w:rFonts w:ascii="Trebuchet MS" w:hAnsi="Trebuchet MS"/>
        </w:rPr>
        <w:t xml:space="preserve"> W przypadku niedotrzymania tego terminu uznaje się, że reklamacja jest zasadna.</w:t>
      </w:r>
    </w:p>
    <w:p w:rsidR="00053CB4" w:rsidRDefault="00053CB4" w:rsidP="00053CB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Zwrot</w:t>
      </w:r>
      <w:r w:rsidR="00C50A45">
        <w:rPr>
          <w:rFonts w:ascii="Trebuchet MS" w:hAnsi="Trebuchet MS"/>
          <w:b/>
        </w:rPr>
        <w:t xml:space="preserve"> produktu</w:t>
      </w:r>
      <w:r w:rsidR="00C50A45" w:rsidRPr="00C50A45">
        <w:rPr>
          <w:rFonts w:ascii="Trebuchet MS" w:hAnsi="Trebuchet MS"/>
        </w:rPr>
        <w:t>, który po prostu nam się nie podoba –</w:t>
      </w:r>
      <w:r w:rsidR="00E25916">
        <w:rPr>
          <w:rFonts w:ascii="Trebuchet MS" w:hAnsi="Trebuchet MS"/>
        </w:rPr>
        <w:t xml:space="preserve"> zależ</w:t>
      </w:r>
      <w:r w:rsidR="00FF3E67">
        <w:rPr>
          <w:rFonts w:ascii="Trebuchet MS" w:hAnsi="Trebuchet MS"/>
        </w:rPr>
        <w:t>y</w:t>
      </w:r>
      <w:r w:rsidR="00C50A45" w:rsidRPr="00C50A45">
        <w:rPr>
          <w:rFonts w:ascii="Trebuchet MS" w:hAnsi="Trebuchet MS"/>
        </w:rPr>
        <w:t xml:space="preserve"> tylko od dobrej woli sprzedawcy. </w:t>
      </w:r>
      <w:r w:rsidR="00FF3E67">
        <w:rPr>
          <w:rFonts w:ascii="Trebuchet MS" w:hAnsi="Trebuchet MS"/>
        </w:rPr>
        <w:t xml:space="preserve">Gdy </w:t>
      </w:r>
      <w:r w:rsidR="00E25916">
        <w:rPr>
          <w:rFonts w:ascii="Trebuchet MS" w:hAnsi="Trebuchet MS"/>
        </w:rPr>
        <w:t>oferuje</w:t>
      </w:r>
      <w:r w:rsidR="00FF3E67">
        <w:rPr>
          <w:rFonts w:ascii="Trebuchet MS" w:hAnsi="Trebuchet MS"/>
        </w:rPr>
        <w:t xml:space="preserve"> </w:t>
      </w:r>
      <w:r w:rsidR="00E25916">
        <w:rPr>
          <w:rFonts w:ascii="Trebuchet MS" w:hAnsi="Trebuchet MS"/>
        </w:rPr>
        <w:t xml:space="preserve">możliwość zwrotu towaru, sam określa warunki. Może żądać np. dołączenia opakowania, </w:t>
      </w:r>
      <w:r w:rsidR="00FF3E67">
        <w:rPr>
          <w:rFonts w:ascii="Trebuchet MS" w:hAnsi="Trebuchet MS"/>
        </w:rPr>
        <w:t>metek. W zamian – może zaproponować konsumentowi m.in. zwrot gotówki, wymianę czy bon na zakupy w tej samej sieci.</w:t>
      </w:r>
    </w:p>
    <w:p w:rsidR="00E25916" w:rsidRDefault="00E860FB" w:rsidP="00053CB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rebuchet MS" w:hAnsi="Trebuchet MS"/>
        </w:rPr>
      </w:pPr>
      <w:r w:rsidRPr="00E860FB">
        <w:rPr>
          <w:rFonts w:ascii="Trebuchet MS" w:hAnsi="Trebuchet MS"/>
          <w:b/>
        </w:rPr>
        <w:t>Dowód zakupu</w:t>
      </w:r>
      <w:r>
        <w:rPr>
          <w:rFonts w:ascii="Trebuchet MS" w:hAnsi="Trebuchet MS"/>
        </w:rPr>
        <w:t xml:space="preserve"> – jest konieczny do zgłoszenia reklamacji. </w:t>
      </w:r>
      <w:r w:rsidR="00957295">
        <w:rPr>
          <w:rFonts w:ascii="Trebuchet MS" w:hAnsi="Trebuchet MS"/>
        </w:rPr>
        <w:t>Najprostszym jest paragon, który powinniśmy dostać od</w:t>
      </w:r>
      <w:r w:rsidR="002F5403">
        <w:rPr>
          <w:rFonts w:ascii="Trebuchet MS" w:hAnsi="Trebuchet MS"/>
        </w:rPr>
        <w:t xml:space="preserve"> każdego</w:t>
      </w:r>
      <w:r w:rsidR="00957295">
        <w:rPr>
          <w:rFonts w:ascii="Trebuchet MS" w:hAnsi="Trebuchet MS"/>
        </w:rPr>
        <w:t xml:space="preserve"> sprzedawcy</w:t>
      </w:r>
      <w:r w:rsidR="002F5403">
        <w:rPr>
          <w:rFonts w:ascii="Trebuchet MS" w:hAnsi="Trebuchet MS"/>
        </w:rPr>
        <w:t>, nawet handlującego</w:t>
      </w:r>
      <w:r w:rsidR="00957295">
        <w:rPr>
          <w:rFonts w:ascii="Trebuchet MS" w:hAnsi="Trebuchet MS"/>
        </w:rPr>
        <w:t xml:space="preserve"> na bazarze. </w:t>
      </w:r>
      <w:r w:rsidR="002F5403">
        <w:rPr>
          <w:rFonts w:ascii="Trebuchet MS" w:hAnsi="Trebuchet MS"/>
        </w:rPr>
        <w:t xml:space="preserve">Ponadto </w:t>
      </w:r>
      <w:r w:rsidR="00AA6B79">
        <w:rPr>
          <w:rFonts w:ascii="Trebuchet MS" w:hAnsi="Trebuchet MS"/>
        </w:rPr>
        <w:t>–</w:t>
      </w:r>
      <w:r w:rsidR="002F5403">
        <w:rPr>
          <w:rFonts w:ascii="Trebuchet MS" w:hAnsi="Trebuchet MS"/>
        </w:rPr>
        <w:t xml:space="preserve"> </w:t>
      </w:r>
      <w:r w:rsidR="00AA6B79">
        <w:rPr>
          <w:rFonts w:ascii="Trebuchet MS" w:hAnsi="Trebuchet MS"/>
        </w:rPr>
        <w:t xml:space="preserve">dowodem zakupu może być też potwierdzenie płatności kartą, </w:t>
      </w:r>
      <w:r w:rsidR="00AE23BF">
        <w:rPr>
          <w:rFonts w:ascii="Trebuchet MS" w:hAnsi="Trebuchet MS"/>
        </w:rPr>
        <w:t xml:space="preserve">wyciąg z konta, faktura, a nawet zeznania osób, które nam towarzyszyły podczas zakupów. </w:t>
      </w:r>
    </w:p>
    <w:p w:rsidR="00AE23BF" w:rsidRDefault="00AE23BF" w:rsidP="00AE23BF">
      <w:pPr>
        <w:spacing w:after="120" w:line="360" w:lineRule="auto"/>
        <w:ind w:left="360"/>
        <w:jc w:val="both"/>
        <w:rPr>
          <w:rFonts w:ascii="Trebuchet MS" w:hAnsi="Trebuchet MS"/>
        </w:rPr>
      </w:pPr>
      <w:r>
        <w:rPr>
          <w:rFonts w:ascii="Trebuchet MS" w:hAnsi="Trebuchet MS"/>
        </w:rPr>
        <w:t>Zwracajmy uwagę również na sztuczki sprzedawców:</w:t>
      </w:r>
    </w:p>
    <w:p w:rsidR="00FF7970" w:rsidRPr="001F4A52" w:rsidRDefault="00FF7970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/>
          <w:bCs/>
        </w:rPr>
      </w:pPr>
      <w:r w:rsidRPr="001F4A52">
        <w:rPr>
          <w:rFonts w:ascii="Trebuchet MS" w:hAnsi="Trebuchet MS" w:cs="Tahoma"/>
          <w:b/>
        </w:rPr>
        <w:lastRenderedPageBreak/>
        <w:t>5,99 z</w:t>
      </w:r>
      <w:r w:rsidRPr="001F4A52">
        <w:rPr>
          <w:rFonts w:ascii="Trebuchet MS" w:hAnsi="Trebuchet MS" w:cs="Tahoma"/>
        </w:rPr>
        <w:t>ł brzmi lepiej niż 6 zł - magiczne końcówki 99 groszy, odpowiednie ułożenie towarów na półce, muzyka, duże koszyki – to sztuczki sprzedawców, który</w:t>
      </w:r>
      <w:r w:rsidR="001F4A52">
        <w:rPr>
          <w:rFonts w:ascii="Trebuchet MS" w:hAnsi="Trebuchet MS" w:cs="Tahoma"/>
        </w:rPr>
        <w:t>ch nie zawsze jesteśmy świadomi</w:t>
      </w:r>
      <w:r w:rsidRPr="001F4A52">
        <w:rPr>
          <w:rFonts w:ascii="Trebuchet MS" w:hAnsi="Trebuchet MS" w:cs="Tahoma"/>
        </w:rPr>
        <w:t xml:space="preserve">. </w:t>
      </w:r>
    </w:p>
    <w:p w:rsidR="009B0DDD" w:rsidRDefault="003B60B2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r w:rsidRPr="001F4A52">
        <w:rPr>
          <w:rFonts w:ascii="Trebuchet MS" w:hAnsi="Trebuchet MS"/>
          <w:b/>
        </w:rPr>
        <w:t>Inne ceny</w:t>
      </w:r>
      <w:r w:rsidRPr="001F4A52">
        <w:rPr>
          <w:rFonts w:ascii="Trebuchet MS" w:hAnsi="Trebuchet MS"/>
        </w:rPr>
        <w:t xml:space="preserve"> - zdarzają się różnice w cenach podanych przy towarze z cenami zakodowanymi w kasie, czytniku oraz podanymi w gazetkach reklamowych. Ważne:</w:t>
      </w:r>
      <w:r w:rsidRPr="001F4A52">
        <w:rPr>
          <w:rFonts w:ascii="Trebuchet MS" w:hAnsi="Trebuchet MS" w:cs="Tahoma"/>
          <w:bCs/>
        </w:rPr>
        <w:t xml:space="preserve"> cena podana na półce</w:t>
      </w:r>
      <w:r w:rsidR="00C61233" w:rsidRPr="001F4A52">
        <w:rPr>
          <w:rFonts w:ascii="Trebuchet MS" w:hAnsi="Trebuchet MS" w:cs="Tahoma"/>
          <w:bCs/>
        </w:rPr>
        <w:t xml:space="preserve"> </w:t>
      </w:r>
      <w:r w:rsidRPr="001F4A52">
        <w:rPr>
          <w:rFonts w:ascii="Trebuchet MS" w:hAnsi="Trebuchet MS" w:cs="Tahoma"/>
          <w:bCs/>
        </w:rPr>
        <w:t>lub na metce jest obowiązującą</w:t>
      </w:r>
      <w:r w:rsidRPr="001F4A52">
        <w:rPr>
          <w:rFonts w:ascii="Trebuchet MS" w:hAnsi="Trebuchet MS" w:cs="Tahoma"/>
        </w:rPr>
        <w:t>. W związku z tym, mamy prawo kup</w:t>
      </w:r>
      <w:r w:rsidR="00DA32A7" w:rsidRPr="001F4A52">
        <w:rPr>
          <w:rFonts w:ascii="Trebuchet MS" w:hAnsi="Trebuchet MS" w:cs="Tahoma"/>
        </w:rPr>
        <w:t>ić produkt po tej właśnie cenie</w:t>
      </w:r>
      <w:r w:rsidR="00C61233" w:rsidRPr="001F4A52">
        <w:rPr>
          <w:rFonts w:ascii="Trebuchet MS" w:hAnsi="Trebuchet MS" w:cs="Times New (W1)"/>
          <w:bCs/>
        </w:rPr>
        <w:t>.</w:t>
      </w:r>
    </w:p>
    <w:p w:rsidR="00957A3A" w:rsidRPr="009B0DDD" w:rsidRDefault="00957A3A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r>
        <w:rPr>
          <w:rFonts w:ascii="Trebuchet MS" w:hAnsi="Trebuchet MS"/>
          <w:b/>
        </w:rPr>
        <w:t xml:space="preserve">Cena cenie nierówna </w:t>
      </w:r>
      <w:r>
        <w:rPr>
          <w:rFonts w:ascii="Trebuchet MS" w:hAnsi="Trebuchet MS" w:cs="Times New (W1)"/>
          <w:bCs/>
        </w:rPr>
        <w:t xml:space="preserve">– </w:t>
      </w:r>
      <w:r w:rsidR="00B80EC2">
        <w:rPr>
          <w:rFonts w:ascii="Trebuchet MS" w:hAnsi="Trebuchet MS" w:cs="Times New (W1)"/>
          <w:bCs/>
        </w:rPr>
        <w:t>czytajmy wywieszki. S</w:t>
      </w:r>
      <w:r>
        <w:rPr>
          <w:rFonts w:ascii="Trebuchet MS" w:hAnsi="Trebuchet MS" w:cs="Times New (W1)"/>
          <w:bCs/>
        </w:rPr>
        <w:t xml:space="preserve">prawdźmy, czy cena na półce dotyczy właśnie tego produktu, który chcemy kupić. </w:t>
      </w:r>
      <w:r w:rsidR="0024692B">
        <w:rPr>
          <w:rFonts w:ascii="Trebuchet MS" w:hAnsi="Trebuchet MS" w:cs="Times New (W1)"/>
          <w:bCs/>
        </w:rPr>
        <w:t xml:space="preserve">Może się zdarzyć, że </w:t>
      </w:r>
      <w:r w:rsidR="00B80EC2">
        <w:rPr>
          <w:rFonts w:ascii="Trebuchet MS" w:hAnsi="Trebuchet MS" w:cs="Times New (W1)"/>
          <w:bCs/>
        </w:rPr>
        <w:t xml:space="preserve">po </w:t>
      </w:r>
      <w:r w:rsidR="008415DB">
        <w:rPr>
          <w:rFonts w:ascii="Trebuchet MS" w:hAnsi="Trebuchet MS" w:cs="Times New (W1)"/>
          <w:bCs/>
        </w:rPr>
        <w:t>atrakcyjn</w:t>
      </w:r>
      <w:r w:rsidR="00B80EC2">
        <w:rPr>
          <w:rFonts w:ascii="Trebuchet MS" w:hAnsi="Trebuchet MS" w:cs="Times New (W1)"/>
          <w:bCs/>
        </w:rPr>
        <w:t xml:space="preserve">ej cenie oferowany jest </w:t>
      </w:r>
      <w:r w:rsidR="000C27E1">
        <w:rPr>
          <w:rFonts w:ascii="Trebuchet MS" w:hAnsi="Trebuchet MS" w:cs="Times New (W1)"/>
          <w:bCs/>
        </w:rPr>
        <w:t>towar</w:t>
      </w:r>
      <w:r w:rsidR="0024692B">
        <w:rPr>
          <w:rFonts w:ascii="Trebuchet MS" w:hAnsi="Trebuchet MS" w:cs="Times New (W1)"/>
          <w:bCs/>
        </w:rPr>
        <w:t xml:space="preserve">, </w:t>
      </w:r>
      <w:r w:rsidR="00FF30FD">
        <w:rPr>
          <w:rFonts w:ascii="Trebuchet MS" w:hAnsi="Trebuchet MS" w:cs="Times New (W1)"/>
          <w:bCs/>
        </w:rPr>
        <w:t>który znajduje się</w:t>
      </w:r>
      <w:r w:rsidR="0024692B">
        <w:rPr>
          <w:rFonts w:ascii="Trebuchet MS" w:hAnsi="Trebuchet MS" w:cs="Times New (W1)"/>
          <w:bCs/>
        </w:rPr>
        <w:t xml:space="preserve"> niżej na sklepowej półce</w:t>
      </w:r>
      <w:r w:rsidR="003D1CF2">
        <w:rPr>
          <w:rFonts w:ascii="Trebuchet MS" w:hAnsi="Trebuchet MS" w:cs="Times New (W1)"/>
          <w:bCs/>
        </w:rPr>
        <w:t>, a nie ten</w:t>
      </w:r>
      <w:r w:rsidR="00FF30FD">
        <w:rPr>
          <w:rFonts w:ascii="Trebuchet MS" w:hAnsi="Trebuchet MS" w:cs="Times New (W1)"/>
          <w:bCs/>
        </w:rPr>
        <w:t>, który chcemy kupić</w:t>
      </w:r>
      <w:r w:rsidR="0024692B">
        <w:rPr>
          <w:rFonts w:ascii="Trebuchet MS" w:hAnsi="Trebuchet MS" w:cs="Times New (W1)"/>
          <w:bCs/>
        </w:rPr>
        <w:t xml:space="preserve">. </w:t>
      </w:r>
    </w:p>
    <w:p w:rsidR="00321C70" w:rsidRPr="00AD5884" w:rsidRDefault="00DA32A7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r w:rsidRPr="009B0DDD">
        <w:rPr>
          <w:rFonts w:ascii="Trebuchet MS" w:hAnsi="Trebuchet MS"/>
          <w:b/>
        </w:rPr>
        <w:t>Gratisy</w:t>
      </w:r>
      <w:r w:rsidR="00321C70" w:rsidRPr="009B0DDD">
        <w:rPr>
          <w:rFonts w:ascii="Trebuchet MS" w:hAnsi="Trebuchet MS"/>
          <w:b/>
        </w:rPr>
        <w:t xml:space="preserve"> muszą być bezpłatne jednak </w:t>
      </w:r>
      <w:r w:rsidR="00321C70" w:rsidRPr="009B0DDD">
        <w:rPr>
          <w:rFonts w:ascii="Trebuchet MS" w:hAnsi="Trebuchet MS"/>
        </w:rPr>
        <w:t xml:space="preserve">w rzeczywistości za taki </w:t>
      </w:r>
      <w:r w:rsidR="00321C70" w:rsidRPr="009B0DDD">
        <w:rPr>
          <w:rFonts w:ascii="Trebuchet MS" w:hAnsi="Trebuchet MS"/>
          <w:i/>
        </w:rPr>
        <w:t>prezent</w:t>
      </w:r>
      <w:r w:rsidR="00321C70" w:rsidRPr="009B0DDD">
        <w:rPr>
          <w:rFonts w:ascii="Trebuchet MS" w:hAnsi="Trebuchet MS"/>
        </w:rPr>
        <w:t xml:space="preserve"> albo musimy zapłacić, albo okazuje się, że zakup towaru bez upominku jest znacznie bardziej opłacalny. </w:t>
      </w:r>
      <w:r w:rsidR="009B0DDD" w:rsidRPr="00F5082F">
        <w:rPr>
          <w:rStyle w:val="Pogrubienie"/>
          <w:rFonts w:ascii="Trebuchet MS" w:hAnsi="Trebuchet MS" w:cs="Tahoma"/>
          <w:b w:val="0"/>
        </w:rPr>
        <w:t>Zdarza się, że</w:t>
      </w:r>
      <w:r w:rsidR="009B0DDD" w:rsidRPr="009B0DDD">
        <w:rPr>
          <w:rFonts w:ascii="Trebuchet MS" w:hAnsi="Trebuchet MS" w:cs="Tahoma"/>
        </w:rPr>
        <w:t xml:space="preserve"> kupując w komplecie np. szczoteczkę i pastę do zębów, </w:t>
      </w:r>
      <w:r w:rsidR="009B0DDD" w:rsidRPr="002A0D35">
        <w:rPr>
          <w:rStyle w:val="Pogrubienie"/>
          <w:rFonts w:ascii="Trebuchet MS" w:hAnsi="Trebuchet MS" w:cs="Tahoma"/>
          <w:b w:val="0"/>
        </w:rPr>
        <w:t>zapłacimy więcej niż wtedy, gdy te same produkty weźmiemy osobno</w:t>
      </w:r>
      <w:r w:rsidR="009B0DDD" w:rsidRPr="002A0D35">
        <w:rPr>
          <w:rFonts w:ascii="Trebuchet MS" w:hAnsi="Trebuchet MS" w:cs="Tahoma"/>
          <w:b/>
        </w:rPr>
        <w:t>.</w:t>
      </w:r>
      <w:r w:rsidR="009B0DDD" w:rsidRPr="009B0DDD">
        <w:rPr>
          <w:rFonts w:ascii="Trebuchet MS" w:hAnsi="Trebuchet MS" w:cs="Tahoma"/>
        </w:rPr>
        <w:t xml:space="preserve"> Pamiętajmy, że </w:t>
      </w:r>
      <w:r w:rsidR="009B0DDD" w:rsidRPr="002A0D35">
        <w:rPr>
          <w:rFonts w:ascii="Trebuchet MS" w:hAnsi="Trebuchet MS" w:cs="Tahoma"/>
          <w:bCs/>
        </w:rPr>
        <w:t>towar oznaczony jako</w:t>
      </w:r>
      <w:r w:rsidR="009B0DDD" w:rsidRPr="009B0DDD">
        <w:rPr>
          <w:rFonts w:ascii="Trebuchet MS" w:hAnsi="Trebuchet MS" w:cs="Tahoma"/>
          <w:b/>
          <w:bCs/>
        </w:rPr>
        <w:t xml:space="preserve"> gratis musi być bezpłatny</w:t>
      </w:r>
      <w:r w:rsidR="009B0DDD" w:rsidRPr="009B0DDD">
        <w:rPr>
          <w:rFonts w:ascii="Trebuchet MS" w:hAnsi="Trebuchet MS" w:cs="Tahoma"/>
        </w:rPr>
        <w:t>.</w:t>
      </w:r>
    </w:p>
    <w:p w:rsidR="00AD5884" w:rsidRPr="00F30A3F" w:rsidRDefault="00AD5884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r>
        <w:rPr>
          <w:rFonts w:ascii="Trebuchet MS" w:hAnsi="Trebuchet MS"/>
          <w:b/>
        </w:rPr>
        <w:t xml:space="preserve">Reklamacja z pudełkiem? </w:t>
      </w:r>
      <w:r w:rsidRPr="00AD5884">
        <w:rPr>
          <w:rFonts w:ascii="Trebuchet MS" w:hAnsi="Trebuchet MS"/>
        </w:rPr>
        <w:t>Opakowanie nie jest konieczne do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złożenia reklamacji</w:t>
      </w:r>
      <w:r w:rsidR="002E2BDC">
        <w:rPr>
          <w:rFonts w:ascii="Trebuchet MS" w:hAnsi="Trebuchet MS"/>
        </w:rPr>
        <w:t>, dlatego sprzedawca nie może go wymagać od klienta.</w:t>
      </w:r>
    </w:p>
    <w:p w:rsidR="00F30A3F" w:rsidRPr="009B0DDD" w:rsidRDefault="00EA02EE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hyperlink r:id="rId9" w:history="1">
        <w:r w:rsidR="00F30A3F" w:rsidRPr="001E4730">
          <w:rPr>
            <w:rStyle w:val="Hipercze"/>
            <w:rFonts w:ascii="Trebuchet MS" w:hAnsi="Trebuchet MS"/>
            <w:b/>
          </w:rPr>
          <w:t>www.</w:t>
        </w:r>
        <w:r w:rsidR="00F30A3F" w:rsidRPr="001E4730">
          <w:rPr>
            <w:rStyle w:val="Hipercze"/>
            <w:rFonts w:ascii="Trebuchet MS" w:hAnsi="Trebuchet MS" w:cs="Times New (W1)"/>
            <w:bCs/>
          </w:rPr>
          <w:t>prawakonsumenta.uokik.gov.pl</w:t>
        </w:r>
      </w:hyperlink>
      <w:r w:rsidR="00F30A3F">
        <w:rPr>
          <w:rFonts w:ascii="Trebuchet MS" w:hAnsi="Trebuchet MS" w:cs="Times New (W1)"/>
          <w:bCs/>
        </w:rPr>
        <w:t xml:space="preserve"> – to adres strony internetowej, na której znajdują się odpowiedzi na najczęstsze pytania związane</w:t>
      </w:r>
      <w:r w:rsidR="00DA6A35">
        <w:rPr>
          <w:rFonts w:ascii="Trebuchet MS" w:hAnsi="Trebuchet MS" w:cs="Times New (W1)"/>
          <w:bCs/>
        </w:rPr>
        <w:t xml:space="preserve"> m.in.</w:t>
      </w:r>
      <w:r w:rsidR="00F30A3F">
        <w:rPr>
          <w:rFonts w:ascii="Trebuchet MS" w:hAnsi="Trebuchet MS" w:cs="Times New (W1)"/>
          <w:bCs/>
        </w:rPr>
        <w:t xml:space="preserve"> z reklamacjami. </w:t>
      </w:r>
    </w:p>
    <w:p w:rsidR="00B176C3" w:rsidRDefault="002A0D35" w:rsidP="002A0D35">
      <w:pPr>
        <w:spacing w:after="120" w:line="360" w:lineRule="auto"/>
        <w:jc w:val="both"/>
        <w:rPr>
          <w:rFonts w:ascii="Trebuchet MS" w:hAnsi="Trebuchet MS"/>
        </w:rPr>
      </w:pPr>
      <w:r w:rsidRPr="008D66FF">
        <w:rPr>
          <w:rFonts w:ascii="Trebuchet MS" w:hAnsi="Trebuchet MS"/>
          <w:b/>
        </w:rPr>
        <w:t>Pomoc dla konsumentów</w:t>
      </w:r>
      <w:r>
        <w:rPr>
          <w:rFonts w:ascii="Trebuchet MS" w:hAnsi="Trebuchet MS"/>
        </w:rPr>
        <w:t>:</w:t>
      </w:r>
      <w:r w:rsidR="008D66FF">
        <w:rPr>
          <w:rFonts w:ascii="Trebuchet MS" w:hAnsi="Trebuchet MS"/>
        </w:rPr>
        <w:t xml:space="preserve"> </w:t>
      </w:r>
      <w:hyperlink r:id="rId10" w:anchor="faq595" w:history="1">
        <w:r w:rsidR="008D66FF" w:rsidRPr="008D66FF">
          <w:rPr>
            <w:rStyle w:val="Hipercze"/>
            <w:rFonts w:ascii="Trebuchet MS" w:hAnsi="Trebuchet MS"/>
          </w:rPr>
          <w:t>Insp</w:t>
        </w:r>
        <w:r w:rsidRPr="008D66FF">
          <w:rPr>
            <w:rStyle w:val="Hipercze"/>
            <w:rFonts w:ascii="Trebuchet MS" w:hAnsi="Trebuchet MS"/>
          </w:rPr>
          <w:t>ekcja Handlowa</w:t>
        </w:r>
      </w:hyperlink>
      <w:r>
        <w:rPr>
          <w:rFonts w:ascii="Trebuchet MS" w:hAnsi="Trebuchet MS"/>
        </w:rPr>
        <w:t xml:space="preserve">, </w:t>
      </w:r>
      <w:hyperlink r:id="rId11" w:history="1">
        <w:r w:rsidR="00B176C3" w:rsidRPr="00CC1FD8">
          <w:rPr>
            <w:rStyle w:val="Hipercze"/>
            <w:rFonts w:ascii="Trebuchet MS" w:hAnsi="Trebuchet MS" w:cs="Tahoma"/>
          </w:rPr>
          <w:t>rzeczni</w:t>
        </w:r>
        <w:r>
          <w:rPr>
            <w:rStyle w:val="Hipercze"/>
            <w:rFonts w:ascii="Trebuchet MS" w:hAnsi="Trebuchet MS" w:cs="Tahoma"/>
          </w:rPr>
          <w:t>cy</w:t>
        </w:r>
        <w:r w:rsidR="00B176C3" w:rsidRPr="00CC1FD8">
          <w:rPr>
            <w:rStyle w:val="Hipercze"/>
            <w:rFonts w:ascii="Trebuchet MS" w:hAnsi="Trebuchet MS" w:cs="Tahoma"/>
          </w:rPr>
          <w:t xml:space="preserve"> konsumentów</w:t>
        </w:r>
      </w:hyperlink>
      <w:r>
        <w:rPr>
          <w:rFonts w:ascii="Trebuchet MS" w:hAnsi="Trebuchet MS" w:cs="Tahoma"/>
        </w:rPr>
        <w:t xml:space="preserve">, </w:t>
      </w:r>
      <w:r w:rsidR="005E1EC8">
        <w:rPr>
          <w:rFonts w:ascii="Trebuchet MS" w:hAnsi="Trebuchet MS" w:cs="Tahoma"/>
        </w:rPr>
        <w:t xml:space="preserve">bezpłatna </w:t>
      </w:r>
      <w:r w:rsidR="00B176C3" w:rsidRPr="00CC1FD8">
        <w:rPr>
          <w:rFonts w:ascii="Trebuchet MS" w:hAnsi="Trebuchet MS" w:cs="Tahoma"/>
        </w:rPr>
        <w:t>infolini</w:t>
      </w:r>
      <w:r w:rsidR="005E1EC8">
        <w:rPr>
          <w:rFonts w:ascii="Trebuchet MS" w:hAnsi="Trebuchet MS" w:cs="Tahoma"/>
        </w:rPr>
        <w:t>a</w:t>
      </w:r>
      <w:r w:rsidR="00B176C3" w:rsidRPr="00CC1FD8">
        <w:rPr>
          <w:rFonts w:ascii="Trebuchet MS" w:hAnsi="Trebuchet MS" w:cs="Tahoma"/>
        </w:rPr>
        <w:t xml:space="preserve"> </w:t>
      </w:r>
      <w:r w:rsidR="00B176C3" w:rsidRPr="002A0D35">
        <w:rPr>
          <w:rFonts w:ascii="Trebuchet MS" w:hAnsi="Trebuchet MS" w:cs="Tahoma"/>
        </w:rPr>
        <w:t>800</w:t>
      </w:r>
      <w:r w:rsidR="00F5082F">
        <w:rPr>
          <w:rFonts w:ascii="Trebuchet MS" w:hAnsi="Trebuchet MS" w:cs="Tahoma"/>
        </w:rPr>
        <w:t> 889 866</w:t>
      </w:r>
      <w:r w:rsidR="008D66FF">
        <w:rPr>
          <w:rFonts w:ascii="Trebuchet MS" w:hAnsi="Trebuchet MS" w:cs="Tahoma"/>
        </w:rPr>
        <w:t xml:space="preserve">. Porady są udzielane także drogą elektroniczną pod adresem </w:t>
      </w:r>
      <w:hyperlink r:id="rId12" w:history="1">
        <w:r w:rsidR="004449E6" w:rsidRPr="005A228A">
          <w:rPr>
            <w:rStyle w:val="Hipercze"/>
            <w:rFonts w:ascii="Trebuchet MS" w:hAnsi="Trebuchet MS" w:cs="Tahoma"/>
          </w:rPr>
          <w:t>porady@dlakonsumentow.pl</w:t>
        </w:r>
      </w:hyperlink>
      <w:r w:rsidR="004449E6">
        <w:rPr>
          <w:rFonts w:ascii="Trebuchet MS" w:hAnsi="Trebuchet MS" w:cs="Tahoma"/>
        </w:rPr>
        <w:t xml:space="preserve"> </w:t>
      </w:r>
      <w:r w:rsidR="00B176C3" w:rsidRPr="00CC1FD8">
        <w:rPr>
          <w:rFonts w:ascii="Trebuchet MS" w:hAnsi="Trebuchet MS" w:cs="Tahoma"/>
        </w:rPr>
        <w:t>.</w:t>
      </w:r>
    </w:p>
    <w:p w:rsidR="007D0C4F" w:rsidRDefault="007D0C4F" w:rsidP="007D0C4F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 w:rsidRPr="0031206A">
        <w:rPr>
          <w:rStyle w:val="Pogrubienie"/>
          <w:rFonts w:ascii="Trebuchet MS" w:hAnsi="Trebuchet MS" w:cs="Tahoma"/>
          <w:color w:val="000000"/>
          <w:sz w:val="18"/>
          <w:szCs w:val="18"/>
          <w:lang w:val="pl-PL"/>
        </w:rPr>
        <w:t>Dodatkowe informacje dla mediów:</w:t>
      </w:r>
    </w:p>
    <w:p w:rsidR="007D0C4F" w:rsidRPr="008C36DC" w:rsidRDefault="00F5082F" w:rsidP="007D0C4F">
      <w:r>
        <w:rPr>
          <w:rFonts w:ascii="Trebuchet MS" w:hAnsi="Trebuchet MS"/>
          <w:sz w:val="18"/>
          <w:szCs w:val="18"/>
        </w:rPr>
        <w:t>Biuro prasowe</w:t>
      </w:r>
      <w:r w:rsidR="007D0C4F" w:rsidRPr="007D0C4F">
        <w:rPr>
          <w:rFonts w:ascii="Trebuchet MS" w:hAnsi="Trebuchet MS"/>
          <w:sz w:val="18"/>
          <w:szCs w:val="18"/>
        </w:rPr>
        <w:t xml:space="preserve"> UOKiK</w:t>
      </w:r>
      <w:r w:rsidR="007D0C4F">
        <w:rPr>
          <w:rFonts w:ascii="Trebuchet MS" w:hAnsi="Trebuchet MS"/>
          <w:sz w:val="18"/>
          <w:szCs w:val="18"/>
        </w:rPr>
        <w:br/>
        <w:t>pl. Powstańców Warszawy 1, 00-950 Warszawa</w:t>
      </w:r>
      <w:r w:rsidR="007D0C4F">
        <w:rPr>
          <w:rFonts w:ascii="Trebuchet MS" w:hAnsi="Trebuchet MS"/>
          <w:sz w:val="18"/>
          <w:szCs w:val="18"/>
        </w:rPr>
        <w:br/>
        <w:t>Tel.: 22 827 28 92, 55 60 1</w:t>
      </w:r>
      <w:r>
        <w:rPr>
          <w:rFonts w:ascii="Trebuchet MS" w:hAnsi="Trebuchet MS"/>
          <w:sz w:val="18"/>
          <w:szCs w:val="18"/>
        </w:rPr>
        <w:t>11</w:t>
      </w:r>
      <w:r w:rsidR="007D0C4F">
        <w:rPr>
          <w:rFonts w:ascii="Trebuchet MS" w:hAnsi="Trebuchet MS"/>
          <w:sz w:val="18"/>
          <w:szCs w:val="18"/>
        </w:rPr>
        <w:t>, 55 60 314</w:t>
      </w:r>
      <w:r w:rsidR="007D0C4F">
        <w:rPr>
          <w:rFonts w:ascii="Trebuchet MS" w:hAnsi="Trebuchet MS"/>
          <w:sz w:val="18"/>
          <w:szCs w:val="18"/>
        </w:rPr>
        <w:br/>
        <w:t xml:space="preserve">E-mail: </w:t>
      </w:r>
      <w:r>
        <w:rPr>
          <w:rFonts w:ascii="Trebuchet MS" w:hAnsi="Trebuchet MS"/>
          <w:sz w:val="18"/>
          <w:szCs w:val="18"/>
          <w:u w:val="single"/>
        </w:rPr>
        <w:t>biuroprasowe</w:t>
      </w:r>
      <w:r w:rsidR="007D0C4F" w:rsidRPr="007D0C4F">
        <w:rPr>
          <w:rFonts w:ascii="Trebuchet MS" w:hAnsi="Trebuchet MS"/>
          <w:sz w:val="18"/>
          <w:szCs w:val="18"/>
          <w:u w:val="single"/>
        </w:rPr>
        <w:t>@uokik.gov.pl</w:t>
      </w:r>
    </w:p>
    <w:sectPr w:rsidR="007D0C4F" w:rsidRPr="008C36DC" w:rsidSect="009D359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85" w:rsidRDefault="00056285" w:rsidP="007D0C4F">
      <w:pPr>
        <w:spacing w:after="0" w:line="240" w:lineRule="auto"/>
      </w:pPr>
      <w:r>
        <w:separator/>
      </w:r>
    </w:p>
  </w:endnote>
  <w:endnote w:type="continuationSeparator" w:id="0">
    <w:p w:rsidR="00056285" w:rsidRDefault="00056285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4F" w:rsidRDefault="00EA02EE">
    <w:pPr>
      <w:pStyle w:val="Stopka"/>
    </w:pPr>
    <w:r>
      <w:rPr>
        <w:noProof/>
      </w:rPr>
      <w:pict>
        <v:line id="Łącznik prostoliniowy 8" o:spid="_x0000_s2067" style="position:absolute;flip:y;z-index:-251656704;visibility:visibl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</w:pict>
    </w:r>
    <w:r>
      <w:rPr>
        <w:noProof/>
      </w:rPr>
      <w:pict>
        <v:line id="Łącznik prostoliniowy 7" o:spid="_x0000_s2066" style="position:absolute;z-index:-251657728;visibility:visibl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</w:pict>
    </w:r>
    <w:r w:rsidR="00DE51D7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19050" t="0" r="0" b="0"/>
          <wp:wrapNone/>
          <wp:docPr id="17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6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5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19050" t="0" r="0" b="0"/>
          <wp:wrapNone/>
          <wp:docPr id="14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inline distT="0" distB="0" distL="0" distR="0">
          <wp:extent cx="5743575" cy="704850"/>
          <wp:effectExtent l="1905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pict>
        <v:line id="Łącznik prostoliniowy 11" o:spid="_x0000_s2061" style="position:absolute;z-index:-251655680;visibility:visible;mso-position-horizontal-relative:text;mso-position-vertical-relative:text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85" w:rsidRDefault="00056285" w:rsidP="007D0C4F">
      <w:pPr>
        <w:spacing w:after="0" w:line="240" w:lineRule="auto"/>
      </w:pPr>
      <w:r>
        <w:separator/>
      </w:r>
    </w:p>
  </w:footnote>
  <w:footnote w:type="continuationSeparator" w:id="0">
    <w:p w:rsidR="00056285" w:rsidRDefault="00056285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4F" w:rsidRDefault="00DE51D7">
    <w:pPr>
      <w:pStyle w:val="Nagwek"/>
    </w:pPr>
    <w:r>
      <w:rPr>
        <w:noProof/>
        <w:lang w:eastAsia="pl-PL"/>
      </w:rPr>
      <w:drawing>
        <wp:inline distT="0" distB="0" distL="0" distR="0">
          <wp:extent cx="5753100" cy="723900"/>
          <wp:effectExtent l="1905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C4F" w:rsidRDefault="007D0C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DC5"/>
    <w:multiLevelType w:val="hybridMultilevel"/>
    <w:tmpl w:val="46A4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F6BCF"/>
    <w:multiLevelType w:val="hybridMultilevel"/>
    <w:tmpl w:val="55540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71563"/>
    <w:multiLevelType w:val="hybridMultilevel"/>
    <w:tmpl w:val="5360E2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3F1B86"/>
    <w:multiLevelType w:val="hybridMultilevel"/>
    <w:tmpl w:val="0C58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64F62"/>
    <w:multiLevelType w:val="hybridMultilevel"/>
    <w:tmpl w:val="63D2E0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>
    <w:nsid w:val="73153D05"/>
    <w:multiLevelType w:val="hybridMultilevel"/>
    <w:tmpl w:val="546AF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287DEE"/>
    <w:multiLevelType w:val="hybridMultilevel"/>
    <w:tmpl w:val="BC3CBE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5D5F5E"/>
    <w:multiLevelType w:val="hybridMultilevel"/>
    <w:tmpl w:val="A3044E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B32F70"/>
    <w:multiLevelType w:val="hybridMultilevel"/>
    <w:tmpl w:val="3184F0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0C4F"/>
    <w:rsid w:val="00012D54"/>
    <w:rsid w:val="00016569"/>
    <w:rsid w:val="00017482"/>
    <w:rsid w:val="00022E7C"/>
    <w:rsid w:val="00026A24"/>
    <w:rsid w:val="00030802"/>
    <w:rsid w:val="00030CD0"/>
    <w:rsid w:val="00031081"/>
    <w:rsid w:val="0003356B"/>
    <w:rsid w:val="00037DB5"/>
    <w:rsid w:val="0004211E"/>
    <w:rsid w:val="0004580D"/>
    <w:rsid w:val="000472D9"/>
    <w:rsid w:val="0005019B"/>
    <w:rsid w:val="00051EAC"/>
    <w:rsid w:val="00053CB4"/>
    <w:rsid w:val="00056285"/>
    <w:rsid w:val="0007437C"/>
    <w:rsid w:val="00086469"/>
    <w:rsid w:val="00091A4F"/>
    <w:rsid w:val="00092304"/>
    <w:rsid w:val="00093DBA"/>
    <w:rsid w:val="000B0C49"/>
    <w:rsid w:val="000C27E1"/>
    <w:rsid w:val="000C773F"/>
    <w:rsid w:val="000D574C"/>
    <w:rsid w:val="00100542"/>
    <w:rsid w:val="00105274"/>
    <w:rsid w:val="00126CA0"/>
    <w:rsid w:val="0013114D"/>
    <w:rsid w:val="00132019"/>
    <w:rsid w:val="00140845"/>
    <w:rsid w:val="00151518"/>
    <w:rsid w:val="00155FB9"/>
    <w:rsid w:val="00161F8A"/>
    <w:rsid w:val="00163EAC"/>
    <w:rsid w:val="0016739E"/>
    <w:rsid w:val="00174447"/>
    <w:rsid w:val="00182992"/>
    <w:rsid w:val="00183244"/>
    <w:rsid w:val="00186193"/>
    <w:rsid w:val="001961A5"/>
    <w:rsid w:val="001B3FE2"/>
    <w:rsid w:val="001C1294"/>
    <w:rsid w:val="001C35F4"/>
    <w:rsid w:val="001D0DCE"/>
    <w:rsid w:val="001D29D5"/>
    <w:rsid w:val="001E2BEA"/>
    <w:rsid w:val="001F0415"/>
    <w:rsid w:val="001F33A5"/>
    <w:rsid w:val="001F4A52"/>
    <w:rsid w:val="0022084C"/>
    <w:rsid w:val="002274A1"/>
    <w:rsid w:val="0023017C"/>
    <w:rsid w:val="00231DFA"/>
    <w:rsid w:val="00245987"/>
    <w:rsid w:val="0024692B"/>
    <w:rsid w:val="00291D7D"/>
    <w:rsid w:val="00292D69"/>
    <w:rsid w:val="002A0D35"/>
    <w:rsid w:val="002B19A2"/>
    <w:rsid w:val="002C1AC2"/>
    <w:rsid w:val="002C3FD5"/>
    <w:rsid w:val="002E2BDC"/>
    <w:rsid w:val="002F5403"/>
    <w:rsid w:val="00303486"/>
    <w:rsid w:val="00315ED2"/>
    <w:rsid w:val="00317E8E"/>
    <w:rsid w:val="00321C70"/>
    <w:rsid w:val="003372BB"/>
    <w:rsid w:val="0034096F"/>
    <w:rsid w:val="00361CCD"/>
    <w:rsid w:val="00367DCC"/>
    <w:rsid w:val="003879DD"/>
    <w:rsid w:val="003A1F1F"/>
    <w:rsid w:val="003B60B2"/>
    <w:rsid w:val="003B7D5B"/>
    <w:rsid w:val="003D1CF2"/>
    <w:rsid w:val="003E4E96"/>
    <w:rsid w:val="003F08A3"/>
    <w:rsid w:val="003F70B6"/>
    <w:rsid w:val="004026D6"/>
    <w:rsid w:val="00405BB6"/>
    <w:rsid w:val="00406848"/>
    <w:rsid w:val="0042486F"/>
    <w:rsid w:val="00424BBD"/>
    <w:rsid w:val="0042778A"/>
    <w:rsid w:val="00432885"/>
    <w:rsid w:val="004348B2"/>
    <w:rsid w:val="004449E6"/>
    <w:rsid w:val="00451CBA"/>
    <w:rsid w:val="0045538F"/>
    <w:rsid w:val="00460353"/>
    <w:rsid w:val="00476FFA"/>
    <w:rsid w:val="0048559E"/>
    <w:rsid w:val="004A3E33"/>
    <w:rsid w:val="004C0709"/>
    <w:rsid w:val="004C49B4"/>
    <w:rsid w:val="004D314B"/>
    <w:rsid w:val="004D483E"/>
    <w:rsid w:val="004E031B"/>
    <w:rsid w:val="004E574F"/>
    <w:rsid w:val="004E5960"/>
    <w:rsid w:val="0052247C"/>
    <w:rsid w:val="005232F6"/>
    <w:rsid w:val="00537CDA"/>
    <w:rsid w:val="00554666"/>
    <w:rsid w:val="00576EF2"/>
    <w:rsid w:val="005925A5"/>
    <w:rsid w:val="00595CE5"/>
    <w:rsid w:val="005B69F5"/>
    <w:rsid w:val="005C1CDA"/>
    <w:rsid w:val="005C343C"/>
    <w:rsid w:val="005D0455"/>
    <w:rsid w:val="005D1012"/>
    <w:rsid w:val="005E031A"/>
    <w:rsid w:val="005E1EC8"/>
    <w:rsid w:val="005F0F74"/>
    <w:rsid w:val="00600B38"/>
    <w:rsid w:val="00611467"/>
    <w:rsid w:val="006148D0"/>
    <w:rsid w:val="0062721B"/>
    <w:rsid w:val="006479C7"/>
    <w:rsid w:val="0066709E"/>
    <w:rsid w:val="00677266"/>
    <w:rsid w:val="00677F22"/>
    <w:rsid w:val="006818FB"/>
    <w:rsid w:val="006A0C1C"/>
    <w:rsid w:val="006A2870"/>
    <w:rsid w:val="006A39C2"/>
    <w:rsid w:val="006B33CF"/>
    <w:rsid w:val="006D030D"/>
    <w:rsid w:val="006D3043"/>
    <w:rsid w:val="006D3B02"/>
    <w:rsid w:val="006F005D"/>
    <w:rsid w:val="00704CAA"/>
    <w:rsid w:val="0071057F"/>
    <w:rsid w:val="00710EE8"/>
    <w:rsid w:val="00712A79"/>
    <w:rsid w:val="007331BE"/>
    <w:rsid w:val="007428A9"/>
    <w:rsid w:val="00747760"/>
    <w:rsid w:val="007711B5"/>
    <w:rsid w:val="00771F7B"/>
    <w:rsid w:val="00775CAA"/>
    <w:rsid w:val="00781A91"/>
    <w:rsid w:val="007834C6"/>
    <w:rsid w:val="0078584A"/>
    <w:rsid w:val="007A36EB"/>
    <w:rsid w:val="007A63D6"/>
    <w:rsid w:val="007B5887"/>
    <w:rsid w:val="007B695B"/>
    <w:rsid w:val="007C214F"/>
    <w:rsid w:val="007C2E9F"/>
    <w:rsid w:val="007C34DC"/>
    <w:rsid w:val="007D0C4F"/>
    <w:rsid w:val="007D6CA5"/>
    <w:rsid w:val="007E1679"/>
    <w:rsid w:val="007E3D3A"/>
    <w:rsid w:val="00804203"/>
    <w:rsid w:val="00812B5D"/>
    <w:rsid w:val="008415DB"/>
    <w:rsid w:val="008518CC"/>
    <w:rsid w:val="00857C6A"/>
    <w:rsid w:val="00864CE9"/>
    <w:rsid w:val="00890B43"/>
    <w:rsid w:val="00897DC2"/>
    <w:rsid w:val="008B2D6D"/>
    <w:rsid w:val="008B4D4A"/>
    <w:rsid w:val="008B519B"/>
    <w:rsid w:val="008D66FF"/>
    <w:rsid w:val="008E065D"/>
    <w:rsid w:val="008E0688"/>
    <w:rsid w:val="0091679A"/>
    <w:rsid w:val="009457CA"/>
    <w:rsid w:val="00957295"/>
    <w:rsid w:val="00957460"/>
    <w:rsid w:val="00957A3A"/>
    <w:rsid w:val="00957A9E"/>
    <w:rsid w:val="009605EA"/>
    <w:rsid w:val="00973CA3"/>
    <w:rsid w:val="0098596A"/>
    <w:rsid w:val="009976D7"/>
    <w:rsid w:val="00997E38"/>
    <w:rsid w:val="009B03AA"/>
    <w:rsid w:val="009B0DDD"/>
    <w:rsid w:val="009B241C"/>
    <w:rsid w:val="009B3467"/>
    <w:rsid w:val="009B3824"/>
    <w:rsid w:val="009B6361"/>
    <w:rsid w:val="009D0995"/>
    <w:rsid w:val="009D3594"/>
    <w:rsid w:val="009E309A"/>
    <w:rsid w:val="009F0601"/>
    <w:rsid w:val="009F5E1C"/>
    <w:rsid w:val="00A01E8F"/>
    <w:rsid w:val="00A43604"/>
    <w:rsid w:val="00A523F1"/>
    <w:rsid w:val="00A555D0"/>
    <w:rsid w:val="00A8324A"/>
    <w:rsid w:val="00A85A25"/>
    <w:rsid w:val="00A877A2"/>
    <w:rsid w:val="00A904E7"/>
    <w:rsid w:val="00A90FE6"/>
    <w:rsid w:val="00A96BD9"/>
    <w:rsid w:val="00A974D8"/>
    <w:rsid w:val="00AA1C0B"/>
    <w:rsid w:val="00AA6B79"/>
    <w:rsid w:val="00AB5C3D"/>
    <w:rsid w:val="00AB7171"/>
    <w:rsid w:val="00AC0BED"/>
    <w:rsid w:val="00AC3F4F"/>
    <w:rsid w:val="00AD5884"/>
    <w:rsid w:val="00AE1027"/>
    <w:rsid w:val="00AE23BF"/>
    <w:rsid w:val="00AE25AB"/>
    <w:rsid w:val="00AE46FA"/>
    <w:rsid w:val="00AF3430"/>
    <w:rsid w:val="00B00613"/>
    <w:rsid w:val="00B176C3"/>
    <w:rsid w:val="00B224DD"/>
    <w:rsid w:val="00B31A3A"/>
    <w:rsid w:val="00B36ECF"/>
    <w:rsid w:val="00B57CE7"/>
    <w:rsid w:val="00B6390D"/>
    <w:rsid w:val="00B647A2"/>
    <w:rsid w:val="00B653E2"/>
    <w:rsid w:val="00B67DAA"/>
    <w:rsid w:val="00B72E79"/>
    <w:rsid w:val="00B80EC2"/>
    <w:rsid w:val="00B81DB4"/>
    <w:rsid w:val="00B916EF"/>
    <w:rsid w:val="00BA17CC"/>
    <w:rsid w:val="00BA319A"/>
    <w:rsid w:val="00BB2848"/>
    <w:rsid w:val="00BB52C8"/>
    <w:rsid w:val="00BC1FE4"/>
    <w:rsid w:val="00BC306A"/>
    <w:rsid w:val="00BD187E"/>
    <w:rsid w:val="00BD2D10"/>
    <w:rsid w:val="00BF6E01"/>
    <w:rsid w:val="00C0696A"/>
    <w:rsid w:val="00C16244"/>
    <w:rsid w:val="00C2388B"/>
    <w:rsid w:val="00C31CAC"/>
    <w:rsid w:val="00C50A45"/>
    <w:rsid w:val="00C542B5"/>
    <w:rsid w:val="00C552B4"/>
    <w:rsid w:val="00C61233"/>
    <w:rsid w:val="00C74960"/>
    <w:rsid w:val="00C841D5"/>
    <w:rsid w:val="00C8693C"/>
    <w:rsid w:val="00C86959"/>
    <w:rsid w:val="00C92EFE"/>
    <w:rsid w:val="00C935E4"/>
    <w:rsid w:val="00C97707"/>
    <w:rsid w:val="00CA4E90"/>
    <w:rsid w:val="00CA6527"/>
    <w:rsid w:val="00CD3FCC"/>
    <w:rsid w:val="00CD6480"/>
    <w:rsid w:val="00CE43C7"/>
    <w:rsid w:val="00CE6100"/>
    <w:rsid w:val="00D061B2"/>
    <w:rsid w:val="00D21135"/>
    <w:rsid w:val="00D24DA0"/>
    <w:rsid w:val="00D32977"/>
    <w:rsid w:val="00D73AB2"/>
    <w:rsid w:val="00DA32A7"/>
    <w:rsid w:val="00DA6A35"/>
    <w:rsid w:val="00DA7302"/>
    <w:rsid w:val="00DA7900"/>
    <w:rsid w:val="00DB645E"/>
    <w:rsid w:val="00DE51D7"/>
    <w:rsid w:val="00DF4392"/>
    <w:rsid w:val="00DF4C26"/>
    <w:rsid w:val="00DF5793"/>
    <w:rsid w:val="00E04307"/>
    <w:rsid w:val="00E178BB"/>
    <w:rsid w:val="00E23A19"/>
    <w:rsid w:val="00E23FCB"/>
    <w:rsid w:val="00E25916"/>
    <w:rsid w:val="00E3075D"/>
    <w:rsid w:val="00E30F3F"/>
    <w:rsid w:val="00E378F6"/>
    <w:rsid w:val="00E513A9"/>
    <w:rsid w:val="00E70E63"/>
    <w:rsid w:val="00E759FA"/>
    <w:rsid w:val="00E76290"/>
    <w:rsid w:val="00E779B1"/>
    <w:rsid w:val="00E860FB"/>
    <w:rsid w:val="00E90A0F"/>
    <w:rsid w:val="00E93697"/>
    <w:rsid w:val="00EA02EE"/>
    <w:rsid w:val="00EA3CB8"/>
    <w:rsid w:val="00EB0CD3"/>
    <w:rsid w:val="00EB6ECC"/>
    <w:rsid w:val="00EE196B"/>
    <w:rsid w:val="00F04F47"/>
    <w:rsid w:val="00F058EE"/>
    <w:rsid w:val="00F07398"/>
    <w:rsid w:val="00F25E56"/>
    <w:rsid w:val="00F30A3F"/>
    <w:rsid w:val="00F35DDA"/>
    <w:rsid w:val="00F5082F"/>
    <w:rsid w:val="00F52D82"/>
    <w:rsid w:val="00F609BD"/>
    <w:rsid w:val="00F72521"/>
    <w:rsid w:val="00F80F0C"/>
    <w:rsid w:val="00F926B8"/>
    <w:rsid w:val="00FA2BB9"/>
    <w:rsid w:val="00FA5856"/>
    <w:rsid w:val="00FC25CD"/>
    <w:rsid w:val="00FC58D3"/>
    <w:rsid w:val="00FD27E2"/>
    <w:rsid w:val="00FD5E3B"/>
    <w:rsid w:val="00FF07D8"/>
    <w:rsid w:val="00FF30FD"/>
    <w:rsid w:val="00FF3E67"/>
    <w:rsid w:val="00FF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rsid w:val="007D0C4F"/>
    <w:pPr>
      <w:spacing w:after="240" w:line="360" w:lineRule="auto"/>
      <w:jc w:val="both"/>
    </w:pPr>
    <w:rPr>
      <w:rFonts w:ascii="Georgia" w:eastAsia="Times New Roman" w:hAnsi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7D0C4F"/>
    <w:rPr>
      <w:rFonts w:ascii="Georgia" w:eastAsia="Times New Roman" w:hAnsi="Georgia" w:cs="Georgia"/>
      <w:kern w:val="16"/>
      <w:sz w:val="24"/>
      <w:szCs w:val="24"/>
      <w:lang w:val="en-US" w:eastAsia="pl-PL"/>
    </w:rPr>
  </w:style>
  <w:style w:type="character" w:styleId="Uwydatnienie">
    <w:name w:val="Emphasis"/>
    <w:uiPriority w:val="20"/>
    <w:qFormat/>
    <w:rsid w:val="007D0C4F"/>
    <w:rPr>
      <w:i/>
      <w:iCs/>
    </w:rPr>
  </w:style>
  <w:style w:type="character" w:styleId="Pogrubienie">
    <w:name w:val="Strong"/>
    <w:uiPriority w:val="22"/>
    <w:qFormat/>
    <w:rsid w:val="007D0C4F"/>
    <w:rPr>
      <w:b/>
      <w:bCs/>
    </w:rPr>
  </w:style>
  <w:style w:type="paragraph" w:customStyle="1" w:styleId="tekstkomunikatu0">
    <w:name w:val="tekstkomunikatu"/>
    <w:basedOn w:val="Normalny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0C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0C4F"/>
  </w:style>
  <w:style w:type="paragraph" w:styleId="Nagwek">
    <w:name w:val="header"/>
    <w:basedOn w:val="Normalny"/>
    <w:link w:val="Nagwek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C4F"/>
  </w:style>
  <w:style w:type="paragraph" w:styleId="Stopka">
    <w:name w:val="footer"/>
    <w:basedOn w:val="Normalny"/>
    <w:link w:val="Stopka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C4F"/>
  </w:style>
  <w:style w:type="paragraph" w:styleId="Tekstdymka">
    <w:name w:val="Balloon Text"/>
    <w:basedOn w:val="Normalny"/>
    <w:link w:val="TekstdymkaZnak"/>
    <w:uiPriority w:val="99"/>
    <w:semiHidden/>
    <w:unhideWhenUsed/>
    <w:rsid w:val="007D0C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C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0054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A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A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A3A"/>
    <w:rPr>
      <w:b/>
      <w:bCs/>
    </w:rPr>
  </w:style>
  <w:style w:type="paragraph" w:styleId="NormalnyWeb">
    <w:name w:val="Normal (Web)"/>
    <w:basedOn w:val="Normalny"/>
    <w:uiPriority w:val="99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0455"/>
    <w:pPr>
      <w:ind w:left="720"/>
      <w:contextualSpacing/>
    </w:pPr>
  </w:style>
  <w:style w:type="paragraph" w:customStyle="1" w:styleId="Tekst">
    <w:name w:val="Tekst"/>
    <w:basedOn w:val="Tekstpodstawowy"/>
    <w:rsid w:val="00B176C3"/>
    <w:pPr>
      <w:spacing w:line="360" w:lineRule="auto"/>
      <w:jc w:val="both"/>
    </w:pPr>
    <w:rPr>
      <w:rFonts w:ascii="Arial" w:eastAsia="Times New Roman" w:hAnsi="Arial" w:cs="Arial"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akonsumenta.uokik.gov.pl/reklamacje/rekojmi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rady@dlakonsument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okik.gov.pl/rzecznicy_konsumentow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okik.gov.pl/wazne_adres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akonsumenta.uokik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8F22A-4A2C-4537-A4D9-D2B75C3D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LAMA GOLD, MEDFORLIFE – DZIAŁANIA UOKIK</vt:lpstr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 GOLD, MEDFORLIFE – DZIAŁANIA UOKIK</dc:title>
  <dc:creator>Agnieszka Jaczyńska</dc:creator>
  <cp:lastModifiedBy>amajchrzak</cp:lastModifiedBy>
  <cp:revision>39</cp:revision>
  <cp:lastPrinted>2015-07-16T07:33:00Z</cp:lastPrinted>
  <dcterms:created xsi:type="dcterms:W3CDTF">2014-09-04T08:07:00Z</dcterms:created>
  <dcterms:modified xsi:type="dcterms:W3CDTF">2015-07-17T08:09:00Z</dcterms:modified>
</cp:coreProperties>
</file>