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AF9A9" w14:textId="77777777" w:rsidR="00604CA7" w:rsidRDefault="00604CA7" w:rsidP="00604CA7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NORD STREAM 2 – </w:t>
      </w:r>
      <w:r w:rsidR="002937EC">
        <w:rPr>
          <w:sz w:val="32"/>
          <w:szCs w:val="32"/>
        </w:rPr>
        <w:t>MAKSYMALNE</w:t>
      </w:r>
      <w:r>
        <w:rPr>
          <w:sz w:val="32"/>
          <w:szCs w:val="32"/>
        </w:rPr>
        <w:t xml:space="preserve"> KARY PREZESA UOKIK </w:t>
      </w:r>
    </w:p>
    <w:p w14:paraId="1428AD7A" w14:textId="41D061F6" w:rsidR="00604CA7" w:rsidRPr="00751175" w:rsidRDefault="00604CA7" w:rsidP="00604CA7">
      <w:pPr>
        <w:numPr>
          <w:ilvl w:val="0"/>
          <w:numId w:val="8"/>
        </w:numPr>
        <w:spacing w:after="240" w:line="360" w:lineRule="auto"/>
        <w:jc w:val="both"/>
        <w:rPr>
          <w:rStyle w:val="Pogrubienie"/>
          <w:bCs w:val="0"/>
          <w:color w:val="000000" w:themeColor="text1"/>
          <w:sz w:val="22"/>
        </w:rPr>
      </w:pPr>
      <w:r w:rsidRPr="00A725AF">
        <w:rPr>
          <w:b/>
          <w:color w:val="000000" w:themeColor="text1"/>
          <w:sz w:val="22"/>
        </w:rPr>
        <w:t xml:space="preserve">Prezes UOKiK Tomasz </w:t>
      </w:r>
      <w:proofErr w:type="spellStart"/>
      <w:r w:rsidRPr="00A725AF">
        <w:rPr>
          <w:b/>
          <w:color w:val="000000" w:themeColor="text1"/>
          <w:sz w:val="22"/>
        </w:rPr>
        <w:t>Chróstny</w:t>
      </w:r>
      <w:proofErr w:type="spellEnd"/>
      <w:r w:rsidRPr="00A725AF">
        <w:rPr>
          <w:b/>
          <w:color w:val="000000" w:themeColor="text1"/>
          <w:sz w:val="22"/>
        </w:rPr>
        <w:t xml:space="preserve"> nałożył </w:t>
      </w:r>
      <w:r w:rsidR="003E639B">
        <w:rPr>
          <w:b/>
          <w:color w:val="000000" w:themeColor="text1"/>
          <w:sz w:val="22"/>
        </w:rPr>
        <w:t>ponad</w:t>
      </w:r>
      <w:r>
        <w:rPr>
          <w:b/>
          <w:color w:val="000000" w:themeColor="text1"/>
          <w:sz w:val="22"/>
        </w:rPr>
        <w:t xml:space="preserve"> </w:t>
      </w:r>
      <w:r w:rsidR="003E639B">
        <w:rPr>
          <w:b/>
          <w:color w:val="000000" w:themeColor="text1"/>
          <w:sz w:val="22"/>
        </w:rPr>
        <w:t>29</w:t>
      </w:r>
      <w:r>
        <w:rPr>
          <w:b/>
          <w:color w:val="000000" w:themeColor="text1"/>
          <w:sz w:val="22"/>
        </w:rPr>
        <w:t xml:space="preserve"> miliardów zł kary</w:t>
      </w:r>
      <w:r w:rsidRPr="00A725AF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na Gazprom i </w:t>
      </w:r>
      <w:r w:rsidR="003E639B">
        <w:rPr>
          <w:b/>
          <w:color w:val="000000" w:themeColor="text1"/>
          <w:sz w:val="22"/>
        </w:rPr>
        <w:t>ponad 234</w:t>
      </w:r>
      <w:r>
        <w:rPr>
          <w:b/>
          <w:color w:val="000000" w:themeColor="text1"/>
          <w:sz w:val="22"/>
        </w:rPr>
        <w:t xml:space="preserve"> mili</w:t>
      </w:r>
      <w:r w:rsidR="003E639B">
        <w:rPr>
          <w:b/>
          <w:color w:val="000000" w:themeColor="text1"/>
          <w:sz w:val="22"/>
        </w:rPr>
        <w:t>ony</w:t>
      </w:r>
      <w:r>
        <w:rPr>
          <w:b/>
          <w:color w:val="000000" w:themeColor="text1"/>
          <w:sz w:val="22"/>
        </w:rPr>
        <w:t xml:space="preserve"> zł </w:t>
      </w:r>
      <w:r w:rsidRPr="00A725AF">
        <w:rPr>
          <w:b/>
          <w:color w:val="000000" w:themeColor="text1"/>
          <w:sz w:val="22"/>
        </w:rPr>
        <w:t>na</w:t>
      </w:r>
      <w:r>
        <w:rPr>
          <w:b/>
          <w:color w:val="000000" w:themeColor="text1"/>
          <w:sz w:val="22"/>
        </w:rPr>
        <w:t xml:space="preserve"> 5</w:t>
      </w:r>
      <w:r w:rsidR="002E40D1">
        <w:rPr>
          <w:b/>
          <w:color w:val="000000" w:themeColor="text1"/>
          <w:sz w:val="22"/>
        </w:rPr>
        <w:t xml:space="preserve"> pozostałych</w:t>
      </w:r>
      <w:r>
        <w:rPr>
          <w:b/>
          <w:color w:val="000000" w:themeColor="text1"/>
          <w:sz w:val="22"/>
        </w:rPr>
        <w:t xml:space="preserve"> spółek uczestniczących w budowie rurociągu </w:t>
      </w:r>
      <w:r w:rsidRPr="00A725AF">
        <w:rPr>
          <w:b/>
          <w:color w:val="000000" w:themeColor="text1"/>
          <w:sz w:val="22"/>
        </w:rPr>
        <w:t xml:space="preserve"> - </w:t>
      </w:r>
      <w:r>
        <w:rPr>
          <w:b/>
          <w:color w:val="000000" w:themeColor="text1"/>
          <w:sz w:val="22"/>
        </w:rPr>
        <w:t>t</w:t>
      </w:r>
      <w:r w:rsidRPr="00A725AF">
        <w:rPr>
          <w:rStyle w:val="Pogrubienie"/>
          <w:color w:val="000000" w:themeColor="text1"/>
          <w:sz w:val="22"/>
        </w:rPr>
        <w:t>o skutek </w:t>
      </w:r>
      <w:r>
        <w:rPr>
          <w:rStyle w:val="Pogrubienie"/>
          <w:color w:val="000000" w:themeColor="text1"/>
          <w:sz w:val="22"/>
        </w:rPr>
        <w:t xml:space="preserve">braku zgody na transakcję </w:t>
      </w:r>
      <w:proofErr w:type="spellStart"/>
      <w:r w:rsidRPr="00A725AF">
        <w:rPr>
          <w:rStyle w:val="Pogrubienie"/>
          <w:color w:val="000000" w:themeColor="text1"/>
          <w:sz w:val="22"/>
        </w:rPr>
        <w:t>Nord</w:t>
      </w:r>
      <w:proofErr w:type="spellEnd"/>
      <w:r w:rsidRPr="00A725AF">
        <w:rPr>
          <w:rStyle w:val="Pogrubienie"/>
          <w:color w:val="000000" w:themeColor="text1"/>
          <w:sz w:val="22"/>
        </w:rPr>
        <w:t xml:space="preserve"> </w:t>
      </w:r>
      <w:proofErr w:type="spellStart"/>
      <w:r w:rsidRPr="00A725AF">
        <w:rPr>
          <w:rStyle w:val="Pogrubienie"/>
          <w:color w:val="000000" w:themeColor="text1"/>
          <w:sz w:val="22"/>
        </w:rPr>
        <w:t>Stream</w:t>
      </w:r>
      <w:proofErr w:type="spellEnd"/>
      <w:r w:rsidRPr="00A725AF">
        <w:rPr>
          <w:rStyle w:val="Pogrubienie"/>
          <w:color w:val="000000" w:themeColor="text1"/>
          <w:sz w:val="22"/>
        </w:rPr>
        <w:t xml:space="preserve"> 2.</w:t>
      </w:r>
    </w:p>
    <w:p w14:paraId="7793D611" w14:textId="09A16F36" w:rsidR="002E40D1" w:rsidRDefault="00492F9E" w:rsidP="002E40D1">
      <w:pPr>
        <w:numPr>
          <w:ilvl w:val="0"/>
          <w:numId w:val="8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Na mocy decyzji Prezesa UOKiK podmioty mają obowiązek</w:t>
      </w:r>
      <w:r w:rsidR="00604CA7">
        <w:rPr>
          <w:b/>
          <w:color w:val="000000" w:themeColor="text1"/>
          <w:sz w:val="22"/>
        </w:rPr>
        <w:t xml:space="preserve"> rozwiązać umowy </w:t>
      </w:r>
      <w:r w:rsidR="0049240A">
        <w:rPr>
          <w:b/>
          <w:color w:val="000000" w:themeColor="text1"/>
          <w:sz w:val="22"/>
        </w:rPr>
        <w:t xml:space="preserve">zawarte na </w:t>
      </w:r>
      <w:r w:rsidR="00604CA7">
        <w:rPr>
          <w:b/>
          <w:color w:val="000000" w:themeColor="text1"/>
          <w:sz w:val="22"/>
        </w:rPr>
        <w:t>finansowani</w:t>
      </w:r>
      <w:r w:rsidR="0049240A">
        <w:rPr>
          <w:b/>
          <w:color w:val="000000" w:themeColor="text1"/>
          <w:sz w:val="22"/>
        </w:rPr>
        <w:t>e</w:t>
      </w:r>
      <w:r w:rsidR="00604CA7">
        <w:rPr>
          <w:b/>
          <w:color w:val="000000" w:themeColor="text1"/>
          <w:sz w:val="22"/>
        </w:rPr>
        <w:t xml:space="preserve"> </w:t>
      </w:r>
      <w:r w:rsidR="0049240A">
        <w:rPr>
          <w:b/>
          <w:color w:val="000000" w:themeColor="text1"/>
          <w:sz w:val="22"/>
        </w:rPr>
        <w:t>gazociągu NS2</w:t>
      </w:r>
      <w:r w:rsidR="00604CA7">
        <w:rPr>
          <w:b/>
          <w:color w:val="000000" w:themeColor="text1"/>
          <w:sz w:val="22"/>
        </w:rPr>
        <w:t xml:space="preserve">. </w:t>
      </w:r>
    </w:p>
    <w:p w14:paraId="394D6CE3" w14:textId="20FB59E8" w:rsidR="00072859" w:rsidRDefault="00F14901" w:rsidP="00F14901">
      <w:pPr>
        <w:spacing w:after="240" w:line="360" w:lineRule="auto"/>
        <w:jc w:val="both"/>
        <w:rPr>
          <w:color w:val="000000" w:themeColor="text1"/>
          <w:sz w:val="22"/>
        </w:rPr>
      </w:pPr>
      <w:r w:rsidRPr="008E6F97">
        <w:rPr>
          <w:b/>
          <w:color w:val="000000" w:themeColor="text1"/>
          <w:sz w:val="22"/>
        </w:rPr>
        <w:t xml:space="preserve">[Warszawa, </w:t>
      </w:r>
      <w:r w:rsidR="00C559D3">
        <w:rPr>
          <w:b/>
          <w:color w:val="000000" w:themeColor="text1"/>
          <w:sz w:val="22"/>
        </w:rPr>
        <w:t>7</w:t>
      </w:r>
      <w:r w:rsidR="002E1058">
        <w:rPr>
          <w:b/>
          <w:color w:val="000000" w:themeColor="text1"/>
          <w:sz w:val="22"/>
        </w:rPr>
        <w:t xml:space="preserve"> </w:t>
      </w:r>
      <w:r w:rsidR="002E40D1">
        <w:rPr>
          <w:b/>
          <w:color w:val="000000" w:themeColor="text1"/>
          <w:sz w:val="22"/>
        </w:rPr>
        <w:t>października</w:t>
      </w:r>
      <w:r w:rsidR="009249ED">
        <w:rPr>
          <w:b/>
          <w:color w:val="000000" w:themeColor="text1"/>
          <w:sz w:val="22"/>
        </w:rPr>
        <w:t xml:space="preserve"> </w:t>
      </w:r>
      <w:r w:rsidRPr="008E6F97">
        <w:rPr>
          <w:b/>
          <w:color w:val="000000" w:themeColor="text1"/>
          <w:sz w:val="22"/>
        </w:rPr>
        <w:t>20</w:t>
      </w:r>
      <w:r w:rsidR="00637949" w:rsidRPr="008E6F97">
        <w:rPr>
          <w:b/>
          <w:color w:val="000000" w:themeColor="text1"/>
          <w:sz w:val="22"/>
        </w:rPr>
        <w:t>20</w:t>
      </w:r>
      <w:r w:rsidRPr="008E6F97">
        <w:rPr>
          <w:b/>
          <w:color w:val="000000" w:themeColor="text1"/>
          <w:sz w:val="22"/>
        </w:rPr>
        <w:t xml:space="preserve"> r.] </w:t>
      </w:r>
      <w:r w:rsidR="00A04518" w:rsidRPr="00C559D3">
        <w:rPr>
          <w:color w:val="000000" w:themeColor="text1"/>
          <w:sz w:val="22"/>
        </w:rPr>
        <w:t>Wydanie precedensowej decyzji i n</w:t>
      </w:r>
      <w:r w:rsidR="00D10B33" w:rsidRPr="00C559D3">
        <w:rPr>
          <w:color w:val="000000" w:themeColor="text1"/>
          <w:sz w:val="22"/>
        </w:rPr>
        <w:t>ałożenie</w:t>
      </w:r>
      <w:r w:rsidR="00A04518" w:rsidRPr="00C559D3">
        <w:rPr>
          <w:color w:val="000000" w:themeColor="text1"/>
          <w:sz w:val="22"/>
        </w:rPr>
        <w:t xml:space="preserve"> </w:t>
      </w:r>
      <w:r w:rsidR="002937EC" w:rsidRPr="00C559D3">
        <w:rPr>
          <w:color w:val="000000" w:themeColor="text1"/>
          <w:sz w:val="22"/>
        </w:rPr>
        <w:t xml:space="preserve">maksymalnej </w:t>
      </w:r>
      <w:r w:rsidR="00D10B33" w:rsidRPr="00C559D3">
        <w:rPr>
          <w:color w:val="000000" w:themeColor="text1"/>
          <w:sz w:val="22"/>
        </w:rPr>
        <w:t xml:space="preserve">kary związane jest z </w:t>
      </w:r>
      <w:hyperlink r:id="rId8" w:history="1">
        <w:r w:rsidR="00A04518" w:rsidRPr="00C559D3">
          <w:rPr>
            <w:rStyle w:val="Hipercze"/>
            <w:iCs/>
            <w:sz w:val="22"/>
          </w:rPr>
          <w:t>zakończonym</w:t>
        </w:r>
        <w:r w:rsidR="00D10B33" w:rsidRPr="00C559D3">
          <w:rPr>
            <w:rStyle w:val="Hipercze"/>
            <w:iCs/>
            <w:sz w:val="22"/>
          </w:rPr>
          <w:t xml:space="preserve"> postępowaniem</w:t>
        </w:r>
      </w:hyperlink>
      <w:r w:rsidR="00492F9E" w:rsidRPr="00C559D3">
        <w:rPr>
          <w:rStyle w:val="Hipercze"/>
          <w:iCs/>
          <w:sz w:val="22"/>
        </w:rPr>
        <w:t xml:space="preserve"> </w:t>
      </w:r>
      <w:r w:rsidR="00492F9E" w:rsidRPr="003A378F">
        <w:rPr>
          <w:rStyle w:val="Hipercze"/>
          <w:iCs/>
          <w:color w:val="auto"/>
          <w:sz w:val="22"/>
          <w:u w:val="none"/>
        </w:rPr>
        <w:t>UOKiK</w:t>
      </w:r>
      <w:r w:rsidR="00D10B33" w:rsidRPr="00C559D3">
        <w:rPr>
          <w:color w:val="000000" w:themeColor="text1"/>
          <w:sz w:val="22"/>
        </w:rPr>
        <w:t xml:space="preserve"> </w:t>
      </w:r>
      <w:bookmarkStart w:id="0" w:name="_Hlk52794408"/>
      <w:r w:rsidR="00BD440D" w:rsidRPr="00C559D3">
        <w:rPr>
          <w:color w:val="000000" w:themeColor="text1"/>
          <w:sz w:val="22"/>
        </w:rPr>
        <w:t xml:space="preserve">w sprawie spółki odpowiedzialnej za budowę i eksploatację gazociągu </w:t>
      </w:r>
      <w:proofErr w:type="spellStart"/>
      <w:r w:rsidR="00BD440D" w:rsidRPr="00C559D3">
        <w:rPr>
          <w:color w:val="000000" w:themeColor="text1"/>
          <w:sz w:val="22"/>
        </w:rPr>
        <w:t>Nord</w:t>
      </w:r>
      <w:proofErr w:type="spellEnd"/>
      <w:r w:rsidR="00BD440D" w:rsidRPr="00C559D3">
        <w:rPr>
          <w:color w:val="000000" w:themeColor="text1"/>
          <w:sz w:val="22"/>
        </w:rPr>
        <w:t xml:space="preserve"> </w:t>
      </w:r>
      <w:proofErr w:type="spellStart"/>
      <w:r w:rsidR="00BD440D" w:rsidRPr="00C559D3">
        <w:rPr>
          <w:color w:val="000000" w:themeColor="text1"/>
          <w:sz w:val="22"/>
        </w:rPr>
        <w:t>Stream</w:t>
      </w:r>
      <w:proofErr w:type="spellEnd"/>
      <w:r w:rsidR="00BD440D" w:rsidRPr="00C559D3">
        <w:rPr>
          <w:color w:val="000000" w:themeColor="text1"/>
          <w:sz w:val="22"/>
        </w:rPr>
        <w:t xml:space="preserve"> 2</w:t>
      </w:r>
      <w:r w:rsidR="003A08F5" w:rsidRPr="00C559D3">
        <w:rPr>
          <w:color w:val="000000" w:themeColor="text1"/>
          <w:sz w:val="22"/>
        </w:rPr>
        <w:t xml:space="preserve"> </w:t>
      </w:r>
      <w:r w:rsidR="00D10B33" w:rsidRPr="00C559D3">
        <w:rPr>
          <w:color w:val="000000" w:themeColor="text1"/>
          <w:sz w:val="22"/>
        </w:rPr>
        <w:t>bez</w:t>
      </w:r>
      <w:bookmarkStart w:id="1" w:name="_GoBack"/>
      <w:bookmarkEnd w:id="1"/>
      <w:r w:rsidR="00D10B33" w:rsidRPr="00C559D3">
        <w:rPr>
          <w:color w:val="000000" w:themeColor="text1"/>
          <w:sz w:val="22"/>
        </w:rPr>
        <w:t xml:space="preserve"> wymaganej zgody </w:t>
      </w:r>
      <w:bookmarkEnd w:id="0"/>
      <w:r w:rsidR="00D10B33" w:rsidRPr="00C559D3">
        <w:rPr>
          <w:color w:val="000000" w:themeColor="text1"/>
          <w:sz w:val="22"/>
        </w:rPr>
        <w:t>Prezesa UOKiK.</w:t>
      </w:r>
      <w:r w:rsidR="001F22FB" w:rsidRPr="00C559D3">
        <w:rPr>
          <w:color w:val="000000" w:themeColor="text1"/>
          <w:sz w:val="22"/>
        </w:rPr>
        <w:t xml:space="preserve"> </w:t>
      </w:r>
      <w:r w:rsidR="00072859" w:rsidRPr="00C559D3">
        <w:rPr>
          <w:rFonts w:cs="Calibri"/>
          <w:color w:val="000000"/>
          <w:sz w:val="22"/>
        </w:rPr>
        <w:t>Dwa</w:t>
      </w:r>
      <w:r w:rsidR="00072859" w:rsidRPr="001F22FB">
        <w:rPr>
          <w:rFonts w:cs="Calibri"/>
          <w:color w:val="000000"/>
          <w:sz w:val="22"/>
        </w:rPr>
        <w:t xml:space="preserve"> lata temu postawiono w tej sprawie zarzuty sześciu przedsiębiorcom. </w:t>
      </w:r>
      <w:r w:rsidR="00072859" w:rsidRPr="001F22FB">
        <w:rPr>
          <w:rFonts w:cs="Calibri"/>
          <w:color w:val="000000" w:themeColor="text1"/>
          <w:sz w:val="22"/>
        </w:rPr>
        <w:t>Byli to: rosyjski </w:t>
      </w:r>
      <w:r w:rsidR="00072859" w:rsidRPr="001F22FB">
        <w:rPr>
          <w:rFonts w:cs="Segoe UI"/>
          <w:color w:val="000000" w:themeColor="text1"/>
          <w:sz w:val="22"/>
        </w:rPr>
        <w:t>Gazprom</w:t>
      </w:r>
      <w:r w:rsidR="006A594C" w:rsidRPr="001F22FB">
        <w:rPr>
          <w:rFonts w:cs="Segoe UI"/>
          <w:color w:val="000000" w:themeColor="text1"/>
          <w:sz w:val="22"/>
        </w:rPr>
        <w:t>,</w:t>
      </w:r>
      <w:r w:rsidR="00072859" w:rsidRPr="001F22FB">
        <w:rPr>
          <w:rFonts w:cs="Segoe UI"/>
          <w:color w:val="000000" w:themeColor="text1"/>
          <w:sz w:val="22"/>
        </w:rPr>
        <w:t xml:space="preserve"> francuski </w:t>
      </w:r>
      <w:proofErr w:type="spellStart"/>
      <w:r w:rsidR="00072859" w:rsidRPr="001F22FB">
        <w:rPr>
          <w:rFonts w:cs="Segoe UI"/>
          <w:color w:val="000000" w:themeColor="text1"/>
          <w:sz w:val="22"/>
        </w:rPr>
        <w:t>Engie</w:t>
      </w:r>
      <w:proofErr w:type="spellEnd"/>
      <w:r w:rsidR="00072859" w:rsidRPr="001F22FB">
        <w:rPr>
          <w:rFonts w:cs="Segoe UI"/>
          <w:color w:val="000000" w:themeColor="text1"/>
          <w:sz w:val="22"/>
        </w:rPr>
        <w:t xml:space="preserve"> Energy (kraj rejestracji: Szwajcaria), niemiecki </w:t>
      </w:r>
      <w:proofErr w:type="spellStart"/>
      <w:r w:rsidR="00072859" w:rsidRPr="001F22FB">
        <w:rPr>
          <w:rFonts w:cs="Segoe UI"/>
          <w:color w:val="000000" w:themeColor="text1"/>
          <w:sz w:val="22"/>
        </w:rPr>
        <w:t>Uniper</w:t>
      </w:r>
      <w:proofErr w:type="spellEnd"/>
      <w:r w:rsidR="00072859" w:rsidRPr="001F22FB">
        <w:rPr>
          <w:rFonts w:cs="Segoe UI"/>
          <w:color w:val="000000" w:themeColor="text1"/>
          <w:sz w:val="22"/>
        </w:rPr>
        <w:t xml:space="preserve">, austriacki OMV, holendersko-brytyjski Shell oraz niemiecki </w:t>
      </w:r>
      <w:proofErr w:type="spellStart"/>
      <w:r w:rsidR="00072859" w:rsidRPr="001F22FB">
        <w:rPr>
          <w:rFonts w:cs="Segoe UI"/>
          <w:color w:val="000000" w:themeColor="text1"/>
          <w:sz w:val="22"/>
        </w:rPr>
        <w:t>Wintershall</w:t>
      </w:r>
      <w:proofErr w:type="spellEnd"/>
      <w:r w:rsidR="00072859" w:rsidRPr="001F22FB">
        <w:rPr>
          <w:rFonts w:cs="Segoe UI"/>
          <w:color w:val="000000" w:themeColor="text1"/>
          <w:sz w:val="22"/>
        </w:rPr>
        <w:t> (ostatnie cztery spółki są zarejestrowane w Holandii).</w:t>
      </w:r>
      <w:r w:rsidR="00072859" w:rsidRPr="001F22FB">
        <w:rPr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FE24542" w14:textId="5056E896" w:rsidR="00143357" w:rsidRDefault="00982F9E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Przeprowadzone przez polski urząd antymonopolowy postępowanie wykazało, że w 2017 r. pomimo braku zgody na utworzenie wspólnego przedsiębiorcy</w:t>
      </w:r>
      <w:r w:rsidR="001B541F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6 spółek</w:t>
      </w:r>
      <w:r w:rsidR="009137A9">
        <w:rPr>
          <w:color w:val="000000" w:themeColor="text1"/>
          <w:sz w:val="22"/>
        </w:rPr>
        <w:t xml:space="preserve"> </w:t>
      </w:r>
      <w:r w:rsidR="006241CA">
        <w:rPr>
          <w:color w:val="000000" w:themeColor="text1"/>
          <w:sz w:val="22"/>
        </w:rPr>
        <w:t xml:space="preserve">(uczestników konsorcjum </w:t>
      </w:r>
      <w:proofErr w:type="spellStart"/>
      <w:r w:rsidR="006241CA">
        <w:rPr>
          <w:color w:val="000000" w:themeColor="text1"/>
          <w:sz w:val="22"/>
        </w:rPr>
        <w:t>Nord</w:t>
      </w:r>
      <w:proofErr w:type="spellEnd"/>
      <w:r w:rsidR="006241CA">
        <w:rPr>
          <w:color w:val="000000" w:themeColor="text1"/>
          <w:sz w:val="22"/>
        </w:rPr>
        <w:t xml:space="preserve"> </w:t>
      </w:r>
      <w:proofErr w:type="spellStart"/>
      <w:r w:rsidR="006241CA">
        <w:rPr>
          <w:color w:val="000000" w:themeColor="text1"/>
          <w:sz w:val="22"/>
        </w:rPr>
        <w:t>Stream</w:t>
      </w:r>
      <w:proofErr w:type="spellEnd"/>
      <w:r w:rsidR="006241CA">
        <w:rPr>
          <w:color w:val="000000" w:themeColor="text1"/>
          <w:sz w:val="22"/>
        </w:rPr>
        <w:t xml:space="preserve"> 1) </w:t>
      </w:r>
      <w:r>
        <w:rPr>
          <w:color w:val="000000" w:themeColor="text1"/>
          <w:sz w:val="22"/>
        </w:rPr>
        <w:t xml:space="preserve">zawarło szereg umów dotyczących finansowania NS2, co w efekcie </w:t>
      </w:r>
      <w:r w:rsidR="00DF6FCE">
        <w:rPr>
          <w:color w:val="000000" w:themeColor="text1"/>
          <w:sz w:val="22"/>
        </w:rPr>
        <w:t>było potwierdzeniem</w:t>
      </w:r>
      <w:r>
        <w:rPr>
          <w:color w:val="000000" w:themeColor="text1"/>
          <w:sz w:val="22"/>
        </w:rPr>
        <w:t xml:space="preserve"> ich </w:t>
      </w:r>
      <w:r w:rsidR="005D0A07">
        <w:rPr>
          <w:color w:val="000000" w:themeColor="text1"/>
          <w:sz w:val="22"/>
        </w:rPr>
        <w:t xml:space="preserve">ważnej i </w:t>
      </w:r>
      <w:r w:rsidR="00DF6FCE">
        <w:rPr>
          <w:color w:val="000000" w:themeColor="text1"/>
          <w:sz w:val="22"/>
        </w:rPr>
        <w:t xml:space="preserve">niezbędnej </w:t>
      </w:r>
      <w:r>
        <w:rPr>
          <w:color w:val="000000" w:themeColor="text1"/>
          <w:sz w:val="22"/>
        </w:rPr>
        <w:t xml:space="preserve">roli w całym projekcie. Umowy </w:t>
      </w:r>
      <w:r w:rsidR="00DF6FCE">
        <w:rPr>
          <w:color w:val="000000" w:themeColor="text1"/>
          <w:sz w:val="22"/>
        </w:rPr>
        <w:t xml:space="preserve">zawarte pomiędzy uczestnikami </w:t>
      </w:r>
      <w:r>
        <w:rPr>
          <w:color w:val="000000" w:themeColor="text1"/>
          <w:sz w:val="22"/>
        </w:rPr>
        <w:t>dotyczyły zarówno finansowania</w:t>
      </w:r>
      <w:r w:rsidR="0049240A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jak i </w:t>
      </w:r>
      <w:r w:rsidR="003354EE">
        <w:rPr>
          <w:color w:val="000000" w:themeColor="text1"/>
          <w:sz w:val="22"/>
        </w:rPr>
        <w:t>wielu</w:t>
      </w:r>
      <w:r>
        <w:rPr>
          <w:color w:val="000000" w:themeColor="text1"/>
          <w:sz w:val="22"/>
        </w:rPr>
        <w:t xml:space="preserve"> uprawnień, np. możliwości ingerowania w działalność NS2. </w:t>
      </w:r>
      <w:r w:rsidR="00C01C81">
        <w:rPr>
          <w:color w:val="000000" w:themeColor="text1"/>
          <w:sz w:val="22"/>
        </w:rPr>
        <w:t>Ponadto ustanawiając zastaw na akcjach</w:t>
      </w:r>
      <w:r w:rsidR="002937EC">
        <w:rPr>
          <w:color w:val="000000" w:themeColor="text1"/>
          <w:sz w:val="22"/>
        </w:rPr>
        <w:t xml:space="preserve"> </w:t>
      </w:r>
      <w:proofErr w:type="spellStart"/>
      <w:r w:rsidR="00C01C81">
        <w:rPr>
          <w:color w:val="000000" w:themeColor="text1"/>
          <w:sz w:val="22"/>
        </w:rPr>
        <w:t>Nord</w:t>
      </w:r>
      <w:proofErr w:type="spellEnd"/>
      <w:r w:rsidR="00C01C81">
        <w:rPr>
          <w:color w:val="000000" w:themeColor="text1"/>
          <w:sz w:val="22"/>
        </w:rPr>
        <w:t xml:space="preserve"> </w:t>
      </w:r>
      <w:proofErr w:type="spellStart"/>
      <w:r w:rsidR="00C01C81">
        <w:rPr>
          <w:color w:val="000000" w:themeColor="text1"/>
          <w:sz w:val="22"/>
        </w:rPr>
        <w:t>Stream</w:t>
      </w:r>
      <w:proofErr w:type="spellEnd"/>
      <w:r w:rsidR="00C01C81">
        <w:rPr>
          <w:color w:val="000000" w:themeColor="text1"/>
          <w:sz w:val="22"/>
        </w:rPr>
        <w:t xml:space="preserve"> 2 </w:t>
      </w:r>
      <w:r w:rsidR="001B541F">
        <w:rPr>
          <w:color w:val="000000" w:themeColor="text1"/>
          <w:sz w:val="22"/>
        </w:rPr>
        <w:t xml:space="preserve">finansujący </w:t>
      </w:r>
      <w:r w:rsidR="00C01C81">
        <w:rPr>
          <w:color w:val="000000" w:themeColor="text1"/>
          <w:sz w:val="22"/>
        </w:rPr>
        <w:t>sta</w:t>
      </w:r>
      <w:r w:rsidR="001B541F">
        <w:rPr>
          <w:color w:val="000000" w:themeColor="text1"/>
          <w:sz w:val="22"/>
        </w:rPr>
        <w:t>li</w:t>
      </w:r>
      <w:r w:rsidR="00C01C81">
        <w:rPr>
          <w:color w:val="000000" w:themeColor="text1"/>
          <w:sz w:val="22"/>
        </w:rPr>
        <w:t xml:space="preserve"> się „quasi” </w:t>
      </w:r>
      <w:r w:rsidR="006241CA">
        <w:rPr>
          <w:color w:val="000000" w:themeColor="text1"/>
          <w:sz w:val="22"/>
        </w:rPr>
        <w:t xml:space="preserve">akcjonariuszami </w:t>
      </w:r>
      <w:r w:rsidR="00C01C81">
        <w:rPr>
          <w:color w:val="000000" w:themeColor="text1"/>
          <w:sz w:val="22"/>
        </w:rPr>
        <w:t xml:space="preserve">tej spółki – w przypadku niewypełnienia umowy kredytowej </w:t>
      </w:r>
      <w:r w:rsidR="00DF6FCE">
        <w:rPr>
          <w:color w:val="000000" w:themeColor="text1"/>
          <w:sz w:val="22"/>
        </w:rPr>
        <w:t xml:space="preserve">przez Gazprom </w:t>
      </w:r>
      <w:r w:rsidR="001B541F">
        <w:rPr>
          <w:color w:val="000000" w:themeColor="text1"/>
          <w:sz w:val="22"/>
        </w:rPr>
        <w:t xml:space="preserve">przejęliby </w:t>
      </w:r>
      <w:r w:rsidR="00C01C81">
        <w:rPr>
          <w:color w:val="000000" w:themeColor="text1"/>
          <w:sz w:val="22"/>
        </w:rPr>
        <w:t xml:space="preserve">akcje spółki budującej </w:t>
      </w:r>
      <w:r w:rsidR="0049240A">
        <w:rPr>
          <w:color w:val="000000" w:themeColor="text1"/>
          <w:sz w:val="22"/>
        </w:rPr>
        <w:t>gaz</w:t>
      </w:r>
      <w:r w:rsidR="00C01C81">
        <w:rPr>
          <w:color w:val="000000" w:themeColor="text1"/>
          <w:sz w:val="22"/>
        </w:rPr>
        <w:t>ociąg</w:t>
      </w:r>
      <w:r w:rsidR="001B541F">
        <w:rPr>
          <w:color w:val="000000" w:themeColor="text1"/>
          <w:sz w:val="22"/>
        </w:rPr>
        <w:t xml:space="preserve">. Korzyści i zobowiązania związane z udziałem w całym przedsięwzięciu były dla wszystkich jasno ustalone. </w:t>
      </w:r>
    </w:p>
    <w:p w14:paraId="5687F6FA" w14:textId="343A7913" w:rsidR="00C505DA" w:rsidRDefault="00947299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Pr="00D253BC">
        <w:rPr>
          <w:i/>
          <w:color w:val="000000" w:themeColor="text1"/>
          <w:sz w:val="22"/>
        </w:rPr>
        <w:t>W</w:t>
      </w:r>
      <w:r w:rsidR="00D253BC">
        <w:rPr>
          <w:i/>
          <w:color w:val="000000" w:themeColor="text1"/>
          <w:sz w:val="22"/>
        </w:rPr>
        <w:t xml:space="preserve"> grudniu 2015 r., w</w:t>
      </w:r>
      <w:r w:rsidRPr="00D253BC">
        <w:rPr>
          <w:i/>
          <w:color w:val="000000" w:themeColor="text1"/>
          <w:sz w:val="22"/>
        </w:rPr>
        <w:t xml:space="preserve"> momencie</w:t>
      </w:r>
      <w:r w:rsidR="00D253BC">
        <w:rPr>
          <w:i/>
          <w:color w:val="000000" w:themeColor="text1"/>
          <w:sz w:val="22"/>
        </w:rPr>
        <w:t xml:space="preserve"> pierwszego</w:t>
      </w:r>
      <w:r w:rsidRPr="00D253BC">
        <w:rPr>
          <w:i/>
          <w:color w:val="000000" w:themeColor="text1"/>
          <w:sz w:val="22"/>
        </w:rPr>
        <w:t xml:space="preserve"> zgłoszenia</w:t>
      </w:r>
      <w:r w:rsidR="00D253BC">
        <w:rPr>
          <w:i/>
          <w:color w:val="000000" w:themeColor="text1"/>
          <w:sz w:val="22"/>
        </w:rPr>
        <w:t xml:space="preserve"> </w:t>
      </w:r>
      <w:r w:rsidR="001C552A" w:rsidRPr="00D253BC">
        <w:rPr>
          <w:i/>
          <w:color w:val="000000" w:themeColor="text1"/>
          <w:sz w:val="22"/>
        </w:rPr>
        <w:t>utworzenia joint venture</w:t>
      </w:r>
      <w:r w:rsidR="006241CA">
        <w:rPr>
          <w:i/>
          <w:color w:val="000000" w:themeColor="text1"/>
          <w:sz w:val="22"/>
        </w:rPr>
        <w:t>,</w:t>
      </w:r>
      <w:r w:rsidRPr="00D253BC">
        <w:rPr>
          <w:i/>
          <w:color w:val="000000" w:themeColor="text1"/>
          <w:sz w:val="22"/>
        </w:rPr>
        <w:t xml:space="preserve"> uczestnicy skonkretyzowali „zamiar koncentracji”, który nigdy</w:t>
      </w:r>
      <w:r w:rsidR="005D0A07">
        <w:rPr>
          <w:i/>
          <w:color w:val="000000" w:themeColor="text1"/>
          <w:sz w:val="22"/>
        </w:rPr>
        <w:t xml:space="preserve"> z ich planów</w:t>
      </w:r>
      <w:r w:rsidRPr="00D253BC">
        <w:rPr>
          <w:i/>
          <w:color w:val="000000" w:themeColor="text1"/>
          <w:sz w:val="22"/>
        </w:rPr>
        <w:t xml:space="preserve"> nie zniknął. </w:t>
      </w:r>
      <w:r w:rsidR="005D0A07">
        <w:rPr>
          <w:i/>
          <w:color w:val="000000" w:themeColor="text1"/>
          <w:sz w:val="22"/>
        </w:rPr>
        <w:t>Każdy kolejny ruch to</w:t>
      </w:r>
      <w:r w:rsidRPr="00D253BC">
        <w:rPr>
          <w:i/>
          <w:color w:val="000000" w:themeColor="text1"/>
          <w:sz w:val="22"/>
        </w:rPr>
        <w:t xml:space="preserve"> jedynie </w:t>
      </w:r>
      <w:r w:rsidR="005D0A07">
        <w:rPr>
          <w:i/>
          <w:color w:val="000000" w:themeColor="text1"/>
          <w:sz w:val="22"/>
        </w:rPr>
        <w:t>próba</w:t>
      </w:r>
      <w:r w:rsidRPr="00D253BC">
        <w:rPr>
          <w:i/>
          <w:color w:val="000000" w:themeColor="text1"/>
          <w:sz w:val="22"/>
        </w:rPr>
        <w:t xml:space="preserve"> przekształcenia </w:t>
      </w:r>
      <w:r w:rsidR="001C552A" w:rsidRPr="00D253BC">
        <w:rPr>
          <w:i/>
          <w:color w:val="000000" w:themeColor="text1"/>
          <w:sz w:val="22"/>
        </w:rPr>
        <w:t xml:space="preserve">formy uczestnictwa. </w:t>
      </w:r>
      <w:r w:rsidR="00492F9E">
        <w:rPr>
          <w:i/>
          <w:color w:val="000000" w:themeColor="text1"/>
          <w:sz w:val="22"/>
        </w:rPr>
        <w:t>Wszystkie podmioty były świadome podejmowanych działań, dokładnie ci sami przedsiębiorcy w tych samych udziałach finansowali przecież wcześniej utworzenie gazociągu NS1.</w:t>
      </w:r>
      <w:r w:rsidR="001F22FB">
        <w:rPr>
          <w:i/>
          <w:color w:val="000000" w:themeColor="text1"/>
          <w:sz w:val="22"/>
        </w:rPr>
        <w:t xml:space="preserve"> Niecały rok później, </w:t>
      </w:r>
      <w:r w:rsidR="00D253BC" w:rsidRPr="00D253BC">
        <w:rPr>
          <w:i/>
          <w:color w:val="000000" w:themeColor="text1"/>
          <w:sz w:val="22"/>
        </w:rPr>
        <w:t xml:space="preserve">po tym jak </w:t>
      </w:r>
      <w:r w:rsidR="00492F9E">
        <w:rPr>
          <w:i/>
          <w:color w:val="000000" w:themeColor="text1"/>
          <w:sz w:val="22"/>
        </w:rPr>
        <w:t xml:space="preserve">Prezes </w:t>
      </w:r>
      <w:r w:rsidR="00D253BC" w:rsidRPr="00D253BC">
        <w:rPr>
          <w:i/>
          <w:color w:val="000000" w:themeColor="text1"/>
          <w:sz w:val="22"/>
        </w:rPr>
        <w:t xml:space="preserve">UOKiK </w:t>
      </w:r>
      <w:r w:rsidR="00492F9E">
        <w:rPr>
          <w:i/>
          <w:color w:val="000000" w:themeColor="text1"/>
          <w:sz w:val="22"/>
        </w:rPr>
        <w:t>przedstawił poważne zastrzeżenia do koncentracji</w:t>
      </w:r>
      <w:r w:rsidR="005D0A07">
        <w:rPr>
          <w:i/>
          <w:color w:val="000000" w:themeColor="text1"/>
          <w:sz w:val="22"/>
        </w:rPr>
        <w:t xml:space="preserve">, </w:t>
      </w:r>
      <w:r w:rsidR="001C552A" w:rsidRPr="00D253BC">
        <w:rPr>
          <w:i/>
          <w:color w:val="000000" w:themeColor="text1"/>
          <w:sz w:val="22"/>
        </w:rPr>
        <w:t>Gazprom podpisał z 5 zachodnioeuropejskim</w:t>
      </w:r>
      <w:r w:rsidR="008A3289">
        <w:rPr>
          <w:i/>
          <w:color w:val="000000" w:themeColor="text1"/>
          <w:sz w:val="22"/>
        </w:rPr>
        <w:t>i</w:t>
      </w:r>
      <w:r w:rsidR="001C552A" w:rsidRPr="00D253BC">
        <w:rPr>
          <w:i/>
          <w:color w:val="000000" w:themeColor="text1"/>
          <w:sz w:val="22"/>
        </w:rPr>
        <w:t xml:space="preserve"> koncernami energetycznymi umowy dotyczące gazociągu NS2.</w:t>
      </w:r>
      <w:r w:rsidR="002E40D1" w:rsidRPr="002E40D1">
        <w:rPr>
          <w:i/>
          <w:color w:val="000000" w:themeColor="text1"/>
          <w:sz w:val="22"/>
        </w:rPr>
        <w:t xml:space="preserve"> </w:t>
      </w:r>
      <w:r w:rsidR="001C552A" w:rsidRPr="00D253BC">
        <w:rPr>
          <w:i/>
          <w:color w:val="000000" w:themeColor="text1"/>
          <w:sz w:val="22"/>
        </w:rPr>
        <w:t xml:space="preserve">Zgodnie z nimi połowa </w:t>
      </w:r>
      <w:bookmarkStart w:id="2" w:name="_Hlk52197117"/>
      <w:r w:rsidR="001C552A" w:rsidRPr="00D253BC">
        <w:rPr>
          <w:i/>
          <w:color w:val="000000" w:themeColor="text1"/>
          <w:sz w:val="22"/>
        </w:rPr>
        <w:t xml:space="preserve">kosztów budowy gazociągu, którego łączna wartość </w:t>
      </w:r>
      <w:r w:rsidR="001C552A" w:rsidRPr="00D253BC">
        <w:rPr>
          <w:i/>
          <w:color w:val="000000" w:themeColor="text1"/>
          <w:sz w:val="22"/>
        </w:rPr>
        <w:lastRenderedPageBreak/>
        <w:t>szacowana jest na 9,5 mld euro</w:t>
      </w:r>
      <w:bookmarkEnd w:id="2"/>
      <w:r w:rsidR="001C552A" w:rsidRPr="00D253BC">
        <w:rPr>
          <w:i/>
          <w:color w:val="000000" w:themeColor="text1"/>
          <w:sz w:val="22"/>
        </w:rPr>
        <w:t xml:space="preserve">, miała zostać sfinansowana właśnie przez te </w:t>
      </w:r>
      <w:r w:rsidR="00D253BC">
        <w:rPr>
          <w:i/>
          <w:color w:val="000000" w:themeColor="text1"/>
          <w:sz w:val="22"/>
        </w:rPr>
        <w:t>5 koncernów</w:t>
      </w:r>
      <w:r w:rsidR="001C552A" w:rsidRPr="00D253BC">
        <w:rPr>
          <w:i/>
          <w:color w:val="000000" w:themeColor="text1"/>
          <w:sz w:val="22"/>
        </w:rPr>
        <w:t xml:space="preserve"> – po 950 mln euro każdy.</w:t>
      </w:r>
      <w:r w:rsidR="002E40D1">
        <w:rPr>
          <w:i/>
          <w:color w:val="000000" w:themeColor="text1"/>
          <w:sz w:val="22"/>
        </w:rPr>
        <w:t xml:space="preserve"> Drugą połowę miał pokryć Gazprom. </w:t>
      </w:r>
      <w:r w:rsidR="00D253BC" w:rsidRPr="00D253BC">
        <w:rPr>
          <w:i/>
          <w:color w:val="000000" w:themeColor="text1"/>
          <w:sz w:val="22"/>
        </w:rPr>
        <w:t>Te same podmioty</w:t>
      </w:r>
      <w:r w:rsidR="00D253BC">
        <w:rPr>
          <w:i/>
          <w:color w:val="000000" w:themeColor="text1"/>
          <w:sz w:val="22"/>
        </w:rPr>
        <w:t xml:space="preserve">, które </w:t>
      </w:r>
      <w:r w:rsidR="00492F9E">
        <w:rPr>
          <w:i/>
          <w:color w:val="000000" w:themeColor="text1"/>
          <w:sz w:val="22"/>
        </w:rPr>
        <w:t xml:space="preserve">na mocy obowiązujących w Polsce przepisów prawa chroniących konkurencję </w:t>
      </w:r>
      <w:r w:rsidR="00D253BC" w:rsidRPr="00D253BC">
        <w:rPr>
          <w:i/>
          <w:color w:val="000000" w:themeColor="text1"/>
          <w:sz w:val="22"/>
        </w:rPr>
        <w:t xml:space="preserve">wnioskowały </w:t>
      </w:r>
      <w:r w:rsidR="00492F9E">
        <w:rPr>
          <w:i/>
          <w:color w:val="000000" w:themeColor="text1"/>
          <w:sz w:val="22"/>
        </w:rPr>
        <w:t>wcześniej</w:t>
      </w:r>
      <w:r w:rsidR="00492F9E" w:rsidRPr="00D253BC">
        <w:rPr>
          <w:i/>
          <w:color w:val="000000" w:themeColor="text1"/>
          <w:sz w:val="22"/>
        </w:rPr>
        <w:t xml:space="preserve"> </w:t>
      </w:r>
      <w:r w:rsidR="00D253BC" w:rsidRPr="00D253BC">
        <w:rPr>
          <w:i/>
          <w:color w:val="000000" w:themeColor="text1"/>
          <w:sz w:val="22"/>
        </w:rPr>
        <w:t>o zgodę</w:t>
      </w:r>
      <w:r w:rsidR="00D253BC">
        <w:rPr>
          <w:i/>
          <w:color w:val="000000" w:themeColor="text1"/>
          <w:sz w:val="22"/>
        </w:rPr>
        <w:t xml:space="preserve"> i jej </w:t>
      </w:r>
      <w:r w:rsidR="008F4819">
        <w:rPr>
          <w:i/>
          <w:color w:val="000000" w:themeColor="text1"/>
          <w:sz w:val="22"/>
        </w:rPr>
        <w:t xml:space="preserve">od nas </w:t>
      </w:r>
      <w:r w:rsidR="00D253BC">
        <w:rPr>
          <w:i/>
          <w:color w:val="000000" w:themeColor="text1"/>
          <w:sz w:val="22"/>
        </w:rPr>
        <w:t>nie dostały,</w:t>
      </w:r>
      <w:r w:rsidR="00D253BC" w:rsidRPr="00D253BC">
        <w:rPr>
          <w:i/>
          <w:color w:val="000000" w:themeColor="text1"/>
          <w:sz w:val="22"/>
        </w:rPr>
        <w:t xml:space="preserve"> stały się stronami umów finansujących. </w:t>
      </w:r>
      <w:r w:rsidR="007D526D" w:rsidRPr="007D526D">
        <w:rPr>
          <w:i/>
          <w:sz w:val="22"/>
        </w:rPr>
        <w:t>Przy czym ich p</w:t>
      </w:r>
      <w:r w:rsidR="007D526D" w:rsidRPr="007D526D">
        <w:rPr>
          <w:i/>
          <w:color w:val="000000" w:themeColor="text1"/>
          <w:sz w:val="22"/>
        </w:rPr>
        <w:t>oziom</w:t>
      </w:r>
      <w:r w:rsidR="007D526D" w:rsidRPr="00D253BC">
        <w:rPr>
          <w:i/>
          <w:color w:val="000000" w:themeColor="text1"/>
          <w:sz w:val="22"/>
        </w:rPr>
        <w:t xml:space="preserve"> zaangażowania finansowego</w:t>
      </w:r>
      <w:r w:rsidR="007D526D" w:rsidRPr="008A3289">
        <w:rPr>
          <w:i/>
          <w:color w:val="000000" w:themeColor="text1"/>
          <w:sz w:val="22"/>
        </w:rPr>
        <w:t xml:space="preserve"> </w:t>
      </w:r>
      <w:r w:rsidR="007D526D">
        <w:rPr>
          <w:i/>
          <w:color w:val="000000" w:themeColor="text1"/>
          <w:sz w:val="22"/>
        </w:rPr>
        <w:t xml:space="preserve">pozostał </w:t>
      </w:r>
      <w:r w:rsidR="007D526D" w:rsidRPr="00D253BC">
        <w:rPr>
          <w:i/>
          <w:color w:val="000000" w:themeColor="text1"/>
          <w:sz w:val="22"/>
        </w:rPr>
        <w:t>analogiczny</w:t>
      </w:r>
      <w:r w:rsidR="00492F9E">
        <w:rPr>
          <w:i/>
          <w:color w:val="000000" w:themeColor="text1"/>
          <w:sz w:val="22"/>
        </w:rPr>
        <w:t>, a warunki finansowania określone zostały w sposób umożliwiający przejęcie udziałów w NS2 w późniejszym etapie projektu</w:t>
      </w:r>
      <w:r w:rsidR="007D526D">
        <w:rPr>
          <w:i/>
          <w:color w:val="000000" w:themeColor="text1"/>
          <w:sz w:val="22"/>
        </w:rPr>
        <w:t>. J</w:t>
      </w:r>
      <w:r w:rsidR="007D526D" w:rsidRPr="00D253BC">
        <w:rPr>
          <w:i/>
          <w:color w:val="000000" w:themeColor="text1"/>
          <w:sz w:val="22"/>
        </w:rPr>
        <w:t xml:space="preserve">ednolity i wspólny </w:t>
      </w:r>
      <w:r w:rsidR="007D526D">
        <w:rPr>
          <w:i/>
          <w:color w:val="000000" w:themeColor="text1"/>
          <w:sz w:val="22"/>
        </w:rPr>
        <w:t xml:space="preserve">dla wszystkich uczestników koncentracji jest również </w:t>
      </w:r>
      <w:r w:rsidR="007D526D" w:rsidRPr="00D253BC">
        <w:rPr>
          <w:i/>
          <w:color w:val="000000" w:themeColor="text1"/>
          <w:sz w:val="22"/>
        </w:rPr>
        <w:t xml:space="preserve">interes </w:t>
      </w:r>
      <w:r w:rsidR="00670183">
        <w:rPr>
          <w:i/>
          <w:color w:val="000000" w:themeColor="text1"/>
          <w:sz w:val="22"/>
        </w:rPr>
        <w:t xml:space="preserve">towarzyszący </w:t>
      </w:r>
      <w:r w:rsidR="007D526D" w:rsidRPr="00D253BC">
        <w:rPr>
          <w:i/>
          <w:color w:val="000000" w:themeColor="text1"/>
          <w:sz w:val="22"/>
        </w:rPr>
        <w:t>realizacji</w:t>
      </w:r>
      <w:r w:rsidR="007D526D">
        <w:rPr>
          <w:i/>
          <w:color w:val="000000" w:themeColor="text1"/>
          <w:sz w:val="22"/>
        </w:rPr>
        <w:t xml:space="preserve"> </w:t>
      </w:r>
      <w:r w:rsidR="007D526D" w:rsidRPr="00D253BC">
        <w:rPr>
          <w:i/>
          <w:color w:val="000000" w:themeColor="text1"/>
          <w:sz w:val="22"/>
        </w:rPr>
        <w:t>projektu</w:t>
      </w:r>
      <w:bookmarkStart w:id="3" w:name="_Hlk52554618"/>
      <w:r w:rsidR="007D526D">
        <w:rPr>
          <w:i/>
          <w:color w:val="000000" w:themeColor="text1"/>
          <w:sz w:val="22"/>
        </w:rPr>
        <w:t xml:space="preserve"> </w:t>
      </w:r>
      <w:r w:rsidR="00D253BC">
        <w:rPr>
          <w:color w:val="000000" w:themeColor="text1"/>
          <w:sz w:val="22"/>
        </w:rPr>
        <w:t xml:space="preserve">– wyjaśnia Tomasz </w:t>
      </w:r>
      <w:proofErr w:type="spellStart"/>
      <w:r w:rsidR="00D253BC">
        <w:rPr>
          <w:color w:val="000000" w:themeColor="text1"/>
          <w:sz w:val="22"/>
        </w:rPr>
        <w:t>Chróstny</w:t>
      </w:r>
      <w:proofErr w:type="spellEnd"/>
      <w:r w:rsidR="002937EC">
        <w:rPr>
          <w:color w:val="000000" w:themeColor="text1"/>
          <w:sz w:val="22"/>
        </w:rPr>
        <w:t>,</w:t>
      </w:r>
      <w:r w:rsidR="00D253BC">
        <w:rPr>
          <w:color w:val="000000" w:themeColor="text1"/>
          <w:sz w:val="22"/>
        </w:rPr>
        <w:t xml:space="preserve"> Prezes UOKiK. </w:t>
      </w:r>
      <w:bookmarkEnd w:id="3"/>
    </w:p>
    <w:p w14:paraId="559C6E64" w14:textId="77777777" w:rsidR="003A7221" w:rsidRDefault="005D0A07" w:rsidP="003A722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Zdaniem Prezesa UOKiK działania te są obejściem przez niedoszłych wspólników </w:t>
      </w:r>
      <w:proofErr w:type="spellStart"/>
      <w:r>
        <w:rPr>
          <w:color w:val="000000" w:themeColor="text1"/>
          <w:sz w:val="22"/>
        </w:rPr>
        <w:t>Nord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Stream</w:t>
      </w:r>
      <w:proofErr w:type="spellEnd"/>
      <w:r>
        <w:rPr>
          <w:color w:val="000000" w:themeColor="text1"/>
          <w:sz w:val="22"/>
        </w:rPr>
        <w:t xml:space="preserve"> 2 obowiązku uzyskania zgody Prezesa UOKiK na utworzenie spółki finansującej budowę rurociągu. Cel </w:t>
      </w:r>
      <w:r w:rsidR="005A544A">
        <w:rPr>
          <w:color w:val="000000" w:themeColor="text1"/>
          <w:sz w:val="22"/>
        </w:rPr>
        <w:t>wszystkich</w:t>
      </w:r>
      <w:r>
        <w:rPr>
          <w:color w:val="000000" w:themeColor="text1"/>
          <w:sz w:val="22"/>
        </w:rPr>
        <w:t xml:space="preserve"> działań </w:t>
      </w:r>
      <w:r w:rsidR="005A544A">
        <w:rPr>
          <w:color w:val="000000" w:themeColor="text1"/>
          <w:sz w:val="22"/>
        </w:rPr>
        <w:t>był</w:t>
      </w:r>
      <w:r>
        <w:rPr>
          <w:color w:val="000000" w:themeColor="text1"/>
          <w:sz w:val="22"/>
        </w:rPr>
        <w:t xml:space="preserve"> identyczny. Zarówno utworzenie joint venture, jak i zawarcie późniejszych umów miało na celu sfinansowanie budowy.</w:t>
      </w:r>
    </w:p>
    <w:p w14:paraId="20E7B49F" w14:textId="5DA3F0F8" w:rsidR="003A7221" w:rsidRPr="001F22FB" w:rsidRDefault="003A7221" w:rsidP="00F14901">
      <w:pPr>
        <w:spacing w:after="240" w:line="360" w:lineRule="auto"/>
        <w:jc w:val="both"/>
        <w:rPr>
          <w:i/>
          <w:color w:val="000000" w:themeColor="text1"/>
          <w:sz w:val="22"/>
        </w:rPr>
      </w:pPr>
      <w:r w:rsidRPr="001F22FB">
        <w:rPr>
          <w:i/>
          <w:color w:val="000000" w:themeColor="text1"/>
          <w:sz w:val="22"/>
        </w:rPr>
        <w:t xml:space="preserve"> – Gdyby </w:t>
      </w:r>
      <w:r w:rsidRPr="001F22FB">
        <w:rPr>
          <w:i/>
          <w:sz w:val="22"/>
        </w:rPr>
        <w:t>projekt był tylko finansowy, wówczas Gazprom spokojnie mógł uzyskać finansowanie od Rządu Federacji Rosyjskiej</w:t>
      </w:r>
      <w:r w:rsidR="006241CA">
        <w:rPr>
          <w:i/>
          <w:sz w:val="22"/>
        </w:rPr>
        <w:t xml:space="preserve"> czy z banków komercyjnych</w:t>
      </w:r>
      <w:r w:rsidRPr="001F22FB">
        <w:rPr>
          <w:i/>
          <w:sz w:val="22"/>
        </w:rPr>
        <w:t xml:space="preserve">, być może byłby w stanie </w:t>
      </w:r>
      <w:r w:rsidR="006241CA">
        <w:rPr>
          <w:i/>
          <w:sz w:val="22"/>
        </w:rPr>
        <w:t>zrealizować go</w:t>
      </w:r>
      <w:r w:rsidR="003A08F5">
        <w:rPr>
          <w:i/>
          <w:sz w:val="22"/>
        </w:rPr>
        <w:t xml:space="preserve"> </w:t>
      </w:r>
      <w:r w:rsidR="001F22FB">
        <w:rPr>
          <w:i/>
          <w:sz w:val="22"/>
        </w:rPr>
        <w:t xml:space="preserve">samodzielnie. </w:t>
      </w:r>
      <w:r w:rsidR="006A594C" w:rsidRPr="001F22FB">
        <w:rPr>
          <w:bCs/>
          <w:i/>
          <w:spacing w:val="-1"/>
          <w:sz w:val="22"/>
        </w:rPr>
        <w:t xml:space="preserve">Należy podkreślić, </w:t>
      </w:r>
      <w:r w:rsidR="001F22FB">
        <w:rPr>
          <w:bCs/>
          <w:i/>
          <w:spacing w:val="-1"/>
          <w:sz w:val="22"/>
        </w:rPr>
        <w:t xml:space="preserve">że działanie w charakterze instytucji finansowej nie należy do podstawowej działalności żadnego z pozostałych uczestników koncentracji. </w:t>
      </w:r>
      <w:r w:rsidR="006A594C" w:rsidRPr="001F22FB">
        <w:rPr>
          <w:bCs/>
          <w:i/>
          <w:sz w:val="22"/>
        </w:rPr>
        <w:t>Przede wszystkim</w:t>
      </w:r>
      <w:r w:rsidR="006A594C" w:rsidRPr="001F22FB">
        <w:rPr>
          <w:i/>
          <w:sz w:val="22"/>
        </w:rPr>
        <w:t xml:space="preserve"> </w:t>
      </w:r>
      <w:proofErr w:type="spellStart"/>
      <w:r w:rsidR="006A594C" w:rsidRPr="001F22FB">
        <w:rPr>
          <w:i/>
          <w:sz w:val="22"/>
        </w:rPr>
        <w:t>Uniper</w:t>
      </w:r>
      <w:proofErr w:type="spellEnd"/>
      <w:r w:rsidR="006A594C" w:rsidRPr="001F22FB">
        <w:rPr>
          <w:i/>
          <w:sz w:val="22"/>
        </w:rPr>
        <w:t xml:space="preserve">, </w:t>
      </w:r>
      <w:proofErr w:type="spellStart"/>
      <w:r w:rsidR="006A594C" w:rsidRPr="001F22FB">
        <w:rPr>
          <w:i/>
          <w:sz w:val="22"/>
        </w:rPr>
        <w:t>Engie</w:t>
      </w:r>
      <w:proofErr w:type="spellEnd"/>
      <w:r w:rsidR="006A594C" w:rsidRPr="001F22FB">
        <w:rPr>
          <w:i/>
          <w:sz w:val="22"/>
        </w:rPr>
        <w:t xml:space="preserve">, OMV, Shell oraz </w:t>
      </w:r>
      <w:proofErr w:type="spellStart"/>
      <w:r w:rsidR="006A594C" w:rsidRPr="001F22FB">
        <w:rPr>
          <w:i/>
          <w:sz w:val="22"/>
        </w:rPr>
        <w:t>Wintershall</w:t>
      </w:r>
      <w:proofErr w:type="spellEnd"/>
      <w:r w:rsidR="006A594C" w:rsidRPr="001F22FB">
        <w:rPr>
          <w:bCs/>
          <w:i/>
          <w:sz w:val="22"/>
        </w:rPr>
        <w:t xml:space="preserve"> są </w:t>
      </w:r>
      <w:r w:rsidR="006A594C" w:rsidRPr="001F22FB">
        <w:rPr>
          <w:bCs/>
          <w:i/>
          <w:spacing w:val="-2"/>
          <w:sz w:val="22"/>
        </w:rPr>
        <w:t xml:space="preserve">klientami, a czasem także konkurentami Gazpromu na rynku gazu. </w:t>
      </w:r>
      <w:r w:rsidR="006A594C" w:rsidRPr="001F22FB">
        <w:rPr>
          <w:bCs/>
          <w:i/>
          <w:sz w:val="22"/>
        </w:rPr>
        <w:t xml:space="preserve">Finansowanie wspólnego przedsiębiorcy dokonywane przez uczestników rynku gazu, a nie instytucje finansowe, świadczy o wystąpieniu </w:t>
      </w:r>
      <w:r w:rsidR="006A594C" w:rsidRPr="001F22FB">
        <w:rPr>
          <w:bCs/>
          <w:i/>
          <w:spacing w:val="-1"/>
          <w:sz w:val="22"/>
        </w:rPr>
        <w:t xml:space="preserve">wspólnych interesów gospodarczych pomiędzy tymi wszystkimi podmiotami. </w:t>
      </w:r>
      <w:r w:rsidR="006A594C" w:rsidRPr="001F22FB">
        <w:rPr>
          <w:bCs/>
          <w:i/>
          <w:sz w:val="22"/>
        </w:rPr>
        <w:t xml:space="preserve">Bez udziału tych podmiotów </w:t>
      </w:r>
      <w:proofErr w:type="spellStart"/>
      <w:r w:rsidR="006A594C" w:rsidRPr="001F22FB">
        <w:rPr>
          <w:bCs/>
          <w:i/>
          <w:sz w:val="22"/>
        </w:rPr>
        <w:t>Nord</w:t>
      </w:r>
      <w:proofErr w:type="spellEnd"/>
      <w:r w:rsidR="006A594C" w:rsidRPr="001F22FB">
        <w:rPr>
          <w:bCs/>
          <w:i/>
          <w:sz w:val="22"/>
        </w:rPr>
        <w:t xml:space="preserve"> </w:t>
      </w:r>
      <w:proofErr w:type="spellStart"/>
      <w:r w:rsidR="006A594C" w:rsidRPr="001F22FB">
        <w:rPr>
          <w:bCs/>
          <w:i/>
          <w:sz w:val="22"/>
        </w:rPr>
        <w:t>Stream</w:t>
      </w:r>
      <w:proofErr w:type="spellEnd"/>
      <w:r w:rsidR="006A594C" w:rsidRPr="001F22FB">
        <w:rPr>
          <w:bCs/>
          <w:i/>
          <w:sz w:val="22"/>
        </w:rPr>
        <w:t xml:space="preserve"> 2 nie byłby w stanie funkcjonować i prowadzić projektu </w:t>
      </w:r>
      <w:r w:rsidR="006A594C" w:rsidRPr="001F22FB">
        <w:rPr>
          <w:bCs/>
          <w:i/>
          <w:spacing w:val="-1"/>
          <w:sz w:val="22"/>
        </w:rPr>
        <w:t>budowy gazociągu</w:t>
      </w:r>
      <w:r w:rsidR="006241CA">
        <w:rPr>
          <w:bCs/>
          <w:i/>
          <w:spacing w:val="-1"/>
          <w:sz w:val="22"/>
        </w:rPr>
        <w:t xml:space="preserve"> w ramach Unii Europejskiej</w:t>
      </w:r>
      <w:r w:rsidR="006A594C" w:rsidRPr="001F22FB">
        <w:rPr>
          <w:bCs/>
          <w:i/>
          <w:spacing w:val="-1"/>
          <w:sz w:val="22"/>
        </w:rPr>
        <w:t>, a zatem prawdopodobnie w ogóle by nie powstał</w:t>
      </w:r>
      <w:r w:rsidR="006241CA">
        <w:rPr>
          <w:bCs/>
          <w:i/>
          <w:spacing w:val="-1"/>
          <w:sz w:val="22"/>
        </w:rPr>
        <w:t xml:space="preserve"> </w:t>
      </w:r>
      <w:r w:rsidRPr="001F22FB">
        <w:rPr>
          <w:i/>
          <w:color w:val="000000" w:themeColor="text1"/>
          <w:sz w:val="22"/>
        </w:rPr>
        <w:t xml:space="preserve">– wyjaśnia Tomasz </w:t>
      </w:r>
      <w:proofErr w:type="spellStart"/>
      <w:r w:rsidRPr="001F22FB">
        <w:rPr>
          <w:i/>
          <w:color w:val="000000" w:themeColor="text1"/>
          <w:sz w:val="22"/>
        </w:rPr>
        <w:t>Chróstny</w:t>
      </w:r>
      <w:proofErr w:type="spellEnd"/>
      <w:r w:rsidRPr="001F22FB">
        <w:rPr>
          <w:i/>
          <w:color w:val="000000" w:themeColor="text1"/>
          <w:sz w:val="22"/>
        </w:rPr>
        <w:t>, Prezes UOKiK.</w:t>
      </w:r>
    </w:p>
    <w:p w14:paraId="2F386404" w14:textId="77777777" w:rsidR="00685DC3" w:rsidRDefault="00C505DA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Oceniając stopień naruszenia przepisów Prezes UOKiK uznał, że spółki </w:t>
      </w:r>
      <w:r w:rsidR="005A544A">
        <w:rPr>
          <w:color w:val="000000" w:themeColor="text1"/>
          <w:sz w:val="22"/>
        </w:rPr>
        <w:t xml:space="preserve">nigdy </w:t>
      </w:r>
      <w:r>
        <w:rPr>
          <w:color w:val="000000" w:themeColor="text1"/>
          <w:sz w:val="22"/>
        </w:rPr>
        <w:t xml:space="preserve">nie zrezygnowały z zamiaru dokonania koncentracji, ale zrealizowały go w innej formie. </w:t>
      </w:r>
      <w:r w:rsidR="001B541F">
        <w:rPr>
          <w:color w:val="000000" w:themeColor="text1"/>
          <w:sz w:val="22"/>
        </w:rPr>
        <w:t xml:space="preserve">Żaden z przedsiębiorców nie zawiadomił </w:t>
      </w:r>
      <w:r w:rsidR="003354EE">
        <w:rPr>
          <w:color w:val="000000" w:themeColor="text1"/>
          <w:sz w:val="22"/>
        </w:rPr>
        <w:t>o tych działaniach</w:t>
      </w:r>
      <w:r w:rsidR="001B541F">
        <w:rPr>
          <w:color w:val="000000" w:themeColor="text1"/>
          <w:sz w:val="22"/>
        </w:rPr>
        <w:t xml:space="preserve"> polskiego urzędu antymonopolowego</w:t>
      </w:r>
      <w:r w:rsidR="003354EE">
        <w:rPr>
          <w:color w:val="000000" w:themeColor="text1"/>
          <w:sz w:val="22"/>
        </w:rPr>
        <w:t>,</w:t>
      </w:r>
      <w:r w:rsidR="001B541F">
        <w:rPr>
          <w:color w:val="000000" w:themeColor="text1"/>
          <w:sz w:val="22"/>
        </w:rPr>
        <w:t xml:space="preserve"> </w:t>
      </w:r>
      <w:r w:rsidR="003354EE">
        <w:rPr>
          <w:color w:val="000000" w:themeColor="text1"/>
          <w:sz w:val="22"/>
        </w:rPr>
        <w:t xml:space="preserve">lekceważąc </w:t>
      </w:r>
      <w:r w:rsidR="001B541F">
        <w:rPr>
          <w:color w:val="000000" w:themeColor="text1"/>
          <w:sz w:val="22"/>
        </w:rPr>
        <w:t>tym samym</w:t>
      </w:r>
      <w:r w:rsidR="003354EE">
        <w:rPr>
          <w:color w:val="000000" w:themeColor="text1"/>
          <w:sz w:val="22"/>
        </w:rPr>
        <w:t xml:space="preserve"> </w:t>
      </w:r>
      <w:r w:rsidR="001B541F">
        <w:rPr>
          <w:color w:val="000000" w:themeColor="text1"/>
          <w:sz w:val="22"/>
        </w:rPr>
        <w:t xml:space="preserve">prawo obowiązujące </w:t>
      </w:r>
      <w:r w:rsidR="00670183">
        <w:rPr>
          <w:color w:val="000000" w:themeColor="text1"/>
          <w:sz w:val="22"/>
        </w:rPr>
        <w:t>w Polsce, tożsame z obowiązującymi regulacjami</w:t>
      </w:r>
      <w:r w:rsidR="001B541F">
        <w:rPr>
          <w:color w:val="000000" w:themeColor="text1"/>
          <w:sz w:val="22"/>
        </w:rPr>
        <w:t xml:space="preserve"> Unii Europejskiej. </w:t>
      </w:r>
      <w:r w:rsidR="00670183">
        <w:rPr>
          <w:color w:val="000000" w:themeColor="text1"/>
          <w:sz w:val="22"/>
        </w:rPr>
        <w:t xml:space="preserve">Realizacja projektu stanowi tym samym złamanie przepisów prawa oraz reguł uczciwej konkurencji, którego skutkami jest zwiększenie uzależnienia odbiorców gazu na rynku wewnętrznym od jednego dostawcy – Gazpromu. </w:t>
      </w:r>
    </w:p>
    <w:p w14:paraId="391AB45B" w14:textId="698CF6F9" w:rsidR="00A417C8" w:rsidRDefault="00670183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Taka sytuacja może skutkować poważnymi </w:t>
      </w:r>
      <w:r w:rsidR="00685DC3">
        <w:rPr>
          <w:color w:val="000000" w:themeColor="text1"/>
          <w:sz w:val="22"/>
        </w:rPr>
        <w:t xml:space="preserve">konsekwencjami </w:t>
      </w:r>
      <w:r>
        <w:rPr>
          <w:color w:val="000000" w:themeColor="text1"/>
          <w:sz w:val="22"/>
        </w:rPr>
        <w:t>dla gospodarki Polski i Unii Europejskiej</w:t>
      </w:r>
      <w:r w:rsidR="00553CAC">
        <w:rPr>
          <w:color w:val="000000" w:themeColor="text1"/>
          <w:sz w:val="22"/>
        </w:rPr>
        <w:t xml:space="preserve">, w szczególności poprzez terytorialne ograniczenia w dostawach gazu ziemnego </w:t>
      </w:r>
      <w:r w:rsidR="00553CAC">
        <w:rPr>
          <w:color w:val="000000" w:themeColor="text1"/>
          <w:sz w:val="22"/>
        </w:rPr>
        <w:lastRenderedPageBreak/>
        <w:t>oraz wzrost cen gazu dla odbiorców finalnych, w szczególności polskich konsumentów</w:t>
      </w:r>
      <w:r w:rsidR="006000C4">
        <w:rPr>
          <w:color w:val="000000" w:themeColor="text1"/>
          <w:sz w:val="22"/>
        </w:rPr>
        <w:t>.</w:t>
      </w:r>
      <w:r w:rsidR="00A417C8" w:rsidRPr="00553CAC">
        <w:rPr>
          <w:sz w:val="22"/>
        </w:rPr>
        <w:t xml:space="preserve"> </w:t>
      </w:r>
      <w:r w:rsidR="00685DC3">
        <w:rPr>
          <w:sz w:val="22"/>
        </w:rPr>
        <w:t xml:space="preserve">Wysokie koszty realizacji przedsięwzięcia mogą bowiem zostać zrekompensowane wyższymi rachunkami płaconymi przez polskich odbiorców gazu ziemnego, zaś pozycja negocjacyjna głównego uczestnika konsorcjum, tj. Gazpromu, znacząco wzrośnie tak względem Polski, jak i pozostałych Państw Członkowskich Unii Europejskiej. W efekcie na realizacji przedsięwzięcia ucierpiałaby nie tylko konkurencja na rynku, ale również konsumenci. </w:t>
      </w:r>
    </w:p>
    <w:p w14:paraId="5085D13D" w14:textId="5FEB9DB9" w:rsidR="00C505DA" w:rsidRDefault="005F5A8E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Spółki finansujące </w:t>
      </w:r>
      <w:r w:rsidR="00685DC3">
        <w:rPr>
          <w:color w:val="000000" w:themeColor="text1"/>
          <w:sz w:val="22"/>
        </w:rPr>
        <w:t xml:space="preserve">gazociąg </w:t>
      </w:r>
      <w:r>
        <w:rPr>
          <w:color w:val="000000" w:themeColor="text1"/>
          <w:sz w:val="22"/>
        </w:rPr>
        <w:t>działały umyślnie, d</w:t>
      </w:r>
      <w:r w:rsidR="00C505DA">
        <w:rPr>
          <w:color w:val="000000" w:themeColor="text1"/>
          <w:sz w:val="22"/>
        </w:rPr>
        <w:t>latego zosta</w:t>
      </w:r>
      <w:r>
        <w:rPr>
          <w:color w:val="000000" w:themeColor="text1"/>
          <w:sz w:val="22"/>
        </w:rPr>
        <w:t>ły</w:t>
      </w:r>
      <w:r w:rsidR="00C505DA">
        <w:rPr>
          <w:color w:val="000000" w:themeColor="text1"/>
          <w:sz w:val="22"/>
        </w:rPr>
        <w:t xml:space="preserve"> ukaran</w:t>
      </w:r>
      <w:r>
        <w:rPr>
          <w:color w:val="000000" w:themeColor="text1"/>
          <w:sz w:val="22"/>
        </w:rPr>
        <w:t>e</w:t>
      </w:r>
      <w:r w:rsidR="008F4819">
        <w:rPr>
          <w:color w:val="000000" w:themeColor="text1"/>
          <w:sz w:val="22"/>
        </w:rPr>
        <w:t xml:space="preserve"> </w:t>
      </w:r>
      <w:r w:rsidR="00A417C8">
        <w:rPr>
          <w:color w:val="000000" w:themeColor="text1"/>
          <w:sz w:val="22"/>
        </w:rPr>
        <w:t xml:space="preserve">maksymalnymi </w:t>
      </w:r>
      <w:r w:rsidR="00C505DA">
        <w:rPr>
          <w:color w:val="000000" w:themeColor="text1"/>
          <w:sz w:val="22"/>
        </w:rPr>
        <w:t>sankcjami finansowymi</w:t>
      </w:r>
      <w:r w:rsidR="00A417C8">
        <w:rPr>
          <w:color w:val="000000" w:themeColor="text1"/>
          <w:sz w:val="22"/>
        </w:rPr>
        <w:t xml:space="preserve"> wynoszącymi w każdym przypadku 10 proc. rocznego obrotu</w:t>
      </w:r>
      <w:r w:rsidR="00C505DA">
        <w:rPr>
          <w:color w:val="000000" w:themeColor="text1"/>
          <w:sz w:val="22"/>
        </w:rPr>
        <w:t>:</w:t>
      </w:r>
    </w:p>
    <w:p w14:paraId="38B8E442" w14:textId="77777777" w:rsidR="00C505DA" w:rsidRPr="00C505DA" w:rsidRDefault="00C505DA" w:rsidP="00C505DA">
      <w:pPr>
        <w:pStyle w:val="Akapitzlist"/>
        <w:numPr>
          <w:ilvl w:val="0"/>
          <w:numId w:val="9"/>
        </w:numPr>
        <w:spacing w:after="240" w:line="360" w:lineRule="auto"/>
        <w:jc w:val="both"/>
        <w:rPr>
          <w:color w:val="000000" w:themeColor="text1"/>
          <w:sz w:val="22"/>
        </w:rPr>
      </w:pPr>
      <w:r w:rsidRPr="00C505DA">
        <w:rPr>
          <w:color w:val="000000" w:themeColor="text1"/>
          <w:sz w:val="22"/>
        </w:rPr>
        <w:t>Gazprom</w:t>
      </w:r>
      <w:r w:rsidR="005F5A8E">
        <w:rPr>
          <w:color w:val="000000" w:themeColor="text1"/>
          <w:sz w:val="22"/>
        </w:rPr>
        <w:t xml:space="preserve"> </w:t>
      </w:r>
      <w:r w:rsidR="003E639B">
        <w:rPr>
          <w:color w:val="000000" w:themeColor="text1"/>
          <w:sz w:val="22"/>
        </w:rPr>
        <w:t xml:space="preserve">- </w:t>
      </w:r>
      <w:r w:rsidR="008B3462" w:rsidRPr="003E639B">
        <w:rPr>
          <w:color w:val="000000" w:themeColor="text1"/>
          <w:sz w:val="22"/>
        </w:rPr>
        <w:t>29 075 726 808 zł  (dwadzieścia dziewięć miliardów siedemdziesiąt pięć milionów siedemset dwadzieścia sześć tysięcy osiemset osiem zł),</w:t>
      </w:r>
    </w:p>
    <w:p w14:paraId="28197C50" w14:textId="77777777" w:rsidR="00C505DA" w:rsidRPr="00C505DA" w:rsidRDefault="00C505DA" w:rsidP="00C505DA">
      <w:pPr>
        <w:pStyle w:val="Akapitzlist"/>
        <w:numPr>
          <w:ilvl w:val="0"/>
          <w:numId w:val="9"/>
        </w:numPr>
        <w:spacing w:after="240" w:line="360" w:lineRule="auto"/>
        <w:jc w:val="both"/>
        <w:rPr>
          <w:color w:val="000000" w:themeColor="text1"/>
          <w:sz w:val="22"/>
        </w:rPr>
      </w:pPr>
      <w:proofErr w:type="spellStart"/>
      <w:r w:rsidRPr="00C505DA">
        <w:rPr>
          <w:color w:val="000000" w:themeColor="text1"/>
          <w:sz w:val="22"/>
        </w:rPr>
        <w:t>Engie</w:t>
      </w:r>
      <w:proofErr w:type="spellEnd"/>
      <w:r w:rsidRPr="00C505DA">
        <w:rPr>
          <w:color w:val="000000" w:themeColor="text1"/>
          <w:sz w:val="22"/>
        </w:rPr>
        <w:t xml:space="preserve"> Energy</w:t>
      </w:r>
      <w:r w:rsidR="005F5A8E">
        <w:rPr>
          <w:color w:val="000000" w:themeColor="text1"/>
          <w:sz w:val="22"/>
        </w:rPr>
        <w:t xml:space="preserve"> – </w:t>
      </w:r>
      <w:r w:rsidR="003E639B" w:rsidRPr="003E639B">
        <w:rPr>
          <w:color w:val="000000" w:themeColor="text1"/>
          <w:sz w:val="22"/>
        </w:rPr>
        <w:t>55 513 793 zł (pięćdziesiąt pięć milionów pięćset trzynaście tysięcy siedemset dziewięćdziesiąt trzy</w:t>
      </w:r>
      <w:r w:rsidR="008F4819">
        <w:rPr>
          <w:color w:val="000000" w:themeColor="text1"/>
          <w:sz w:val="22"/>
        </w:rPr>
        <w:t xml:space="preserve"> zł</w:t>
      </w:r>
      <w:r w:rsidR="003E639B" w:rsidRPr="003E639B">
        <w:rPr>
          <w:color w:val="000000" w:themeColor="text1"/>
          <w:sz w:val="22"/>
        </w:rPr>
        <w:t>),</w:t>
      </w:r>
    </w:p>
    <w:p w14:paraId="74C2D5B6" w14:textId="77777777" w:rsidR="00C505DA" w:rsidRPr="00C505DA" w:rsidRDefault="00C505DA" w:rsidP="00C505DA">
      <w:pPr>
        <w:pStyle w:val="Akapitzlist"/>
        <w:numPr>
          <w:ilvl w:val="0"/>
          <w:numId w:val="9"/>
        </w:numPr>
        <w:spacing w:after="240" w:line="360" w:lineRule="auto"/>
        <w:jc w:val="both"/>
        <w:rPr>
          <w:color w:val="000000" w:themeColor="text1"/>
          <w:sz w:val="22"/>
        </w:rPr>
      </w:pPr>
      <w:proofErr w:type="spellStart"/>
      <w:r w:rsidRPr="00C505DA">
        <w:rPr>
          <w:color w:val="000000" w:themeColor="text1"/>
          <w:sz w:val="22"/>
        </w:rPr>
        <w:t>Uniper</w:t>
      </w:r>
      <w:proofErr w:type="spellEnd"/>
      <w:r w:rsidR="005F5A8E">
        <w:rPr>
          <w:color w:val="000000" w:themeColor="text1"/>
          <w:sz w:val="22"/>
        </w:rPr>
        <w:t xml:space="preserve"> - </w:t>
      </w:r>
      <w:r w:rsidR="003E639B" w:rsidRPr="003E639B">
        <w:rPr>
          <w:color w:val="000000" w:themeColor="text1"/>
          <w:sz w:val="22"/>
        </w:rPr>
        <w:t>29 913 407 zł (dwadzieścia dziewięć milionów dziewięćset trzynaście tysięcy czterysta siedem</w:t>
      </w:r>
      <w:r w:rsidR="008F4819">
        <w:rPr>
          <w:color w:val="000000" w:themeColor="text1"/>
          <w:sz w:val="22"/>
        </w:rPr>
        <w:t xml:space="preserve"> zł</w:t>
      </w:r>
      <w:r w:rsidR="003E639B" w:rsidRPr="003E639B">
        <w:rPr>
          <w:color w:val="000000" w:themeColor="text1"/>
          <w:sz w:val="22"/>
        </w:rPr>
        <w:t>),</w:t>
      </w:r>
    </w:p>
    <w:p w14:paraId="718DA059" w14:textId="77777777" w:rsidR="00C505DA" w:rsidRPr="003E639B" w:rsidRDefault="00C505DA" w:rsidP="003E639B">
      <w:pPr>
        <w:pStyle w:val="Akapitzlist"/>
        <w:numPr>
          <w:ilvl w:val="0"/>
          <w:numId w:val="9"/>
        </w:numPr>
        <w:spacing w:after="120" w:line="360" w:lineRule="auto"/>
        <w:jc w:val="both"/>
        <w:rPr>
          <w:color w:val="000000" w:themeColor="text1"/>
          <w:sz w:val="22"/>
        </w:rPr>
      </w:pPr>
      <w:r w:rsidRPr="00C505DA">
        <w:rPr>
          <w:color w:val="000000" w:themeColor="text1"/>
          <w:sz w:val="22"/>
        </w:rPr>
        <w:t>OMV</w:t>
      </w:r>
      <w:r w:rsidR="005F5A8E">
        <w:rPr>
          <w:color w:val="000000" w:themeColor="text1"/>
          <w:sz w:val="22"/>
        </w:rPr>
        <w:t xml:space="preserve"> – </w:t>
      </w:r>
      <w:r w:rsidR="003E639B" w:rsidRPr="003E639B">
        <w:rPr>
          <w:color w:val="000000" w:themeColor="text1"/>
          <w:sz w:val="22"/>
        </w:rPr>
        <w:t>87 748 906 zł (osiemdziesiąt siedem milionów siedemset czterdzieści osiem tysięcy dziewięćset sześć</w:t>
      </w:r>
      <w:r w:rsidR="008F4819">
        <w:rPr>
          <w:color w:val="000000" w:themeColor="text1"/>
          <w:sz w:val="22"/>
        </w:rPr>
        <w:t xml:space="preserve"> zł</w:t>
      </w:r>
      <w:r w:rsidR="003E639B" w:rsidRPr="003E639B">
        <w:rPr>
          <w:color w:val="000000" w:themeColor="text1"/>
          <w:sz w:val="22"/>
        </w:rPr>
        <w:t>),</w:t>
      </w:r>
    </w:p>
    <w:p w14:paraId="614D72A3" w14:textId="77777777" w:rsidR="00C505DA" w:rsidRPr="00C505DA" w:rsidRDefault="00C505DA" w:rsidP="00C505DA">
      <w:pPr>
        <w:pStyle w:val="Akapitzlist"/>
        <w:numPr>
          <w:ilvl w:val="0"/>
          <w:numId w:val="9"/>
        </w:numPr>
        <w:spacing w:after="240" w:line="360" w:lineRule="auto"/>
        <w:jc w:val="both"/>
        <w:rPr>
          <w:color w:val="000000" w:themeColor="text1"/>
          <w:sz w:val="22"/>
        </w:rPr>
      </w:pPr>
      <w:r w:rsidRPr="00C505DA">
        <w:rPr>
          <w:color w:val="000000" w:themeColor="text1"/>
          <w:sz w:val="22"/>
        </w:rPr>
        <w:t xml:space="preserve">Shell </w:t>
      </w:r>
      <w:r w:rsidR="005F5A8E">
        <w:rPr>
          <w:color w:val="000000" w:themeColor="text1"/>
          <w:sz w:val="22"/>
        </w:rPr>
        <w:t>–</w:t>
      </w:r>
      <w:r w:rsidR="003E639B">
        <w:rPr>
          <w:color w:val="000000" w:themeColor="text1"/>
          <w:sz w:val="22"/>
        </w:rPr>
        <w:t xml:space="preserve"> </w:t>
      </w:r>
      <w:r w:rsidR="003E639B" w:rsidRPr="003E639B">
        <w:rPr>
          <w:color w:val="000000" w:themeColor="text1"/>
          <w:sz w:val="22"/>
        </w:rPr>
        <w:t>30 220 135 zł (trzydzieści milionów dwieście dwadzieścia tysięcy sto trzydzieści pięć</w:t>
      </w:r>
      <w:r w:rsidR="008F4819">
        <w:rPr>
          <w:color w:val="000000" w:themeColor="text1"/>
          <w:sz w:val="22"/>
        </w:rPr>
        <w:t xml:space="preserve"> zł</w:t>
      </w:r>
      <w:r w:rsidR="003E639B" w:rsidRPr="003E639B">
        <w:rPr>
          <w:color w:val="000000" w:themeColor="text1"/>
          <w:sz w:val="22"/>
        </w:rPr>
        <w:t>)</w:t>
      </w:r>
    </w:p>
    <w:p w14:paraId="7333BE3D" w14:textId="0955BAD4" w:rsidR="00C505DA" w:rsidRDefault="00C505DA" w:rsidP="00C505DA">
      <w:pPr>
        <w:pStyle w:val="Akapitzlist"/>
        <w:numPr>
          <w:ilvl w:val="0"/>
          <w:numId w:val="9"/>
        </w:numPr>
        <w:spacing w:after="240" w:line="360" w:lineRule="auto"/>
        <w:jc w:val="both"/>
        <w:rPr>
          <w:color w:val="000000" w:themeColor="text1"/>
          <w:sz w:val="22"/>
        </w:rPr>
      </w:pPr>
      <w:proofErr w:type="spellStart"/>
      <w:r w:rsidRPr="00C505DA">
        <w:rPr>
          <w:color w:val="000000" w:themeColor="text1"/>
          <w:sz w:val="22"/>
        </w:rPr>
        <w:t>Wintershall</w:t>
      </w:r>
      <w:proofErr w:type="spellEnd"/>
      <w:r w:rsidR="005F5A8E">
        <w:rPr>
          <w:color w:val="000000" w:themeColor="text1"/>
          <w:sz w:val="22"/>
        </w:rPr>
        <w:t xml:space="preserve"> –</w:t>
      </w:r>
      <w:r w:rsidR="00685DC3">
        <w:rPr>
          <w:color w:val="000000" w:themeColor="text1"/>
          <w:sz w:val="22"/>
        </w:rPr>
        <w:t xml:space="preserve"> </w:t>
      </w:r>
      <w:r w:rsidR="003E639B" w:rsidRPr="003E639B">
        <w:rPr>
          <w:color w:val="000000" w:themeColor="text1"/>
          <w:sz w:val="22"/>
        </w:rPr>
        <w:t>30 785 804 złotych (trzydzieści milionów siedemset osiemdziesiąt pięć tysięcy osiemset cztery</w:t>
      </w:r>
      <w:r w:rsidR="008F4819">
        <w:rPr>
          <w:color w:val="000000" w:themeColor="text1"/>
          <w:sz w:val="22"/>
        </w:rPr>
        <w:t xml:space="preserve"> zł</w:t>
      </w:r>
      <w:r w:rsidR="003E639B" w:rsidRPr="003E639B">
        <w:rPr>
          <w:color w:val="000000" w:themeColor="text1"/>
          <w:sz w:val="22"/>
        </w:rPr>
        <w:t>)</w:t>
      </w:r>
      <w:r w:rsidR="003E639B">
        <w:rPr>
          <w:color w:val="000000" w:themeColor="text1"/>
          <w:sz w:val="22"/>
        </w:rPr>
        <w:t>.</w:t>
      </w:r>
    </w:p>
    <w:p w14:paraId="22FCB3C6" w14:textId="6D0EB84B" w:rsidR="003D4EDC" w:rsidRDefault="003D4EDC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="00C505DA">
        <w:rPr>
          <w:color w:val="000000" w:themeColor="text1"/>
          <w:sz w:val="22"/>
        </w:rPr>
        <w:t>onadto P</w:t>
      </w:r>
      <w:r>
        <w:rPr>
          <w:color w:val="000000" w:themeColor="text1"/>
          <w:sz w:val="22"/>
        </w:rPr>
        <w:t>rezes Urzędu nakazał stronom rozwiązanie umów zawartych</w:t>
      </w:r>
      <w:r w:rsidR="002937EC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by finansować NS2. </w:t>
      </w:r>
      <w:r w:rsidR="00C505DA">
        <w:rPr>
          <w:color w:val="000000" w:themeColor="text1"/>
          <w:sz w:val="22"/>
        </w:rPr>
        <w:t xml:space="preserve">Pozwoli to na przywrócenie stanu </w:t>
      </w:r>
      <w:r w:rsidR="00685DC3">
        <w:rPr>
          <w:color w:val="000000" w:themeColor="text1"/>
          <w:sz w:val="22"/>
        </w:rPr>
        <w:t xml:space="preserve">konkurencji </w:t>
      </w:r>
      <w:r w:rsidR="00C505DA">
        <w:rPr>
          <w:color w:val="000000" w:themeColor="text1"/>
          <w:sz w:val="22"/>
        </w:rPr>
        <w:t>sprzed dokonania koncentracji. Spółki mają 30 dni od otrzymania decyzji na rozwiązanie kontraktów</w:t>
      </w:r>
      <w:r w:rsidR="00A85C81">
        <w:rPr>
          <w:color w:val="000000" w:themeColor="text1"/>
          <w:sz w:val="22"/>
        </w:rPr>
        <w:t xml:space="preserve">, </w:t>
      </w:r>
      <w:r w:rsidR="00685DC3">
        <w:rPr>
          <w:color w:val="000000" w:themeColor="text1"/>
          <w:sz w:val="22"/>
        </w:rPr>
        <w:t>zaś</w:t>
      </w:r>
      <w:r w:rsidR="00A85C81">
        <w:rPr>
          <w:color w:val="000000" w:themeColor="text1"/>
          <w:sz w:val="22"/>
        </w:rPr>
        <w:t xml:space="preserve"> w przypadku zaskarżenia </w:t>
      </w:r>
      <w:r w:rsidR="00685DC3">
        <w:rPr>
          <w:color w:val="000000" w:themeColor="text1"/>
          <w:sz w:val="22"/>
        </w:rPr>
        <w:t xml:space="preserve">decyzji do sądu </w:t>
      </w:r>
      <w:r w:rsidR="00A85C81">
        <w:rPr>
          <w:color w:val="000000" w:themeColor="text1"/>
          <w:sz w:val="22"/>
        </w:rPr>
        <w:t xml:space="preserve">od </w:t>
      </w:r>
      <w:r w:rsidR="00685DC3">
        <w:rPr>
          <w:color w:val="000000" w:themeColor="text1"/>
          <w:sz w:val="22"/>
        </w:rPr>
        <w:t xml:space="preserve">jej </w:t>
      </w:r>
      <w:r w:rsidR="00A85C81">
        <w:rPr>
          <w:color w:val="000000" w:themeColor="text1"/>
          <w:sz w:val="22"/>
        </w:rPr>
        <w:t xml:space="preserve">uprawomocnienia. </w:t>
      </w:r>
    </w:p>
    <w:p w14:paraId="5389844D" w14:textId="009DCF1A" w:rsidR="008528AF" w:rsidRDefault="008528AF" w:rsidP="00F1490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i/>
          <w:color w:val="000000" w:themeColor="text1"/>
          <w:sz w:val="22"/>
        </w:rPr>
        <w:t xml:space="preserve">- </w:t>
      </w:r>
      <w:r w:rsidR="006027A3" w:rsidRPr="006027A3">
        <w:rPr>
          <w:i/>
          <w:color w:val="000000" w:themeColor="text1"/>
          <w:sz w:val="22"/>
        </w:rPr>
        <w:t xml:space="preserve">Nie znalazłem żadnych okoliczności łagodzących. </w:t>
      </w:r>
      <w:r w:rsidRPr="006027A3">
        <w:rPr>
          <w:i/>
          <w:color w:val="000000" w:themeColor="text1"/>
          <w:sz w:val="22"/>
        </w:rPr>
        <w:t>Działania 6 spółek wywarły negatywny wpływ na konkurencję na rynku gazu ziemnego w Polsce, który odgrywa ogromną rolę dla całej gospodarki</w:t>
      </w:r>
      <w:r w:rsidR="00685DC3">
        <w:rPr>
          <w:i/>
          <w:color w:val="000000" w:themeColor="text1"/>
          <w:sz w:val="22"/>
        </w:rPr>
        <w:t>, w tym sytuacji gospodarstw domowych</w:t>
      </w:r>
      <w:r w:rsidR="00144D98">
        <w:rPr>
          <w:i/>
          <w:color w:val="000000" w:themeColor="text1"/>
          <w:sz w:val="22"/>
        </w:rPr>
        <w:t xml:space="preserve">. </w:t>
      </w:r>
      <w:r w:rsidR="00144D98" w:rsidRPr="00144D98">
        <w:rPr>
          <w:i/>
          <w:sz w:val="22"/>
        </w:rPr>
        <w:t xml:space="preserve">Uruchomienie NS2 zagrozi </w:t>
      </w:r>
      <w:r w:rsidR="0015532D">
        <w:rPr>
          <w:i/>
          <w:sz w:val="22"/>
        </w:rPr>
        <w:t>ciągłości dostaw</w:t>
      </w:r>
      <w:r w:rsidR="00144D98" w:rsidRPr="00144D98">
        <w:rPr>
          <w:i/>
          <w:sz w:val="22"/>
        </w:rPr>
        <w:t xml:space="preserve"> gazu ziemnego do Polski</w:t>
      </w:r>
      <w:r w:rsidR="0015532D">
        <w:rPr>
          <w:i/>
          <w:sz w:val="22"/>
        </w:rPr>
        <w:t>, wysoce prawdopodobny</w:t>
      </w:r>
      <w:r w:rsidR="00144D98" w:rsidRPr="00144D98">
        <w:rPr>
          <w:i/>
          <w:sz w:val="22"/>
        </w:rPr>
        <w:t xml:space="preserve"> </w:t>
      </w:r>
      <w:r w:rsidR="0015532D">
        <w:rPr>
          <w:i/>
          <w:sz w:val="22"/>
        </w:rPr>
        <w:t xml:space="preserve">jest również </w:t>
      </w:r>
      <w:r w:rsidR="00144D98" w:rsidRPr="00144D98">
        <w:rPr>
          <w:i/>
          <w:sz w:val="22"/>
        </w:rPr>
        <w:t xml:space="preserve">wzrost </w:t>
      </w:r>
      <w:r w:rsidR="0015532D">
        <w:rPr>
          <w:i/>
          <w:sz w:val="22"/>
        </w:rPr>
        <w:t>cen surowca</w:t>
      </w:r>
      <w:r w:rsidR="00670183">
        <w:rPr>
          <w:i/>
          <w:sz w:val="22"/>
        </w:rPr>
        <w:t>, którym zostaną obciążeni polscy konsumenci</w:t>
      </w:r>
      <w:r w:rsidRPr="00144D98">
        <w:rPr>
          <w:i/>
          <w:color w:val="000000" w:themeColor="text1"/>
          <w:sz w:val="22"/>
        </w:rPr>
        <w:t>.</w:t>
      </w:r>
      <w:r w:rsidR="00670183">
        <w:rPr>
          <w:i/>
          <w:color w:val="000000" w:themeColor="text1"/>
          <w:sz w:val="22"/>
        </w:rPr>
        <w:t xml:space="preserve"> Realizacja tej inwestycji zwiększa zależność ekonomiczną od rosyjskiego gazu nie tylko Polski, ale i innych krajów europejskich. </w:t>
      </w:r>
      <w:r w:rsidR="0015532D">
        <w:rPr>
          <w:i/>
          <w:color w:val="000000" w:themeColor="text1"/>
          <w:sz w:val="22"/>
        </w:rPr>
        <w:t xml:space="preserve">Pod względem bezpieczeństwa energetycznego przedsięwzięcie to dzieli Europę na dwie części, z granicą na Odrze. </w:t>
      </w:r>
      <w:r w:rsidR="00670183">
        <w:rPr>
          <w:i/>
          <w:color w:val="000000" w:themeColor="text1"/>
          <w:sz w:val="22"/>
        </w:rPr>
        <w:t xml:space="preserve">Zadziwia brak zrozumienia tej kwestii przez </w:t>
      </w:r>
      <w:r w:rsidR="00670183">
        <w:rPr>
          <w:i/>
          <w:color w:val="000000" w:themeColor="text1"/>
          <w:sz w:val="22"/>
        </w:rPr>
        <w:lastRenderedPageBreak/>
        <w:t>zachodnie koncerny, biorące udział w przedsięwzięciu</w:t>
      </w:r>
      <w:r w:rsidR="0015532D">
        <w:rPr>
          <w:i/>
          <w:color w:val="000000" w:themeColor="text1"/>
          <w:sz w:val="22"/>
        </w:rPr>
        <w:t xml:space="preserve"> naruszającym nie tylko konkurencję na rynku, ale również </w:t>
      </w:r>
      <w:r w:rsidR="003A08F5">
        <w:rPr>
          <w:i/>
          <w:color w:val="000000" w:themeColor="text1"/>
          <w:sz w:val="22"/>
        </w:rPr>
        <w:t xml:space="preserve">europejskie </w:t>
      </w:r>
      <w:r w:rsidR="0015532D">
        <w:rPr>
          <w:i/>
          <w:color w:val="000000" w:themeColor="text1"/>
          <w:sz w:val="22"/>
        </w:rPr>
        <w:t>bezpieczeństwo energetyczne</w:t>
      </w:r>
      <w:r w:rsidR="00670183">
        <w:rPr>
          <w:i/>
          <w:color w:val="000000" w:themeColor="text1"/>
          <w:sz w:val="22"/>
        </w:rPr>
        <w:t>.</w:t>
      </w:r>
      <w:r w:rsidRPr="006027A3">
        <w:rPr>
          <w:i/>
          <w:color w:val="000000" w:themeColor="text1"/>
          <w:sz w:val="22"/>
        </w:rPr>
        <w:t xml:space="preserve"> </w:t>
      </w:r>
      <w:r w:rsidR="003354EE" w:rsidRPr="006027A3">
        <w:rPr>
          <w:i/>
          <w:color w:val="000000" w:themeColor="text1"/>
          <w:sz w:val="22"/>
        </w:rPr>
        <w:t>Dlatego</w:t>
      </w:r>
      <w:r w:rsidR="006027A3" w:rsidRPr="006027A3">
        <w:rPr>
          <w:i/>
          <w:color w:val="000000" w:themeColor="text1"/>
          <w:sz w:val="22"/>
        </w:rPr>
        <w:t xml:space="preserve"> nałożone kary finansowe mają </w:t>
      </w:r>
      <w:r w:rsidR="002937EC" w:rsidRPr="006027A3">
        <w:rPr>
          <w:i/>
          <w:color w:val="000000" w:themeColor="text1"/>
          <w:sz w:val="22"/>
        </w:rPr>
        <w:t xml:space="preserve">zarówno </w:t>
      </w:r>
      <w:r w:rsidR="006027A3" w:rsidRPr="006027A3">
        <w:rPr>
          <w:i/>
          <w:color w:val="000000" w:themeColor="text1"/>
          <w:sz w:val="22"/>
        </w:rPr>
        <w:t xml:space="preserve">nakłonić strony do przestrzegania prawa, jak i zniechęcić w przyszłości inne podmioty do podobnych </w:t>
      </w:r>
      <w:proofErr w:type="spellStart"/>
      <w:r w:rsidR="006027A3" w:rsidRPr="006027A3">
        <w:rPr>
          <w:i/>
          <w:color w:val="000000" w:themeColor="text1"/>
          <w:sz w:val="22"/>
        </w:rPr>
        <w:t>zachowań</w:t>
      </w:r>
      <w:proofErr w:type="spellEnd"/>
      <w:r w:rsidR="0015532D">
        <w:rPr>
          <w:i/>
          <w:color w:val="000000" w:themeColor="text1"/>
          <w:sz w:val="22"/>
        </w:rPr>
        <w:t xml:space="preserve"> naruszających prawo antymonopolowe</w:t>
      </w:r>
      <w:r w:rsidR="006027A3" w:rsidRPr="006027A3">
        <w:rPr>
          <w:i/>
          <w:color w:val="000000" w:themeColor="text1"/>
          <w:sz w:val="22"/>
        </w:rPr>
        <w:t xml:space="preserve">. W tym wypadku </w:t>
      </w:r>
      <w:r w:rsidR="003354EE" w:rsidRPr="006027A3">
        <w:rPr>
          <w:i/>
          <w:color w:val="000000" w:themeColor="text1"/>
          <w:sz w:val="22"/>
        </w:rPr>
        <w:t xml:space="preserve">niezbędne było </w:t>
      </w:r>
      <w:r w:rsidR="005A544A">
        <w:rPr>
          <w:i/>
          <w:color w:val="000000" w:themeColor="text1"/>
          <w:sz w:val="22"/>
        </w:rPr>
        <w:t xml:space="preserve">również </w:t>
      </w:r>
      <w:r w:rsidR="003354EE" w:rsidRPr="006027A3">
        <w:rPr>
          <w:i/>
          <w:color w:val="000000" w:themeColor="text1"/>
          <w:sz w:val="22"/>
        </w:rPr>
        <w:t>zastosowanie</w:t>
      </w:r>
      <w:r w:rsidR="006027A3" w:rsidRPr="006027A3">
        <w:rPr>
          <w:i/>
          <w:color w:val="000000" w:themeColor="text1"/>
          <w:sz w:val="22"/>
        </w:rPr>
        <w:t xml:space="preserve"> </w:t>
      </w:r>
      <w:r w:rsidR="003354EE" w:rsidRPr="006027A3">
        <w:rPr>
          <w:i/>
          <w:color w:val="000000" w:themeColor="text1"/>
          <w:sz w:val="22"/>
        </w:rPr>
        <w:t>innych środków prawnych, tak by przywróc</w:t>
      </w:r>
      <w:r w:rsidR="006027A3" w:rsidRPr="006027A3">
        <w:rPr>
          <w:i/>
          <w:color w:val="000000" w:themeColor="text1"/>
          <w:sz w:val="22"/>
        </w:rPr>
        <w:t>ić stan sprzed dokonania</w:t>
      </w:r>
      <w:r w:rsidR="00144D98">
        <w:rPr>
          <w:i/>
          <w:color w:val="000000" w:themeColor="text1"/>
          <w:sz w:val="22"/>
        </w:rPr>
        <w:t xml:space="preserve"> koncentracji. </w:t>
      </w:r>
      <w:r w:rsidR="006027A3" w:rsidRPr="006027A3">
        <w:rPr>
          <w:i/>
          <w:color w:val="000000" w:themeColor="text1"/>
          <w:sz w:val="22"/>
        </w:rPr>
        <w:t>Skorzystaliśmy z</w:t>
      </w:r>
      <w:r w:rsidR="00670183">
        <w:rPr>
          <w:i/>
          <w:color w:val="000000" w:themeColor="text1"/>
          <w:sz w:val="22"/>
        </w:rPr>
        <w:t>e</w:t>
      </w:r>
      <w:r w:rsidR="006027A3" w:rsidRPr="006027A3">
        <w:rPr>
          <w:i/>
          <w:color w:val="000000" w:themeColor="text1"/>
          <w:sz w:val="22"/>
        </w:rPr>
        <w:t xml:space="preserve"> wszystkich przysługujących nam narzędzi</w:t>
      </w:r>
      <w:r w:rsidR="006027A3">
        <w:rPr>
          <w:i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– wyjaśnia Prezes UOKiK Tomasz </w:t>
      </w:r>
      <w:proofErr w:type="spellStart"/>
      <w:r>
        <w:rPr>
          <w:color w:val="000000" w:themeColor="text1"/>
          <w:sz w:val="22"/>
        </w:rPr>
        <w:t>Chróstny</w:t>
      </w:r>
      <w:proofErr w:type="spellEnd"/>
      <w:r>
        <w:rPr>
          <w:color w:val="000000" w:themeColor="text1"/>
          <w:sz w:val="22"/>
        </w:rPr>
        <w:t xml:space="preserve">. </w:t>
      </w:r>
    </w:p>
    <w:p w14:paraId="5DA561DA" w14:textId="77777777" w:rsidR="005A0B11" w:rsidRPr="00C807AD" w:rsidRDefault="005A0B11" w:rsidP="00F14901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C807AD">
        <w:rPr>
          <w:b/>
          <w:color w:val="000000" w:themeColor="text1"/>
          <w:sz w:val="22"/>
        </w:rPr>
        <w:t xml:space="preserve">Sprawa </w:t>
      </w:r>
      <w:proofErr w:type="spellStart"/>
      <w:r w:rsidRPr="00C807AD">
        <w:rPr>
          <w:b/>
          <w:color w:val="000000" w:themeColor="text1"/>
          <w:sz w:val="22"/>
        </w:rPr>
        <w:t>Nord</w:t>
      </w:r>
      <w:proofErr w:type="spellEnd"/>
      <w:r w:rsidRPr="00C807AD">
        <w:rPr>
          <w:b/>
          <w:color w:val="000000" w:themeColor="text1"/>
          <w:sz w:val="22"/>
        </w:rPr>
        <w:t xml:space="preserve"> </w:t>
      </w:r>
      <w:proofErr w:type="spellStart"/>
      <w:r w:rsidRPr="00C807AD">
        <w:rPr>
          <w:b/>
          <w:color w:val="000000" w:themeColor="text1"/>
          <w:sz w:val="22"/>
        </w:rPr>
        <w:t>Stream</w:t>
      </w:r>
      <w:proofErr w:type="spellEnd"/>
      <w:r w:rsidR="00364892" w:rsidRPr="00C807AD">
        <w:rPr>
          <w:b/>
          <w:color w:val="000000" w:themeColor="text1"/>
          <w:sz w:val="22"/>
        </w:rPr>
        <w:t xml:space="preserve"> </w:t>
      </w:r>
      <w:r w:rsidRPr="00C807AD">
        <w:rPr>
          <w:b/>
          <w:color w:val="000000" w:themeColor="text1"/>
          <w:sz w:val="22"/>
        </w:rPr>
        <w:t>2 w UOKiK</w:t>
      </w:r>
      <w:r w:rsidR="008C06AD" w:rsidRPr="00C807AD">
        <w:rPr>
          <w:b/>
          <w:color w:val="000000" w:themeColor="text1"/>
          <w:sz w:val="22"/>
        </w:rPr>
        <w:t xml:space="preserve"> – </w:t>
      </w:r>
      <w:r w:rsidR="00C75C22" w:rsidRPr="00C807AD">
        <w:rPr>
          <w:b/>
          <w:color w:val="000000" w:themeColor="text1"/>
          <w:sz w:val="22"/>
        </w:rPr>
        <w:t xml:space="preserve">historia </w:t>
      </w:r>
      <w:r w:rsidR="008C06AD" w:rsidRPr="00C807AD">
        <w:rPr>
          <w:b/>
          <w:color w:val="000000" w:themeColor="text1"/>
          <w:sz w:val="22"/>
        </w:rPr>
        <w:t>dochodzenia antymonopolowe</w:t>
      </w:r>
      <w:r w:rsidR="00C75C22" w:rsidRPr="00C807AD">
        <w:rPr>
          <w:b/>
          <w:color w:val="000000" w:themeColor="text1"/>
          <w:sz w:val="22"/>
        </w:rPr>
        <w:t>go</w:t>
      </w:r>
    </w:p>
    <w:p w14:paraId="2CA7C6E8" w14:textId="77777777" w:rsidR="005A0B11" w:rsidRDefault="005A0B11" w:rsidP="00F14901">
      <w:pPr>
        <w:spacing w:after="240" w:line="360" w:lineRule="auto"/>
        <w:jc w:val="both"/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</w:pPr>
      <w:r w:rsidRPr="00C807AD">
        <w:rPr>
          <w:color w:val="000000" w:themeColor="text1"/>
          <w:sz w:val="22"/>
        </w:rPr>
        <w:t xml:space="preserve">W 2015 r. </w:t>
      </w:r>
      <w:r w:rsidR="006C5D64" w:rsidRPr="00C807AD">
        <w:rPr>
          <w:color w:val="000000" w:themeColor="text1"/>
          <w:sz w:val="22"/>
        </w:rPr>
        <w:t>do UOKiK wpłynął wniosek sześciu spółek o zgodę na utworzenie wspólnego przedsiębiorcy</w:t>
      </w:r>
      <w:r w:rsidR="006C5D64" w:rsidRPr="00C807AD">
        <w:rPr>
          <w:b/>
          <w:color w:val="000000" w:themeColor="text1"/>
          <w:sz w:val="22"/>
        </w:rPr>
        <w:t xml:space="preserve"> </w:t>
      </w:r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 odpowiedzialnego za budowę i eksploatację gazociągu </w:t>
      </w:r>
      <w:proofErr w:type="spellStart"/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Nord</w:t>
      </w:r>
      <w:proofErr w:type="spellEnd"/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Stream</w:t>
      </w:r>
      <w:proofErr w:type="spellEnd"/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2. W 2016 r. </w:t>
      </w:r>
      <w:r w:rsidR="00670183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Prezes </w:t>
      </w:r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Urz</w:t>
      </w:r>
      <w:r w:rsidR="00670183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ędu</w:t>
      </w:r>
      <w:r w:rsidR="006C5D64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wydał zastrzeżenia do koncentracji, </w:t>
      </w:r>
      <w:r w:rsidR="00282A44" w:rsidRPr="00C807AD">
        <w:rPr>
          <w:color w:val="000000" w:themeColor="text1"/>
          <w:sz w:val="22"/>
        </w:rPr>
        <w:t>w których uznał, że planowana</w:t>
      </w:r>
      <w:r w:rsidR="00F723A2" w:rsidRPr="00C807AD">
        <w:rPr>
          <w:color w:val="000000" w:themeColor="text1"/>
          <w:sz w:val="22"/>
        </w:rPr>
        <w:t xml:space="preserve"> transakcja</w:t>
      </w:r>
      <w:r w:rsidR="00282A44" w:rsidRPr="00C807AD">
        <w:rPr>
          <w:color w:val="000000" w:themeColor="text1"/>
          <w:sz w:val="22"/>
        </w:rPr>
        <w:t xml:space="preserve"> </w:t>
      </w:r>
      <w:hyperlink r:id="rId9" w:history="1">
        <w:r w:rsidR="00AA49AA" w:rsidRPr="002E1058">
          <w:rPr>
            <w:rStyle w:val="Hipercze"/>
            <w:iCs/>
            <w:sz w:val="22"/>
          </w:rPr>
          <w:t>mo</w:t>
        </w:r>
        <w:r w:rsidR="00AA49AA">
          <w:rPr>
            <w:rStyle w:val="Hipercze"/>
            <w:iCs/>
            <w:sz w:val="22"/>
          </w:rPr>
          <w:t>że</w:t>
        </w:r>
        <w:r w:rsidR="00AA49AA" w:rsidRPr="002E1058">
          <w:rPr>
            <w:rStyle w:val="Hipercze"/>
            <w:iCs/>
            <w:sz w:val="22"/>
          </w:rPr>
          <w:t xml:space="preserve"> doprowadzić do ograniczenia konkurencji i przedstawił zastrzeżenia</w:t>
        </w:r>
      </w:hyperlink>
      <w:r w:rsidR="00282A44" w:rsidRPr="002E1058">
        <w:rPr>
          <w:rStyle w:val="Hipercze"/>
          <w:iCs/>
          <w:sz w:val="22"/>
        </w:rPr>
        <w:t>.</w:t>
      </w:r>
      <w:r w:rsidR="00282A44" w:rsidRPr="00C807AD">
        <w:rPr>
          <w:color w:val="000000" w:themeColor="text1"/>
          <w:sz w:val="22"/>
        </w:rPr>
        <w:t xml:space="preserve"> </w:t>
      </w:r>
      <w:r w:rsidR="00DD35CC" w:rsidRPr="00C807AD">
        <w:rPr>
          <w:color w:val="000000" w:themeColor="text1"/>
          <w:sz w:val="22"/>
        </w:rPr>
        <w:t>Przedsiębiorcy wycofali wniosek, co w</w:t>
      </w:r>
      <w:r w:rsidR="00282A44" w:rsidRPr="00C807AD">
        <w:rPr>
          <w:color w:val="000000" w:themeColor="text1"/>
          <w:sz w:val="22"/>
        </w:rPr>
        <w:t xml:space="preserve"> praktyce oznaczało </w:t>
      </w:r>
      <w:hyperlink r:id="rId10" w:history="1">
        <w:r w:rsidR="00282A44" w:rsidRPr="002E1058">
          <w:rPr>
            <w:rStyle w:val="Hipercze"/>
            <w:iCs/>
            <w:sz w:val="22"/>
          </w:rPr>
          <w:t>zakaz połączenia</w:t>
        </w:r>
      </w:hyperlink>
      <w:r w:rsidR="00282A44" w:rsidRPr="00C807AD">
        <w:rPr>
          <w:color w:val="000000" w:themeColor="text1"/>
          <w:sz w:val="22"/>
        </w:rPr>
        <w:t>.</w:t>
      </w:r>
      <w:r w:rsidR="0039332E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Tymczasem</w:t>
      </w:r>
      <w:r w:rsidR="00C75C22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niedługo potem</w:t>
      </w:r>
      <w:r w:rsidR="0039332E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pojawiły się informacje, że niedoszli uczestnicy transakcji podpisali umowę na finansowanie gazociągu. W z</w:t>
      </w:r>
      <w:r w:rsidR="00995C7F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wiązku z tym </w:t>
      </w:r>
      <w:r w:rsidR="00D85A53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wszczęto</w:t>
      </w:r>
      <w:r w:rsidR="00995C7F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postę</w:t>
      </w:r>
      <w:r w:rsidR="0039332E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powanie przeciw Gazpromowi i jego pięciu kontrahentom </w:t>
      </w:r>
      <w:r w:rsidR="00D85A53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o dokonanie</w:t>
      </w:r>
      <w:r w:rsidR="0039332E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 transakcji bez zgody </w:t>
      </w:r>
      <w:r w:rsidR="00A725AF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Prezesa </w:t>
      </w:r>
      <w:r w:rsidR="0039332E" w:rsidRPr="00C807AD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 xml:space="preserve">UOKiK. </w:t>
      </w:r>
    </w:p>
    <w:p w14:paraId="3B867C89" w14:textId="77777777" w:rsidR="00C505DA" w:rsidRPr="00C505DA" w:rsidRDefault="00C505DA" w:rsidP="00F14901">
      <w:pPr>
        <w:spacing w:after="240" w:line="360" w:lineRule="auto"/>
        <w:jc w:val="both"/>
        <w:rPr>
          <w:rStyle w:val="Pogrubienie"/>
          <w:b w:val="0"/>
          <w:bCs w:val="0"/>
          <w:color w:val="000000" w:themeColor="text1"/>
          <w:sz w:val="22"/>
        </w:rPr>
      </w:pPr>
      <w:r w:rsidRPr="00C807AD">
        <w:rPr>
          <w:color w:val="000000" w:themeColor="text1"/>
          <w:sz w:val="22"/>
        </w:rPr>
        <w:t>W trakcie trwania post</w:t>
      </w:r>
      <w:r w:rsidR="002937EC">
        <w:rPr>
          <w:color w:val="000000" w:themeColor="text1"/>
          <w:sz w:val="22"/>
        </w:rPr>
        <w:t>ę</w:t>
      </w:r>
      <w:r w:rsidRPr="00C807AD">
        <w:rPr>
          <w:color w:val="000000" w:themeColor="text1"/>
          <w:sz w:val="22"/>
        </w:rPr>
        <w:t xml:space="preserve">powania </w:t>
      </w:r>
      <w:r>
        <w:rPr>
          <w:color w:val="000000" w:themeColor="text1"/>
          <w:sz w:val="22"/>
        </w:rPr>
        <w:t xml:space="preserve">Prezes </w:t>
      </w:r>
      <w:r w:rsidRPr="00C807AD">
        <w:rPr>
          <w:color w:val="000000" w:themeColor="text1"/>
          <w:sz w:val="22"/>
        </w:rPr>
        <w:t xml:space="preserve">UOKiK </w:t>
      </w:r>
      <w:r>
        <w:rPr>
          <w:color w:val="000000" w:themeColor="text1"/>
          <w:sz w:val="22"/>
        </w:rPr>
        <w:t xml:space="preserve">kilkakrotnie </w:t>
      </w:r>
      <w:r w:rsidRPr="00C807AD">
        <w:rPr>
          <w:color w:val="000000" w:themeColor="text1"/>
          <w:sz w:val="22"/>
        </w:rPr>
        <w:t>zwr</w:t>
      </w:r>
      <w:r>
        <w:rPr>
          <w:color w:val="000000" w:themeColor="text1"/>
          <w:sz w:val="22"/>
        </w:rPr>
        <w:t xml:space="preserve">acał się o </w:t>
      </w:r>
      <w:r w:rsidRPr="00C807AD">
        <w:rPr>
          <w:color w:val="000000" w:themeColor="text1"/>
          <w:sz w:val="22"/>
        </w:rPr>
        <w:t xml:space="preserve">dokumenty istotne dla sprawy </w:t>
      </w:r>
      <w:r>
        <w:rPr>
          <w:color w:val="000000" w:themeColor="text1"/>
          <w:sz w:val="22"/>
        </w:rPr>
        <w:t xml:space="preserve">do wszystkich sześciu podmiotów. Dwa z nich: </w:t>
      </w:r>
      <w:hyperlink r:id="rId11" w:history="1">
        <w:r w:rsidRPr="00EC685A">
          <w:rPr>
            <w:rStyle w:val="Hipercze"/>
            <w:sz w:val="22"/>
          </w:rPr>
          <w:t>Gazprom</w:t>
        </w:r>
      </w:hyperlink>
      <w:r>
        <w:rPr>
          <w:color w:val="000000" w:themeColor="text1"/>
          <w:sz w:val="22"/>
        </w:rPr>
        <w:t xml:space="preserve"> oraz </w:t>
      </w:r>
      <w:hyperlink r:id="rId12" w:history="1">
        <w:proofErr w:type="spellStart"/>
        <w:r w:rsidRPr="00EC685A">
          <w:rPr>
            <w:rStyle w:val="Hipercze"/>
            <w:sz w:val="22"/>
          </w:rPr>
          <w:t>Engie</w:t>
        </w:r>
        <w:proofErr w:type="spellEnd"/>
        <w:r w:rsidRPr="00EC685A">
          <w:rPr>
            <w:rStyle w:val="Hipercze"/>
            <w:sz w:val="22"/>
          </w:rPr>
          <w:t xml:space="preserve"> Energy</w:t>
        </w:r>
      </w:hyperlink>
      <w:r>
        <w:rPr>
          <w:color w:val="000000" w:themeColor="text1"/>
          <w:sz w:val="22"/>
        </w:rPr>
        <w:t xml:space="preserve"> odmówiły udzielenia informacji ważnych dla prowadzonego postępowania</w:t>
      </w:r>
      <w:r w:rsidR="002937EC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</w:t>
      </w:r>
      <w:r w:rsidR="002937EC">
        <w:rPr>
          <w:color w:val="000000" w:themeColor="text1"/>
          <w:sz w:val="22"/>
        </w:rPr>
        <w:t>z</w:t>
      </w:r>
      <w:r>
        <w:rPr>
          <w:color w:val="000000" w:themeColor="text1"/>
          <w:sz w:val="22"/>
        </w:rPr>
        <w:t xml:space="preserve">a co zostały ukarane łącznie karą </w:t>
      </w:r>
      <w:r w:rsidR="00EC685A">
        <w:rPr>
          <w:color w:val="000000" w:themeColor="text1"/>
          <w:sz w:val="22"/>
        </w:rPr>
        <w:t>385</w:t>
      </w:r>
      <w:r>
        <w:rPr>
          <w:color w:val="000000" w:themeColor="text1"/>
          <w:sz w:val="22"/>
        </w:rPr>
        <w:t xml:space="preserve"> mln z</w:t>
      </w:r>
      <w:r w:rsidR="00EC685A">
        <w:rPr>
          <w:color w:val="000000" w:themeColor="text1"/>
          <w:sz w:val="22"/>
        </w:rPr>
        <w:t>ł</w:t>
      </w:r>
      <w:r>
        <w:rPr>
          <w:color w:val="000000" w:themeColor="text1"/>
          <w:sz w:val="22"/>
        </w:rPr>
        <w:t xml:space="preserve">. </w:t>
      </w:r>
    </w:p>
    <w:p w14:paraId="31646DD6" w14:textId="597B6194" w:rsidR="00CD3ABB" w:rsidRPr="009137A9" w:rsidRDefault="00CD3ABB" w:rsidP="00CD3ABB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C807AD">
        <w:rPr>
          <w:rFonts w:cs="Tahoma"/>
          <w:color w:val="000000" w:themeColor="text1"/>
          <w:sz w:val="22"/>
          <w:shd w:val="clear" w:color="auto" w:fill="FFFFFF"/>
        </w:rPr>
        <w:t xml:space="preserve">Obowiązek uzyskania zgody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Prezesa </w:t>
      </w:r>
      <w:r w:rsidRPr="00C807AD">
        <w:rPr>
          <w:rFonts w:cs="Tahoma"/>
          <w:color w:val="000000" w:themeColor="text1"/>
          <w:sz w:val="22"/>
          <w:shd w:val="clear" w:color="auto" w:fill="FFFFFF"/>
        </w:rPr>
        <w:t xml:space="preserve">UOKiK na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dokonanie koncentracji </w:t>
      </w:r>
      <w:r w:rsidRPr="00C807AD">
        <w:rPr>
          <w:rFonts w:cs="Tahoma"/>
          <w:color w:val="000000" w:themeColor="text1"/>
          <w:sz w:val="22"/>
          <w:shd w:val="clear" w:color="auto" w:fill="FFFFFF"/>
        </w:rPr>
        <w:t>przez spółki zagraniczne, a także obowiązek współpracy z Urzędem i udzielania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żądanych informacji oraz dokumentów</w:t>
      </w:r>
      <w:r w:rsidRPr="00C807AD">
        <w:rPr>
          <w:rFonts w:cs="Tahoma"/>
          <w:color w:val="000000" w:themeColor="text1"/>
          <w:sz w:val="22"/>
          <w:shd w:val="clear" w:color="auto" w:fill="FFFFFF"/>
        </w:rPr>
        <w:t xml:space="preserve"> wynika z </w:t>
      </w:r>
      <w:r w:rsidR="00232C95">
        <w:rPr>
          <w:rFonts w:cs="Tahoma"/>
          <w:color w:val="000000" w:themeColor="text1"/>
          <w:sz w:val="22"/>
          <w:shd w:val="clear" w:color="auto" w:fill="FFFFFF"/>
        </w:rPr>
        <w:t xml:space="preserve">polskich </w:t>
      </w:r>
      <w:r w:rsidR="007D526D">
        <w:rPr>
          <w:rFonts w:cs="Tahoma"/>
          <w:color w:val="000000" w:themeColor="text1"/>
          <w:sz w:val="22"/>
          <w:shd w:val="clear" w:color="auto" w:fill="FFFFFF"/>
        </w:rPr>
        <w:t>przepisów antymonopolowych</w:t>
      </w:r>
      <w:r w:rsidR="00232C95">
        <w:rPr>
          <w:rFonts w:cs="Tahoma"/>
          <w:color w:val="000000" w:themeColor="text1"/>
          <w:sz w:val="22"/>
          <w:shd w:val="clear" w:color="auto" w:fill="FFFFFF"/>
        </w:rPr>
        <w:t xml:space="preserve">, analogiczne regulacje </w:t>
      </w:r>
      <w:r w:rsidR="004A65C5">
        <w:rPr>
          <w:rFonts w:cs="Tahoma"/>
          <w:color w:val="000000" w:themeColor="text1"/>
          <w:sz w:val="22"/>
          <w:shd w:val="clear" w:color="auto" w:fill="FFFFFF"/>
        </w:rPr>
        <w:t>w zakresie koncentracji, mające</w:t>
      </w:r>
      <w:r w:rsidR="00232C95">
        <w:rPr>
          <w:rFonts w:cs="Tahoma"/>
          <w:color w:val="000000" w:themeColor="text1"/>
          <w:sz w:val="22"/>
          <w:shd w:val="clear" w:color="auto" w:fill="FFFFFF"/>
        </w:rPr>
        <w:t xml:space="preserve"> na celu zapewnienie uczciwej </w:t>
      </w:r>
      <w:r w:rsidR="004A65C5">
        <w:rPr>
          <w:rFonts w:cs="Tahoma"/>
          <w:color w:val="000000" w:themeColor="text1"/>
          <w:sz w:val="22"/>
          <w:shd w:val="clear" w:color="auto" w:fill="FFFFFF"/>
        </w:rPr>
        <w:t>konkurencji na rynku, obowiązują</w:t>
      </w:r>
      <w:r w:rsidR="00232C95">
        <w:rPr>
          <w:rFonts w:cs="Tahoma"/>
          <w:color w:val="000000" w:themeColor="text1"/>
          <w:sz w:val="22"/>
          <w:shd w:val="clear" w:color="auto" w:fill="FFFFFF"/>
        </w:rPr>
        <w:t xml:space="preserve"> we wszystkich Państwach Członkowskich Unii Europejskiej</w:t>
      </w:r>
      <w:r w:rsidR="007D526D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</w:p>
    <w:p w14:paraId="60D20607" w14:textId="411EBDD6" w:rsidR="008528AF" w:rsidRPr="00C807AD" w:rsidRDefault="008C06AD" w:rsidP="005A3BA7">
      <w:pPr>
        <w:spacing w:after="240" w:line="360" w:lineRule="auto"/>
        <w:jc w:val="both"/>
        <w:rPr>
          <w:color w:val="000000" w:themeColor="text1"/>
          <w:sz w:val="22"/>
        </w:rPr>
      </w:pPr>
      <w:r w:rsidRPr="00C807AD">
        <w:rPr>
          <w:rFonts w:cs="Tahoma"/>
          <w:color w:val="000000" w:themeColor="text1"/>
          <w:sz w:val="22"/>
          <w:shd w:val="clear" w:color="auto" w:fill="FFFFFF"/>
        </w:rPr>
        <w:t>Za naruszenie zakazu dokonania ko</w:t>
      </w:r>
      <w:r w:rsidR="00DD35CC" w:rsidRPr="00C807AD">
        <w:rPr>
          <w:rFonts w:cs="Tahoma"/>
          <w:color w:val="000000" w:themeColor="text1"/>
          <w:sz w:val="22"/>
          <w:shd w:val="clear" w:color="auto" w:fill="FFFFFF"/>
        </w:rPr>
        <w:t>ncentracji bez uzyskania zgody P</w:t>
      </w:r>
      <w:r w:rsidRPr="00C807AD">
        <w:rPr>
          <w:rFonts w:cs="Tahoma"/>
          <w:color w:val="000000" w:themeColor="text1"/>
          <w:sz w:val="22"/>
          <w:shd w:val="clear" w:color="auto" w:fill="FFFFFF"/>
        </w:rPr>
        <w:t xml:space="preserve">rezesa UOKiK grozi kara </w:t>
      </w:r>
      <w:r w:rsidRPr="00144D98">
        <w:rPr>
          <w:rFonts w:cs="Tahoma"/>
          <w:color w:val="000000" w:themeColor="text1"/>
          <w:sz w:val="22"/>
          <w:shd w:val="clear" w:color="auto" w:fill="FFFFFF"/>
        </w:rPr>
        <w:t>do 10 proc.</w:t>
      </w:r>
      <w:r w:rsidR="00D85A53" w:rsidRPr="00144D98">
        <w:rPr>
          <w:rFonts w:cs="Tahoma"/>
          <w:color w:val="000000" w:themeColor="text1"/>
          <w:sz w:val="22"/>
          <w:shd w:val="clear" w:color="auto" w:fill="FFFFFF"/>
        </w:rPr>
        <w:t xml:space="preserve"> rocznego</w:t>
      </w:r>
      <w:r w:rsidRPr="00144D98">
        <w:rPr>
          <w:rFonts w:cs="Tahoma"/>
          <w:color w:val="000000" w:themeColor="text1"/>
          <w:sz w:val="22"/>
          <w:shd w:val="clear" w:color="auto" w:fill="FFFFFF"/>
        </w:rPr>
        <w:t xml:space="preserve"> obrotu</w:t>
      </w:r>
      <w:r w:rsidR="00D85A53" w:rsidRPr="00144D98">
        <w:rPr>
          <w:rFonts w:cs="Tahoma"/>
          <w:color w:val="000000" w:themeColor="text1"/>
          <w:sz w:val="22"/>
          <w:shd w:val="clear" w:color="auto" w:fill="FFFFFF"/>
        </w:rPr>
        <w:t xml:space="preserve"> przedsiębiorcy</w:t>
      </w:r>
      <w:r w:rsidRPr="00144D98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144D98" w:rsidRPr="00144D98">
        <w:rPr>
          <w:sz w:val="22"/>
        </w:rPr>
        <w:t xml:space="preserve">Ponadto Prezes </w:t>
      </w:r>
      <w:r w:rsidR="00144D98">
        <w:rPr>
          <w:sz w:val="22"/>
        </w:rPr>
        <w:t xml:space="preserve">Urzędu </w:t>
      </w:r>
      <w:r w:rsidR="00144D98" w:rsidRPr="00144D98">
        <w:rPr>
          <w:sz w:val="22"/>
        </w:rPr>
        <w:t>oprócz sankcji finansowych może również zastosować dające możliwość przywrócenia stanu sprzed dokonania koncentracji.</w:t>
      </w:r>
      <w:r w:rsidR="00144D98" w:rsidRPr="00144D98">
        <w:rPr>
          <w:sz w:val="24"/>
          <w:szCs w:val="24"/>
        </w:rPr>
        <w:t xml:space="preserve"> </w:t>
      </w:r>
      <w:r w:rsidR="000E31E3">
        <w:rPr>
          <w:sz w:val="22"/>
        </w:rPr>
        <w:t xml:space="preserve">Prezes Urzędu przypomina również, że </w:t>
      </w:r>
      <w:r w:rsidR="000E31E3">
        <w:rPr>
          <w:b/>
          <w:sz w:val="22"/>
        </w:rPr>
        <w:t>kto poniósł szkodę wskutek naruszenia prawa konkurencji może złożyć do sądu cywilnego pozew przeciwko każdemu z podmiotów, który złamał prawo.</w:t>
      </w:r>
    </w:p>
    <w:sectPr w:rsidR="008528AF" w:rsidRPr="00C807AD" w:rsidSect="00C559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1417" w:bottom="1560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EE7B5" w14:textId="77777777" w:rsidR="009E2614" w:rsidRDefault="009E2614">
      <w:r>
        <w:separator/>
      </w:r>
    </w:p>
  </w:endnote>
  <w:endnote w:type="continuationSeparator" w:id="0">
    <w:p w14:paraId="29A90314" w14:textId="77777777" w:rsidR="009E2614" w:rsidRDefault="009E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40165" w14:textId="77777777" w:rsidR="001F22FB" w:rsidRDefault="001F22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1DD3" w14:textId="77777777" w:rsidR="0059016B" w:rsidRPr="00924ABC" w:rsidRDefault="005A3BA7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FE262" wp14:editId="3BBC8D90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1" name="Obraz 1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4D86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B8F9D7C" wp14:editId="5F998585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9525" b="889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FEFEF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8F9D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662FEFEF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4D86"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FA4399A" wp14:editId="7A428D34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7DBB025" id="Łącznik prosty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051920E4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81441" w14:textId="77777777" w:rsidR="001F22FB" w:rsidRDefault="001F2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67657" w14:textId="77777777" w:rsidR="009E2614" w:rsidRDefault="009E2614">
      <w:r>
        <w:separator/>
      </w:r>
    </w:p>
  </w:footnote>
  <w:footnote w:type="continuationSeparator" w:id="0">
    <w:p w14:paraId="10C968BF" w14:textId="77777777" w:rsidR="009E2614" w:rsidRDefault="009E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9ED3" w14:textId="77777777" w:rsidR="001F22FB" w:rsidRDefault="001F22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67DF5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4795B4" wp14:editId="6746F131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0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64AEB75" w14:textId="77777777" w:rsidR="0059016B" w:rsidRDefault="009E2614" w:rsidP="0041396E">
    <w:pPr>
      <w:pStyle w:val="Nagwek"/>
      <w:tabs>
        <w:tab w:val="clear" w:pos="9072"/>
      </w:tabs>
    </w:pPr>
  </w:p>
  <w:p w14:paraId="7337BDF8" w14:textId="77777777" w:rsidR="0059016B" w:rsidRDefault="009E2614" w:rsidP="0041396E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49C6" w14:textId="77777777" w:rsidR="001F22FB" w:rsidRDefault="001F2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90B4B"/>
    <w:multiLevelType w:val="hybridMultilevel"/>
    <w:tmpl w:val="DD4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A5072"/>
    <w:multiLevelType w:val="hybridMultilevel"/>
    <w:tmpl w:val="B3D4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4027"/>
    <w:multiLevelType w:val="hybridMultilevel"/>
    <w:tmpl w:val="9FB0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067"/>
    <w:rsid w:val="00002C19"/>
    <w:rsid w:val="00003C51"/>
    <w:rsid w:val="0000713A"/>
    <w:rsid w:val="00007E00"/>
    <w:rsid w:val="00011AF2"/>
    <w:rsid w:val="00014A78"/>
    <w:rsid w:val="00015903"/>
    <w:rsid w:val="00023634"/>
    <w:rsid w:val="00030039"/>
    <w:rsid w:val="00033BC0"/>
    <w:rsid w:val="00042F96"/>
    <w:rsid w:val="00044DBE"/>
    <w:rsid w:val="000478C7"/>
    <w:rsid w:val="000614E7"/>
    <w:rsid w:val="0006310D"/>
    <w:rsid w:val="000651E9"/>
    <w:rsid w:val="00066212"/>
    <w:rsid w:val="00072859"/>
    <w:rsid w:val="00073AA7"/>
    <w:rsid w:val="00077D80"/>
    <w:rsid w:val="00093B54"/>
    <w:rsid w:val="000A74FA"/>
    <w:rsid w:val="000B149D"/>
    <w:rsid w:val="000B1AC5"/>
    <w:rsid w:val="000B5A36"/>
    <w:rsid w:val="000B7247"/>
    <w:rsid w:val="000D14E9"/>
    <w:rsid w:val="000D6AA2"/>
    <w:rsid w:val="000E0436"/>
    <w:rsid w:val="000E31E3"/>
    <w:rsid w:val="0010559C"/>
    <w:rsid w:val="00107844"/>
    <w:rsid w:val="0011139C"/>
    <w:rsid w:val="00115B9B"/>
    <w:rsid w:val="00120C56"/>
    <w:rsid w:val="00120FBD"/>
    <w:rsid w:val="0012424D"/>
    <w:rsid w:val="0013159A"/>
    <w:rsid w:val="0013448D"/>
    <w:rsid w:val="00135455"/>
    <w:rsid w:val="00143310"/>
    <w:rsid w:val="00143357"/>
    <w:rsid w:val="00144D98"/>
    <w:rsid w:val="00144E9C"/>
    <w:rsid w:val="00144F32"/>
    <w:rsid w:val="00146B72"/>
    <w:rsid w:val="0015532D"/>
    <w:rsid w:val="00155EB2"/>
    <w:rsid w:val="00161094"/>
    <w:rsid w:val="00162586"/>
    <w:rsid w:val="00163DF9"/>
    <w:rsid w:val="00164655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08A1"/>
    <w:rsid w:val="001B541F"/>
    <w:rsid w:val="001C1FAD"/>
    <w:rsid w:val="001C552A"/>
    <w:rsid w:val="001D70D5"/>
    <w:rsid w:val="001E188E"/>
    <w:rsid w:val="001E4F92"/>
    <w:rsid w:val="001F22FB"/>
    <w:rsid w:val="001F4250"/>
    <w:rsid w:val="001F4A73"/>
    <w:rsid w:val="00205580"/>
    <w:rsid w:val="002076F0"/>
    <w:rsid w:val="002157BB"/>
    <w:rsid w:val="002262B5"/>
    <w:rsid w:val="0023138D"/>
    <w:rsid w:val="00232C95"/>
    <w:rsid w:val="002343BC"/>
    <w:rsid w:val="0024118E"/>
    <w:rsid w:val="00241BAC"/>
    <w:rsid w:val="00260382"/>
    <w:rsid w:val="00266CB4"/>
    <w:rsid w:val="00267DD1"/>
    <w:rsid w:val="00272657"/>
    <w:rsid w:val="0027403A"/>
    <w:rsid w:val="002801AA"/>
    <w:rsid w:val="00282A44"/>
    <w:rsid w:val="002937EC"/>
    <w:rsid w:val="00295B34"/>
    <w:rsid w:val="002A5D69"/>
    <w:rsid w:val="002B1DBF"/>
    <w:rsid w:val="002B35C0"/>
    <w:rsid w:val="002C0D5D"/>
    <w:rsid w:val="002C692D"/>
    <w:rsid w:val="002C6ABE"/>
    <w:rsid w:val="002D53D3"/>
    <w:rsid w:val="002E1058"/>
    <w:rsid w:val="002E3752"/>
    <w:rsid w:val="002E388C"/>
    <w:rsid w:val="002E40D1"/>
    <w:rsid w:val="002F1BF3"/>
    <w:rsid w:val="002F4D43"/>
    <w:rsid w:val="002F68C9"/>
    <w:rsid w:val="002F6FAB"/>
    <w:rsid w:val="003056C6"/>
    <w:rsid w:val="00311B14"/>
    <w:rsid w:val="0031505D"/>
    <w:rsid w:val="00316FD1"/>
    <w:rsid w:val="003242B1"/>
    <w:rsid w:val="00324306"/>
    <w:rsid w:val="003278D6"/>
    <w:rsid w:val="00327E04"/>
    <w:rsid w:val="003303F0"/>
    <w:rsid w:val="0033443B"/>
    <w:rsid w:val="003354EE"/>
    <w:rsid w:val="00335972"/>
    <w:rsid w:val="00336774"/>
    <w:rsid w:val="0034059B"/>
    <w:rsid w:val="0035019C"/>
    <w:rsid w:val="00360248"/>
    <w:rsid w:val="00364892"/>
    <w:rsid w:val="00366A46"/>
    <w:rsid w:val="00371965"/>
    <w:rsid w:val="0037583C"/>
    <w:rsid w:val="00377A0D"/>
    <w:rsid w:val="0038677D"/>
    <w:rsid w:val="0039332E"/>
    <w:rsid w:val="003A08F5"/>
    <w:rsid w:val="003A2EB7"/>
    <w:rsid w:val="003A378F"/>
    <w:rsid w:val="003A7221"/>
    <w:rsid w:val="003B0F23"/>
    <w:rsid w:val="003C304F"/>
    <w:rsid w:val="003D3FF4"/>
    <w:rsid w:val="003D4EDC"/>
    <w:rsid w:val="003D7161"/>
    <w:rsid w:val="003E1FC5"/>
    <w:rsid w:val="003E3F9D"/>
    <w:rsid w:val="003E5C2A"/>
    <w:rsid w:val="003E639B"/>
    <w:rsid w:val="003E69E5"/>
    <w:rsid w:val="003F6390"/>
    <w:rsid w:val="0040748E"/>
    <w:rsid w:val="00412206"/>
    <w:rsid w:val="0042055E"/>
    <w:rsid w:val="004214F9"/>
    <w:rsid w:val="00427E08"/>
    <w:rsid w:val="004349BA"/>
    <w:rsid w:val="0043575C"/>
    <w:rsid w:val="004365C7"/>
    <w:rsid w:val="004425B7"/>
    <w:rsid w:val="00444A85"/>
    <w:rsid w:val="00462CFA"/>
    <w:rsid w:val="00486DB1"/>
    <w:rsid w:val="0049240A"/>
    <w:rsid w:val="00492F9E"/>
    <w:rsid w:val="00493E10"/>
    <w:rsid w:val="004972E8"/>
    <w:rsid w:val="004A65C5"/>
    <w:rsid w:val="004C0F9E"/>
    <w:rsid w:val="004C1243"/>
    <w:rsid w:val="004C5C26"/>
    <w:rsid w:val="004D0F20"/>
    <w:rsid w:val="004D475E"/>
    <w:rsid w:val="004D587B"/>
    <w:rsid w:val="004E36D8"/>
    <w:rsid w:val="004F7E99"/>
    <w:rsid w:val="005003F9"/>
    <w:rsid w:val="0050417B"/>
    <w:rsid w:val="005133CE"/>
    <w:rsid w:val="00514AED"/>
    <w:rsid w:val="00521BA3"/>
    <w:rsid w:val="00523E0D"/>
    <w:rsid w:val="00525588"/>
    <w:rsid w:val="0052710E"/>
    <w:rsid w:val="00527788"/>
    <w:rsid w:val="005407D2"/>
    <w:rsid w:val="005442FC"/>
    <w:rsid w:val="00553CAC"/>
    <w:rsid w:val="0055631D"/>
    <w:rsid w:val="00593935"/>
    <w:rsid w:val="005973FD"/>
    <w:rsid w:val="00597C68"/>
    <w:rsid w:val="005A0B11"/>
    <w:rsid w:val="005A382B"/>
    <w:rsid w:val="005A3BA7"/>
    <w:rsid w:val="005A4047"/>
    <w:rsid w:val="005A544A"/>
    <w:rsid w:val="005B3929"/>
    <w:rsid w:val="005B768C"/>
    <w:rsid w:val="005C0D39"/>
    <w:rsid w:val="005C6232"/>
    <w:rsid w:val="005C7C3A"/>
    <w:rsid w:val="005D0A07"/>
    <w:rsid w:val="005D35C1"/>
    <w:rsid w:val="005D6F7A"/>
    <w:rsid w:val="005E78EE"/>
    <w:rsid w:val="005F139F"/>
    <w:rsid w:val="005F1EBD"/>
    <w:rsid w:val="005F5A8E"/>
    <w:rsid w:val="006000C4"/>
    <w:rsid w:val="006027A3"/>
    <w:rsid w:val="00604CA7"/>
    <w:rsid w:val="006063D0"/>
    <w:rsid w:val="00610E5E"/>
    <w:rsid w:val="00613C45"/>
    <w:rsid w:val="006241CA"/>
    <w:rsid w:val="00626603"/>
    <w:rsid w:val="00633D4E"/>
    <w:rsid w:val="0063526F"/>
    <w:rsid w:val="00637949"/>
    <w:rsid w:val="00637E86"/>
    <w:rsid w:val="006422DE"/>
    <w:rsid w:val="006439FA"/>
    <w:rsid w:val="00650334"/>
    <w:rsid w:val="00670183"/>
    <w:rsid w:val="00671B98"/>
    <w:rsid w:val="00672113"/>
    <w:rsid w:val="0067485D"/>
    <w:rsid w:val="00685DC3"/>
    <w:rsid w:val="006A2065"/>
    <w:rsid w:val="006A3D88"/>
    <w:rsid w:val="006A4A7A"/>
    <w:rsid w:val="006A594C"/>
    <w:rsid w:val="006B0848"/>
    <w:rsid w:val="006B733D"/>
    <w:rsid w:val="006B7D96"/>
    <w:rsid w:val="006B7E92"/>
    <w:rsid w:val="006C34AE"/>
    <w:rsid w:val="006C5D64"/>
    <w:rsid w:val="006C67AF"/>
    <w:rsid w:val="006D1E67"/>
    <w:rsid w:val="006D3DC5"/>
    <w:rsid w:val="006F128B"/>
    <w:rsid w:val="006F143B"/>
    <w:rsid w:val="006F36E3"/>
    <w:rsid w:val="007039EC"/>
    <w:rsid w:val="00704AC2"/>
    <w:rsid w:val="007117A2"/>
    <w:rsid w:val="00714D86"/>
    <w:rsid w:val="0071572D"/>
    <w:rsid w:val="007157BA"/>
    <w:rsid w:val="007169F9"/>
    <w:rsid w:val="00716A81"/>
    <w:rsid w:val="007174A6"/>
    <w:rsid w:val="007224B3"/>
    <w:rsid w:val="00731303"/>
    <w:rsid w:val="007402E0"/>
    <w:rsid w:val="00740AF2"/>
    <w:rsid w:val="007439D7"/>
    <w:rsid w:val="0074489D"/>
    <w:rsid w:val="00751175"/>
    <w:rsid w:val="007514AD"/>
    <w:rsid w:val="0075524D"/>
    <w:rsid w:val="007560B0"/>
    <w:rsid w:val="007627D7"/>
    <w:rsid w:val="00766E5F"/>
    <w:rsid w:val="007759D3"/>
    <w:rsid w:val="00775DE9"/>
    <w:rsid w:val="00776BA2"/>
    <w:rsid w:val="00776C4F"/>
    <w:rsid w:val="007838E4"/>
    <w:rsid w:val="007846DC"/>
    <w:rsid w:val="007A19D8"/>
    <w:rsid w:val="007D526D"/>
    <w:rsid w:val="007D5503"/>
    <w:rsid w:val="007E36E4"/>
    <w:rsid w:val="007E3ACE"/>
    <w:rsid w:val="007E55C5"/>
    <w:rsid w:val="007F0ACE"/>
    <w:rsid w:val="00801A46"/>
    <w:rsid w:val="00804024"/>
    <w:rsid w:val="00804700"/>
    <w:rsid w:val="0081122A"/>
    <w:rsid w:val="0081753E"/>
    <w:rsid w:val="0082091C"/>
    <w:rsid w:val="008301D0"/>
    <w:rsid w:val="0083610E"/>
    <w:rsid w:val="0085010E"/>
    <w:rsid w:val="008528AF"/>
    <w:rsid w:val="0085454F"/>
    <w:rsid w:val="0086484C"/>
    <w:rsid w:val="0087297F"/>
    <w:rsid w:val="0087354F"/>
    <w:rsid w:val="00873BAD"/>
    <w:rsid w:val="008769E7"/>
    <w:rsid w:val="00884EAF"/>
    <w:rsid w:val="00891CFA"/>
    <w:rsid w:val="00893B7C"/>
    <w:rsid w:val="00896985"/>
    <w:rsid w:val="008A3289"/>
    <w:rsid w:val="008B3462"/>
    <w:rsid w:val="008C06AD"/>
    <w:rsid w:val="008C53D0"/>
    <w:rsid w:val="008D527A"/>
    <w:rsid w:val="008D56DA"/>
    <w:rsid w:val="008D5771"/>
    <w:rsid w:val="008E6F97"/>
    <w:rsid w:val="008F472E"/>
    <w:rsid w:val="008F4819"/>
    <w:rsid w:val="00901756"/>
    <w:rsid w:val="00902556"/>
    <w:rsid w:val="0090338C"/>
    <w:rsid w:val="0091048E"/>
    <w:rsid w:val="009137A9"/>
    <w:rsid w:val="00917831"/>
    <w:rsid w:val="00921BFF"/>
    <w:rsid w:val="009249ED"/>
    <w:rsid w:val="00924ABC"/>
    <w:rsid w:val="00940E8F"/>
    <w:rsid w:val="00947299"/>
    <w:rsid w:val="0095309C"/>
    <w:rsid w:val="009652F2"/>
    <w:rsid w:val="009719ED"/>
    <w:rsid w:val="009823CB"/>
    <w:rsid w:val="00982F9E"/>
    <w:rsid w:val="00986C37"/>
    <w:rsid w:val="009927B3"/>
    <w:rsid w:val="00995C7F"/>
    <w:rsid w:val="00997528"/>
    <w:rsid w:val="0099796A"/>
    <w:rsid w:val="009B7EFE"/>
    <w:rsid w:val="009C1346"/>
    <w:rsid w:val="009C59A0"/>
    <w:rsid w:val="009D05C8"/>
    <w:rsid w:val="009D337D"/>
    <w:rsid w:val="009E2614"/>
    <w:rsid w:val="009E3C0B"/>
    <w:rsid w:val="009E529C"/>
    <w:rsid w:val="009E6A0D"/>
    <w:rsid w:val="009E7738"/>
    <w:rsid w:val="00A04518"/>
    <w:rsid w:val="00A073B2"/>
    <w:rsid w:val="00A07640"/>
    <w:rsid w:val="00A11379"/>
    <w:rsid w:val="00A13244"/>
    <w:rsid w:val="00A239AA"/>
    <w:rsid w:val="00A27F0B"/>
    <w:rsid w:val="00A417C8"/>
    <w:rsid w:val="00A439E8"/>
    <w:rsid w:val="00A45753"/>
    <w:rsid w:val="00A46E29"/>
    <w:rsid w:val="00A4770C"/>
    <w:rsid w:val="00A51F7A"/>
    <w:rsid w:val="00A53423"/>
    <w:rsid w:val="00A60FF9"/>
    <w:rsid w:val="00A610C7"/>
    <w:rsid w:val="00A62659"/>
    <w:rsid w:val="00A65F20"/>
    <w:rsid w:val="00A725AF"/>
    <w:rsid w:val="00A76293"/>
    <w:rsid w:val="00A77DA2"/>
    <w:rsid w:val="00A8158D"/>
    <w:rsid w:val="00A85C81"/>
    <w:rsid w:val="00A85D9D"/>
    <w:rsid w:val="00A92C4C"/>
    <w:rsid w:val="00AA49AA"/>
    <w:rsid w:val="00AA602D"/>
    <w:rsid w:val="00AB0E07"/>
    <w:rsid w:val="00AB4F93"/>
    <w:rsid w:val="00AB572D"/>
    <w:rsid w:val="00AC07A8"/>
    <w:rsid w:val="00AE234B"/>
    <w:rsid w:val="00AE2923"/>
    <w:rsid w:val="00AE7AC1"/>
    <w:rsid w:val="00AE7F9D"/>
    <w:rsid w:val="00AF1F26"/>
    <w:rsid w:val="00B01985"/>
    <w:rsid w:val="00B028F7"/>
    <w:rsid w:val="00B05365"/>
    <w:rsid w:val="00B057E1"/>
    <w:rsid w:val="00B17DC9"/>
    <w:rsid w:val="00B22863"/>
    <w:rsid w:val="00B30171"/>
    <w:rsid w:val="00B30BF9"/>
    <w:rsid w:val="00B41502"/>
    <w:rsid w:val="00B51024"/>
    <w:rsid w:val="00B60CD8"/>
    <w:rsid w:val="00B60F9C"/>
    <w:rsid w:val="00B65389"/>
    <w:rsid w:val="00B67349"/>
    <w:rsid w:val="00B6769E"/>
    <w:rsid w:val="00B71F5F"/>
    <w:rsid w:val="00B72084"/>
    <w:rsid w:val="00B735D8"/>
    <w:rsid w:val="00B73F22"/>
    <w:rsid w:val="00B76F9A"/>
    <w:rsid w:val="00B810B2"/>
    <w:rsid w:val="00B83ABF"/>
    <w:rsid w:val="00B96E3C"/>
    <w:rsid w:val="00BA26F7"/>
    <w:rsid w:val="00BA536A"/>
    <w:rsid w:val="00BA7356"/>
    <w:rsid w:val="00BA79F0"/>
    <w:rsid w:val="00BB5068"/>
    <w:rsid w:val="00BB7AE8"/>
    <w:rsid w:val="00BC4C6A"/>
    <w:rsid w:val="00BD0481"/>
    <w:rsid w:val="00BD440D"/>
    <w:rsid w:val="00BD4447"/>
    <w:rsid w:val="00BD67E2"/>
    <w:rsid w:val="00BE1820"/>
    <w:rsid w:val="00BE2623"/>
    <w:rsid w:val="00BE3923"/>
    <w:rsid w:val="00BE4BF0"/>
    <w:rsid w:val="00BE5EE5"/>
    <w:rsid w:val="00BE68EE"/>
    <w:rsid w:val="00BE7F63"/>
    <w:rsid w:val="00BF45FB"/>
    <w:rsid w:val="00BF565C"/>
    <w:rsid w:val="00C01C81"/>
    <w:rsid w:val="00C123B1"/>
    <w:rsid w:val="00C21071"/>
    <w:rsid w:val="00C2196C"/>
    <w:rsid w:val="00C2398C"/>
    <w:rsid w:val="00C25569"/>
    <w:rsid w:val="00C27366"/>
    <w:rsid w:val="00C40585"/>
    <w:rsid w:val="00C5033A"/>
    <w:rsid w:val="00C505DA"/>
    <w:rsid w:val="00C559D3"/>
    <w:rsid w:val="00C56995"/>
    <w:rsid w:val="00C63AA8"/>
    <w:rsid w:val="00C6403A"/>
    <w:rsid w:val="00C731F0"/>
    <w:rsid w:val="00C75C22"/>
    <w:rsid w:val="00C7783C"/>
    <w:rsid w:val="00C807AD"/>
    <w:rsid w:val="00C86D39"/>
    <w:rsid w:val="00CA54D8"/>
    <w:rsid w:val="00CA6B58"/>
    <w:rsid w:val="00CB1AE6"/>
    <w:rsid w:val="00CB3ED4"/>
    <w:rsid w:val="00CB3F86"/>
    <w:rsid w:val="00CD31AF"/>
    <w:rsid w:val="00CD34F0"/>
    <w:rsid w:val="00CD3ABB"/>
    <w:rsid w:val="00CD5783"/>
    <w:rsid w:val="00CE0954"/>
    <w:rsid w:val="00CF11F7"/>
    <w:rsid w:val="00D001FD"/>
    <w:rsid w:val="00D109E8"/>
    <w:rsid w:val="00D10B33"/>
    <w:rsid w:val="00D13189"/>
    <w:rsid w:val="00D1323F"/>
    <w:rsid w:val="00D202BA"/>
    <w:rsid w:val="00D22919"/>
    <w:rsid w:val="00D251AC"/>
    <w:rsid w:val="00D253BC"/>
    <w:rsid w:val="00D43766"/>
    <w:rsid w:val="00D47CCF"/>
    <w:rsid w:val="00D6457B"/>
    <w:rsid w:val="00D66DEC"/>
    <w:rsid w:val="00D71A41"/>
    <w:rsid w:val="00D768A4"/>
    <w:rsid w:val="00D85A53"/>
    <w:rsid w:val="00D87955"/>
    <w:rsid w:val="00D92F52"/>
    <w:rsid w:val="00D968F5"/>
    <w:rsid w:val="00DA753F"/>
    <w:rsid w:val="00DB1F01"/>
    <w:rsid w:val="00DB3806"/>
    <w:rsid w:val="00DB4D53"/>
    <w:rsid w:val="00DC182C"/>
    <w:rsid w:val="00DC409B"/>
    <w:rsid w:val="00DC5754"/>
    <w:rsid w:val="00DD2AE5"/>
    <w:rsid w:val="00DD34A3"/>
    <w:rsid w:val="00DD35CC"/>
    <w:rsid w:val="00DD6056"/>
    <w:rsid w:val="00DE7C6A"/>
    <w:rsid w:val="00DF21B0"/>
    <w:rsid w:val="00DF2857"/>
    <w:rsid w:val="00DF6FCE"/>
    <w:rsid w:val="00DF782B"/>
    <w:rsid w:val="00E003FE"/>
    <w:rsid w:val="00E03AEF"/>
    <w:rsid w:val="00E102DE"/>
    <w:rsid w:val="00E16795"/>
    <w:rsid w:val="00E24825"/>
    <w:rsid w:val="00E24C59"/>
    <w:rsid w:val="00E26CB9"/>
    <w:rsid w:val="00E32494"/>
    <w:rsid w:val="00E42093"/>
    <w:rsid w:val="00E522AD"/>
    <w:rsid w:val="00E55E4F"/>
    <w:rsid w:val="00E64103"/>
    <w:rsid w:val="00E76CD1"/>
    <w:rsid w:val="00E85AD4"/>
    <w:rsid w:val="00E9717A"/>
    <w:rsid w:val="00EB336C"/>
    <w:rsid w:val="00EC685A"/>
    <w:rsid w:val="00ED65DD"/>
    <w:rsid w:val="00EE486B"/>
    <w:rsid w:val="00EE4AD8"/>
    <w:rsid w:val="00EF6B9B"/>
    <w:rsid w:val="00F069E9"/>
    <w:rsid w:val="00F139AC"/>
    <w:rsid w:val="00F14901"/>
    <w:rsid w:val="00F2108B"/>
    <w:rsid w:val="00F21EAC"/>
    <w:rsid w:val="00F220C5"/>
    <w:rsid w:val="00F3243D"/>
    <w:rsid w:val="00F46D0D"/>
    <w:rsid w:val="00F47B8F"/>
    <w:rsid w:val="00F54167"/>
    <w:rsid w:val="00F723A2"/>
    <w:rsid w:val="00F850E5"/>
    <w:rsid w:val="00F85713"/>
    <w:rsid w:val="00F92B59"/>
    <w:rsid w:val="00F948BC"/>
    <w:rsid w:val="00F960CF"/>
    <w:rsid w:val="00FA10A3"/>
    <w:rsid w:val="00FA1226"/>
    <w:rsid w:val="00FA6A2B"/>
    <w:rsid w:val="00FD09D8"/>
    <w:rsid w:val="00FE4EB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749CB"/>
  <w15:docId w15:val="{51DE86BF-E5EF-49D0-9637-8DB99E4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1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1F5F"/>
    <w:rPr>
      <w:rFonts w:ascii="Trebuchet MS" w:eastAsia="Times New Roman" w:hAnsi="Trebuchet MS" w:cs="Times New Roman"/>
      <w:sz w:val="18"/>
    </w:rPr>
  </w:style>
  <w:style w:type="character" w:styleId="Uwydatnienie">
    <w:name w:val="Emphasis"/>
    <w:basedOn w:val="Domylnaczcionkaakapitu"/>
    <w:uiPriority w:val="20"/>
    <w:qFormat/>
    <w:rsid w:val="00995C7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714D8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0E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432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kik.gov.pl/aktualnosci.php?news_id=1594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664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okik.gov.pl/aktualnosci.php?news_id=125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2476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9545-D868-4272-80CF-5F47337E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1456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4</cp:revision>
  <cp:lastPrinted>2020-10-06T11:11:00Z</cp:lastPrinted>
  <dcterms:created xsi:type="dcterms:W3CDTF">2020-10-05T13:34:00Z</dcterms:created>
  <dcterms:modified xsi:type="dcterms:W3CDTF">2020-10-06T13:48:00Z</dcterms:modified>
</cp:coreProperties>
</file>