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4FC88" w14:textId="28D497DB" w:rsidR="00691031" w:rsidRDefault="00480624" w:rsidP="00013618">
      <w:pPr>
        <w:spacing w:after="24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 DECYZJE PREZESA UOKIK WOBEC GETIN NOBLE BANKU </w:t>
      </w:r>
    </w:p>
    <w:p w14:paraId="5A757CDA" w14:textId="63613DC9" w:rsidR="00996885" w:rsidRDefault="00996885" w:rsidP="008250DA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Prezes Urzędu </w:t>
      </w:r>
      <w:r w:rsidR="00F52DB6">
        <w:rPr>
          <w:b/>
          <w:sz w:val="22"/>
        </w:rPr>
        <w:t xml:space="preserve">Tomasz </w:t>
      </w:r>
      <w:proofErr w:type="spellStart"/>
      <w:r w:rsidR="00F52DB6">
        <w:rPr>
          <w:b/>
          <w:sz w:val="22"/>
        </w:rPr>
        <w:t>Chróstny</w:t>
      </w:r>
      <w:proofErr w:type="spellEnd"/>
      <w:r w:rsidR="00F52DB6">
        <w:rPr>
          <w:b/>
          <w:sz w:val="22"/>
        </w:rPr>
        <w:t xml:space="preserve"> </w:t>
      </w:r>
      <w:r>
        <w:rPr>
          <w:b/>
          <w:sz w:val="22"/>
        </w:rPr>
        <w:t xml:space="preserve">wydał trzy decyzje dotyczące Getin Noble Banku, kwestionując sposób oferowania obligacji GetBack, niedozwolone klauzule i </w:t>
      </w:r>
      <w:r w:rsidR="006B4727">
        <w:rPr>
          <w:b/>
          <w:sz w:val="22"/>
        </w:rPr>
        <w:t>jednostronną zmianę</w:t>
      </w:r>
      <w:r>
        <w:rPr>
          <w:b/>
          <w:sz w:val="22"/>
        </w:rPr>
        <w:t xml:space="preserve"> umów.</w:t>
      </w:r>
    </w:p>
    <w:p w14:paraId="67C63B96" w14:textId="2928455F" w:rsidR="00C818E4" w:rsidRPr="00F52DB6" w:rsidRDefault="008250DA" w:rsidP="00C75040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b/>
          <w:sz w:val="22"/>
        </w:rPr>
      </w:pPr>
      <w:r w:rsidRPr="00F52DB6">
        <w:rPr>
          <w:b/>
          <w:sz w:val="22"/>
        </w:rPr>
        <w:t xml:space="preserve">Nabyłeś obligacje GetBack za namową doradcy </w:t>
      </w:r>
      <w:r w:rsidR="0084587C" w:rsidRPr="00F52DB6">
        <w:rPr>
          <w:b/>
          <w:sz w:val="22"/>
        </w:rPr>
        <w:t xml:space="preserve">z </w:t>
      </w:r>
      <w:r w:rsidRPr="00F52DB6">
        <w:rPr>
          <w:b/>
          <w:sz w:val="22"/>
        </w:rPr>
        <w:t>Getin</w:t>
      </w:r>
      <w:r w:rsidR="001C753C" w:rsidRPr="00F52DB6">
        <w:rPr>
          <w:b/>
          <w:sz w:val="22"/>
        </w:rPr>
        <w:t xml:space="preserve"> Noble</w:t>
      </w:r>
      <w:r w:rsidRPr="00F52DB6">
        <w:rPr>
          <w:b/>
          <w:sz w:val="22"/>
        </w:rPr>
        <w:t xml:space="preserve"> Banku? Dzięki decyzji Prezesa UOKiK możesz liczyć na 20 tys. zł rekompensaty.</w:t>
      </w:r>
    </w:p>
    <w:p w14:paraId="2EC5E699" w14:textId="08FA0D34" w:rsidR="009D77D1" w:rsidRPr="00C76A49" w:rsidRDefault="00B13AC4" w:rsidP="009D77D1">
      <w:pPr>
        <w:spacing w:after="240" w:line="360" w:lineRule="auto"/>
        <w:jc w:val="both"/>
        <w:rPr>
          <w:spacing w:val="-6"/>
          <w:sz w:val="22"/>
        </w:rPr>
      </w:pPr>
      <w:r w:rsidRPr="007774C5">
        <w:rPr>
          <w:b/>
          <w:sz w:val="22"/>
        </w:rPr>
        <w:t xml:space="preserve">[Warszawa, </w:t>
      </w:r>
      <w:r w:rsidR="00C818E4">
        <w:rPr>
          <w:b/>
          <w:sz w:val="22"/>
        </w:rPr>
        <w:t>26</w:t>
      </w:r>
      <w:r w:rsidR="00C466D3">
        <w:rPr>
          <w:b/>
          <w:sz w:val="22"/>
        </w:rPr>
        <w:t xml:space="preserve"> października</w:t>
      </w:r>
      <w:r w:rsidRPr="007774C5">
        <w:rPr>
          <w:b/>
          <w:sz w:val="22"/>
        </w:rPr>
        <w:t xml:space="preserve"> 2020 r.]</w:t>
      </w:r>
      <w:r w:rsidRPr="007774C5">
        <w:rPr>
          <w:sz w:val="22"/>
        </w:rPr>
        <w:t xml:space="preserve"> </w:t>
      </w:r>
      <w:r w:rsidR="00D22DAF">
        <w:rPr>
          <w:spacing w:val="-6"/>
          <w:sz w:val="22"/>
        </w:rPr>
        <w:t>Prezes U</w:t>
      </w:r>
      <w:r w:rsidR="00571554">
        <w:rPr>
          <w:spacing w:val="-6"/>
          <w:sz w:val="22"/>
        </w:rPr>
        <w:t xml:space="preserve">rzędu </w:t>
      </w:r>
      <w:r w:rsidR="00D22DAF">
        <w:rPr>
          <w:spacing w:val="-6"/>
          <w:sz w:val="22"/>
        </w:rPr>
        <w:t>O</w:t>
      </w:r>
      <w:r w:rsidR="00571554">
        <w:rPr>
          <w:spacing w:val="-6"/>
          <w:sz w:val="22"/>
        </w:rPr>
        <w:t xml:space="preserve">chrony </w:t>
      </w:r>
      <w:r w:rsidR="00D22DAF">
        <w:rPr>
          <w:spacing w:val="-6"/>
          <w:sz w:val="22"/>
        </w:rPr>
        <w:t>K</w:t>
      </w:r>
      <w:r w:rsidR="00571554">
        <w:rPr>
          <w:spacing w:val="-6"/>
          <w:sz w:val="22"/>
        </w:rPr>
        <w:t xml:space="preserve">onkurencji </w:t>
      </w:r>
      <w:r w:rsidR="00D22DAF">
        <w:rPr>
          <w:spacing w:val="-6"/>
          <w:sz w:val="22"/>
        </w:rPr>
        <w:t>i</w:t>
      </w:r>
      <w:r w:rsidR="00571554">
        <w:rPr>
          <w:spacing w:val="-6"/>
          <w:sz w:val="22"/>
        </w:rPr>
        <w:t xml:space="preserve"> </w:t>
      </w:r>
      <w:r w:rsidR="00D22DAF">
        <w:rPr>
          <w:spacing w:val="-6"/>
          <w:sz w:val="22"/>
        </w:rPr>
        <w:t>K</w:t>
      </w:r>
      <w:r w:rsidR="00571554">
        <w:rPr>
          <w:spacing w:val="-6"/>
          <w:sz w:val="22"/>
        </w:rPr>
        <w:t>onsumentów</w:t>
      </w:r>
      <w:r w:rsidR="00D22DAF">
        <w:rPr>
          <w:spacing w:val="-6"/>
          <w:sz w:val="22"/>
        </w:rPr>
        <w:t xml:space="preserve"> </w:t>
      </w:r>
      <w:r w:rsidR="008A1A46">
        <w:rPr>
          <w:spacing w:val="-6"/>
          <w:sz w:val="22"/>
        </w:rPr>
        <w:t xml:space="preserve">Tomasz Chróstny </w:t>
      </w:r>
      <w:r w:rsidR="0030680F">
        <w:rPr>
          <w:spacing w:val="-6"/>
          <w:sz w:val="22"/>
        </w:rPr>
        <w:t xml:space="preserve">wydał </w:t>
      </w:r>
      <w:r w:rsidR="00C818E4">
        <w:rPr>
          <w:spacing w:val="-6"/>
          <w:sz w:val="22"/>
        </w:rPr>
        <w:t xml:space="preserve">trzy </w:t>
      </w:r>
      <w:r w:rsidR="0030680F">
        <w:rPr>
          <w:spacing w:val="-6"/>
          <w:sz w:val="22"/>
        </w:rPr>
        <w:t>decyzj</w:t>
      </w:r>
      <w:r w:rsidR="00C818E4">
        <w:rPr>
          <w:spacing w:val="-6"/>
          <w:sz w:val="22"/>
        </w:rPr>
        <w:t xml:space="preserve">e wobec Getin </w:t>
      </w:r>
      <w:r w:rsidR="001C753C">
        <w:rPr>
          <w:spacing w:val="-6"/>
          <w:sz w:val="22"/>
        </w:rPr>
        <w:t>Noble Banku</w:t>
      </w:r>
      <w:r w:rsidR="005E3E65">
        <w:rPr>
          <w:spacing w:val="-6"/>
          <w:sz w:val="22"/>
        </w:rPr>
        <w:t xml:space="preserve"> (GNB)</w:t>
      </w:r>
      <w:r w:rsidR="00C818E4">
        <w:rPr>
          <w:spacing w:val="-6"/>
          <w:sz w:val="22"/>
        </w:rPr>
        <w:t xml:space="preserve">. </w:t>
      </w:r>
      <w:r w:rsidR="0084587C">
        <w:rPr>
          <w:spacing w:val="-6"/>
          <w:sz w:val="22"/>
        </w:rPr>
        <w:t xml:space="preserve">Dotyczą one uznania </w:t>
      </w:r>
      <w:r w:rsidR="006B4727">
        <w:rPr>
          <w:spacing w:val="-6"/>
          <w:sz w:val="22"/>
        </w:rPr>
        <w:t xml:space="preserve">klauzul modyfikacyjnych </w:t>
      </w:r>
      <w:r w:rsidR="0084587C">
        <w:rPr>
          <w:spacing w:val="-6"/>
          <w:sz w:val="22"/>
        </w:rPr>
        <w:t>za niedozwolone</w:t>
      </w:r>
      <w:r w:rsidR="006B4727">
        <w:rPr>
          <w:spacing w:val="-6"/>
          <w:sz w:val="22"/>
        </w:rPr>
        <w:t xml:space="preserve"> postanowienia umowne</w:t>
      </w:r>
      <w:r w:rsidR="0084587C">
        <w:rPr>
          <w:spacing w:val="-6"/>
          <w:sz w:val="22"/>
        </w:rPr>
        <w:t>,</w:t>
      </w:r>
      <w:r w:rsidR="006B4727">
        <w:rPr>
          <w:spacing w:val="-6"/>
          <w:sz w:val="22"/>
        </w:rPr>
        <w:t xml:space="preserve"> jednostronnej</w:t>
      </w:r>
      <w:r w:rsidR="0084587C">
        <w:rPr>
          <w:spacing w:val="-6"/>
          <w:sz w:val="22"/>
        </w:rPr>
        <w:t xml:space="preserve"> zmiany</w:t>
      </w:r>
      <w:r w:rsidR="00C818E4">
        <w:rPr>
          <w:spacing w:val="-6"/>
          <w:sz w:val="22"/>
        </w:rPr>
        <w:t xml:space="preserve"> </w:t>
      </w:r>
      <w:r w:rsidR="0084587C">
        <w:rPr>
          <w:spacing w:val="-6"/>
          <w:sz w:val="22"/>
        </w:rPr>
        <w:t xml:space="preserve">umów </w:t>
      </w:r>
      <w:r w:rsidR="006B4727">
        <w:rPr>
          <w:spacing w:val="-6"/>
          <w:sz w:val="22"/>
        </w:rPr>
        <w:t xml:space="preserve">o kredyt hipoteczny </w:t>
      </w:r>
      <w:r w:rsidR="0084587C">
        <w:rPr>
          <w:spacing w:val="-6"/>
          <w:sz w:val="22"/>
        </w:rPr>
        <w:t xml:space="preserve">oraz </w:t>
      </w:r>
      <w:r w:rsidR="00C818E4">
        <w:rPr>
          <w:spacing w:val="-6"/>
          <w:sz w:val="22"/>
        </w:rPr>
        <w:t xml:space="preserve">wprowadzania w błąd podczas oferowania obligacji GetBack. </w:t>
      </w:r>
      <w:r w:rsidR="009D77D1" w:rsidRPr="00C76A49">
        <w:rPr>
          <w:spacing w:val="-6"/>
          <w:sz w:val="22"/>
        </w:rPr>
        <w:t xml:space="preserve">Decyzje Prezesa UOKiK ułatwiają poszkodowanym konsumentom dochodzenie roszczeń w sądzie. Po uprawomocnieniu stają się prejudykatem. Oznacza, że ustalenia Prezesa Urzędu co do faktu stosowania przez przedsiębiorcę praktyki naruszającej zbiorowe interesy konsumentów czy klauzuli niedozwolonej są dla sądu wiążące. </w:t>
      </w:r>
    </w:p>
    <w:p w14:paraId="712D53E1" w14:textId="18331D30" w:rsidR="005D2AF4" w:rsidRDefault="007D63C2" w:rsidP="00C818E4">
      <w:pPr>
        <w:spacing w:after="240" w:line="360" w:lineRule="auto"/>
        <w:jc w:val="both"/>
        <w:rPr>
          <w:spacing w:val="-6"/>
          <w:sz w:val="22"/>
        </w:rPr>
      </w:pPr>
      <w:r>
        <w:rPr>
          <w:spacing w:val="-6"/>
          <w:sz w:val="22"/>
        </w:rPr>
        <w:t>Urząd sprawdzał również w postępowaniu wyjaśniającym</w:t>
      </w:r>
      <w:r w:rsidR="00FE0345">
        <w:rPr>
          <w:spacing w:val="-6"/>
          <w:sz w:val="22"/>
        </w:rPr>
        <w:t>,</w:t>
      </w:r>
      <w:r>
        <w:rPr>
          <w:spacing w:val="-6"/>
          <w:sz w:val="22"/>
        </w:rPr>
        <w:t xml:space="preserve"> czy i jak </w:t>
      </w:r>
      <w:r w:rsidR="009D77D1">
        <w:rPr>
          <w:spacing w:val="-6"/>
          <w:sz w:val="22"/>
        </w:rPr>
        <w:t>Getin Noble Bank</w:t>
      </w:r>
      <w:r>
        <w:rPr>
          <w:spacing w:val="-6"/>
          <w:sz w:val="22"/>
        </w:rPr>
        <w:t xml:space="preserve"> rozlicza się z osobami, które wcześniej spłaciły kredyt konsumencki. W wyniku działań UOKiK </w:t>
      </w:r>
      <w:r w:rsidR="009D77D1">
        <w:rPr>
          <w:spacing w:val="-6"/>
          <w:sz w:val="22"/>
        </w:rPr>
        <w:t xml:space="preserve">przedsiębiorca </w:t>
      </w:r>
      <w:r>
        <w:rPr>
          <w:spacing w:val="-6"/>
          <w:sz w:val="22"/>
        </w:rPr>
        <w:t>zmienił sposób rozliczania na</w:t>
      </w:r>
      <w:r w:rsidR="00013618">
        <w:rPr>
          <w:spacing w:val="-6"/>
          <w:sz w:val="22"/>
        </w:rPr>
        <w:t xml:space="preserve"> korzystniejszą dla konsumentów</w:t>
      </w:r>
      <w:r>
        <w:rPr>
          <w:spacing w:val="-6"/>
          <w:sz w:val="22"/>
        </w:rPr>
        <w:t xml:space="preserve"> </w:t>
      </w:r>
      <w:hyperlink r:id="rId8" w:history="1">
        <w:r w:rsidRPr="007D63C2">
          <w:rPr>
            <w:rStyle w:val="Hipercze"/>
            <w:spacing w:val="-6"/>
            <w:sz w:val="22"/>
          </w:rPr>
          <w:t>metodę liniową</w:t>
        </w:r>
      </w:hyperlink>
      <w:r>
        <w:rPr>
          <w:spacing w:val="-6"/>
          <w:sz w:val="22"/>
        </w:rPr>
        <w:t>.</w:t>
      </w:r>
    </w:p>
    <w:p w14:paraId="5230BF8B" w14:textId="2715E293" w:rsidR="001C753C" w:rsidRPr="00E969ED" w:rsidRDefault="001C753C" w:rsidP="001C753C">
      <w:pPr>
        <w:spacing w:after="240" w:line="360" w:lineRule="auto"/>
        <w:jc w:val="both"/>
        <w:rPr>
          <w:b/>
          <w:spacing w:val="-6"/>
          <w:sz w:val="22"/>
        </w:rPr>
      </w:pPr>
      <w:r w:rsidRPr="00E969ED">
        <w:rPr>
          <w:b/>
          <w:spacing w:val="-6"/>
          <w:sz w:val="22"/>
        </w:rPr>
        <w:t xml:space="preserve">Pierwsza decyzja – </w:t>
      </w:r>
      <w:r w:rsidR="006B4727">
        <w:rPr>
          <w:b/>
          <w:spacing w:val="-6"/>
          <w:sz w:val="22"/>
        </w:rPr>
        <w:t>jednostronna zmiana umów o kredyt hipoteczny</w:t>
      </w:r>
    </w:p>
    <w:p w14:paraId="06CD26BB" w14:textId="3B1143B6" w:rsidR="001824A2" w:rsidRDefault="00E969ED" w:rsidP="001C753C">
      <w:pPr>
        <w:spacing w:after="240" w:line="360" w:lineRule="auto"/>
        <w:jc w:val="both"/>
        <w:rPr>
          <w:spacing w:val="-6"/>
          <w:sz w:val="22"/>
        </w:rPr>
      </w:pPr>
      <w:r>
        <w:rPr>
          <w:spacing w:val="-6"/>
          <w:sz w:val="22"/>
        </w:rPr>
        <w:t>Prezes UOKiK uznał, że Getin Noble Bank wprowadz</w:t>
      </w:r>
      <w:r w:rsidR="00996885">
        <w:rPr>
          <w:spacing w:val="-6"/>
          <w:sz w:val="22"/>
        </w:rPr>
        <w:t>ał</w:t>
      </w:r>
      <w:r>
        <w:rPr>
          <w:spacing w:val="-6"/>
          <w:sz w:val="22"/>
        </w:rPr>
        <w:t xml:space="preserve"> w błąd, informują</w:t>
      </w:r>
      <w:r w:rsidR="005F687A">
        <w:rPr>
          <w:spacing w:val="-6"/>
          <w:sz w:val="22"/>
        </w:rPr>
        <w:t>c</w:t>
      </w:r>
      <w:r>
        <w:rPr>
          <w:spacing w:val="-6"/>
          <w:sz w:val="22"/>
        </w:rPr>
        <w:t xml:space="preserve"> o zmianie </w:t>
      </w:r>
      <w:r w:rsidR="00996885">
        <w:rPr>
          <w:spacing w:val="-6"/>
          <w:sz w:val="22"/>
        </w:rPr>
        <w:t xml:space="preserve">postanowień </w:t>
      </w:r>
      <w:r>
        <w:rPr>
          <w:spacing w:val="-6"/>
          <w:sz w:val="22"/>
        </w:rPr>
        <w:t>umów o kredyt hipoteczny</w:t>
      </w:r>
      <w:r w:rsidR="006B4727">
        <w:rPr>
          <w:spacing w:val="-6"/>
          <w:sz w:val="22"/>
        </w:rPr>
        <w:t>, w tym</w:t>
      </w:r>
      <w:r>
        <w:rPr>
          <w:spacing w:val="-6"/>
          <w:sz w:val="22"/>
        </w:rPr>
        <w:t xml:space="preserve"> </w:t>
      </w:r>
      <w:r w:rsidRPr="00E969ED">
        <w:rPr>
          <w:spacing w:val="-6"/>
          <w:sz w:val="22"/>
        </w:rPr>
        <w:t>indeksowany</w:t>
      </w:r>
      <w:r w:rsidR="00910321">
        <w:rPr>
          <w:spacing w:val="-6"/>
          <w:sz w:val="22"/>
        </w:rPr>
        <w:t>ch</w:t>
      </w:r>
      <w:r w:rsidRPr="00E969ED">
        <w:rPr>
          <w:spacing w:val="-6"/>
          <w:sz w:val="22"/>
        </w:rPr>
        <w:t xml:space="preserve"> do franka szwajcarskiego.</w:t>
      </w:r>
      <w:r>
        <w:rPr>
          <w:spacing w:val="-6"/>
          <w:sz w:val="22"/>
        </w:rPr>
        <w:t xml:space="preserve"> </w:t>
      </w:r>
      <w:hyperlink r:id="rId9" w:history="1">
        <w:r w:rsidRPr="00270C66">
          <w:rPr>
            <w:rStyle w:val="Hipercze"/>
            <w:spacing w:val="-6"/>
            <w:sz w:val="22"/>
          </w:rPr>
          <w:t>W 2016 r. klienci tego banku otrzymali listy</w:t>
        </w:r>
      </w:hyperlink>
      <w:r>
        <w:rPr>
          <w:spacing w:val="-6"/>
          <w:sz w:val="22"/>
        </w:rPr>
        <w:t xml:space="preserve">, </w:t>
      </w:r>
      <w:r w:rsidR="000D4CEB">
        <w:rPr>
          <w:spacing w:val="-6"/>
          <w:sz w:val="22"/>
        </w:rPr>
        <w:t xml:space="preserve">z których mogli się dowiedzieć, że bank </w:t>
      </w:r>
      <w:r w:rsidR="006B4727">
        <w:rPr>
          <w:spacing w:val="-6"/>
          <w:sz w:val="22"/>
        </w:rPr>
        <w:t>zamierza doprecyzować – od nowego roku -</w:t>
      </w:r>
      <w:r>
        <w:rPr>
          <w:spacing w:val="-6"/>
          <w:sz w:val="22"/>
        </w:rPr>
        <w:t xml:space="preserve"> sposób wyliczania kursów kupna i sprzedaży walut obcych</w:t>
      </w:r>
      <w:r w:rsidR="005F687A">
        <w:rPr>
          <w:spacing w:val="-6"/>
          <w:sz w:val="22"/>
        </w:rPr>
        <w:t xml:space="preserve">. Poza tym </w:t>
      </w:r>
      <w:r w:rsidR="006B4727" w:rsidRPr="00E969ED">
        <w:rPr>
          <w:b/>
          <w:bCs/>
          <w:spacing w:val="-6"/>
          <w:sz w:val="22"/>
        </w:rPr>
        <w:t>zast</w:t>
      </w:r>
      <w:r w:rsidR="006B4727">
        <w:rPr>
          <w:b/>
          <w:bCs/>
          <w:spacing w:val="-6"/>
          <w:sz w:val="22"/>
        </w:rPr>
        <w:t xml:space="preserve">ąpił </w:t>
      </w:r>
      <w:r w:rsidR="005F687A">
        <w:rPr>
          <w:b/>
          <w:bCs/>
          <w:spacing w:val="-6"/>
          <w:sz w:val="22"/>
        </w:rPr>
        <w:t>postanowienia o bankowym tytule egzekucyjnym</w:t>
      </w:r>
      <w:r w:rsidR="001824A2">
        <w:rPr>
          <w:b/>
          <w:bCs/>
          <w:spacing w:val="-6"/>
          <w:sz w:val="22"/>
        </w:rPr>
        <w:t xml:space="preserve"> (BTE)</w:t>
      </w:r>
      <w:r w:rsidR="005F687A">
        <w:rPr>
          <w:b/>
          <w:bCs/>
          <w:spacing w:val="-6"/>
          <w:sz w:val="22"/>
        </w:rPr>
        <w:t xml:space="preserve"> </w:t>
      </w:r>
      <w:r w:rsidR="006B4727">
        <w:rPr>
          <w:b/>
          <w:bCs/>
          <w:spacing w:val="-6"/>
          <w:sz w:val="22"/>
        </w:rPr>
        <w:t>zapisami o możliwym obowiązku złożenia oświadczenia o poddaniu</w:t>
      </w:r>
      <w:r w:rsidRPr="00E969ED">
        <w:rPr>
          <w:b/>
          <w:bCs/>
          <w:spacing w:val="-6"/>
          <w:sz w:val="22"/>
        </w:rPr>
        <w:t xml:space="preserve"> się egzekucji w trybie art. 777 kodeksu postępowania cywilnego</w:t>
      </w:r>
      <w:r w:rsidR="005F687A">
        <w:rPr>
          <w:b/>
          <w:bCs/>
          <w:spacing w:val="-6"/>
          <w:sz w:val="22"/>
        </w:rPr>
        <w:t>,</w:t>
      </w:r>
      <w:r w:rsidRPr="00E969ED">
        <w:rPr>
          <w:spacing w:val="-6"/>
          <w:sz w:val="22"/>
        </w:rPr>
        <w:t xml:space="preserve"> co mogłoby wiązać się z koniecznością zawarcia aktu notarialnego</w:t>
      </w:r>
      <w:r w:rsidR="006B4727">
        <w:rPr>
          <w:spacing w:val="-6"/>
          <w:sz w:val="22"/>
        </w:rPr>
        <w:t xml:space="preserve"> i ułatwiłoby bankowi w przyszłości dochodzenie roszczeń</w:t>
      </w:r>
      <w:r w:rsidRPr="00E969ED">
        <w:rPr>
          <w:spacing w:val="-6"/>
          <w:sz w:val="22"/>
        </w:rPr>
        <w:t xml:space="preserve">. </w:t>
      </w:r>
      <w:r w:rsidR="009D77D1">
        <w:rPr>
          <w:spacing w:val="-6"/>
          <w:sz w:val="22"/>
        </w:rPr>
        <w:t xml:space="preserve">Miało to związek z uchyleniem </w:t>
      </w:r>
      <w:r w:rsidR="004A1F49">
        <w:rPr>
          <w:spacing w:val="-6"/>
          <w:sz w:val="22"/>
        </w:rPr>
        <w:t>BTE przez</w:t>
      </w:r>
      <w:r w:rsidR="009D77D1">
        <w:rPr>
          <w:spacing w:val="-6"/>
          <w:sz w:val="22"/>
        </w:rPr>
        <w:t xml:space="preserve"> </w:t>
      </w:r>
      <w:r w:rsidR="004A1F49">
        <w:rPr>
          <w:spacing w:val="-6"/>
          <w:sz w:val="22"/>
        </w:rPr>
        <w:t>Trybunał Konstytucyjny</w:t>
      </w:r>
      <w:r w:rsidR="00980BE2">
        <w:rPr>
          <w:spacing w:val="-6"/>
          <w:sz w:val="22"/>
        </w:rPr>
        <w:t xml:space="preserve">, jednak ten wyrok </w:t>
      </w:r>
      <w:r w:rsidR="00980BE2" w:rsidRPr="00980BE2">
        <w:rPr>
          <w:spacing w:val="-6"/>
          <w:sz w:val="22"/>
        </w:rPr>
        <w:t>nie daj</w:t>
      </w:r>
      <w:r w:rsidR="00980BE2">
        <w:rPr>
          <w:spacing w:val="-6"/>
          <w:sz w:val="22"/>
        </w:rPr>
        <w:t xml:space="preserve">e bankowi </w:t>
      </w:r>
      <w:r w:rsidR="00980BE2" w:rsidRPr="00980BE2">
        <w:rPr>
          <w:spacing w:val="-6"/>
          <w:sz w:val="22"/>
        </w:rPr>
        <w:t>prawa do wpisania do umów innych form zabezpieczeń.</w:t>
      </w:r>
      <w:r w:rsidR="004A1F49" w:rsidRPr="00E969ED">
        <w:rPr>
          <w:spacing w:val="-6"/>
          <w:sz w:val="22"/>
        </w:rPr>
        <w:t xml:space="preserve"> </w:t>
      </w:r>
      <w:r w:rsidRPr="00E969ED">
        <w:rPr>
          <w:spacing w:val="-6"/>
          <w:sz w:val="22"/>
        </w:rPr>
        <w:t>Urząd zakwestionował takie działani</w:t>
      </w:r>
      <w:r w:rsidR="00980BE2">
        <w:rPr>
          <w:spacing w:val="-6"/>
          <w:sz w:val="22"/>
        </w:rPr>
        <w:t>a.</w:t>
      </w:r>
    </w:p>
    <w:p w14:paraId="24987B25" w14:textId="139C9365" w:rsidR="00E969ED" w:rsidRPr="00810014" w:rsidRDefault="005F687A" w:rsidP="001C753C">
      <w:pPr>
        <w:spacing w:after="240" w:line="360" w:lineRule="auto"/>
        <w:jc w:val="both"/>
        <w:rPr>
          <w:spacing w:val="-6"/>
          <w:sz w:val="22"/>
        </w:rPr>
      </w:pPr>
      <w:r>
        <w:rPr>
          <w:spacing w:val="-6"/>
          <w:sz w:val="22"/>
        </w:rPr>
        <w:lastRenderedPageBreak/>
        <w:t xml:space="preserve">– </w:t>
      </w:r>
      <w:r w:rsidRPr="005F687A">
        <w:rPr>
          <w:i/>
          <w:spacing w:val="-6"/>
          <w:sz w:val="22"/>
        </w:rPr>
        <w:t>Umowa o kredyt hipoteczny jest umową zawartą na określony</w:t>
      </w:r>
      <w:r w:rsidR="000D4CEB">
        <w:rPr>
          <w:i/>
          <w:spacing w:val="-6"/>
          <w:sz w:val="22"/>
        </w:rPr>
        <w:t>, wieloletni</w:t>
      </w:r>
      <w:r w:rsidRPr="005F687A">
        <w:rPr>
          <w:i/>
          <w:spacing w:val="-6"/>
          <w:sz w:val="22"/>
        </w:rPr>
        <w:t xml:space="preserve"> czas. Niedozwolone jest dowolne zmienianie jej istotnych warunków, a takimi są postanowienia o zasadach wyliczania kursów</w:t>
      </w:r>
      <w:r w:rsidR="00980BE2">
        <w:rPr>
          <w:i/>
          <w:spacing w:val="-6"/>
          <w:sz w:val="22"/>
        </w:rPr>
        <w:t xml:space="preserve"> czy innych zabezpieczeniach</w:t>
      </w:r>
      <w:r w:rsidR="00E969ED" w:rsidRPr="005F687A">
        <w:rPr>
          <w:i/>
          <w:spacing w:val="-6"/>
          <w:sz w:val="22"/>
        </w:rPr>
        <w:t>.</w:t>
      </w:r>
      <w:r w:rsidRPr="005F687A">
        <w:rPr>
          <w:i/>
          <w:spacing w:val="-6"/>
          <w:sz w:val="22"/>
        </w:rPr>
        <w:t xml:space="preserve"> </w:t>
      </w:r>
      <w:r w:rsidR="00810014">
        <w:rPr>
          <w:i/>
          <w:iCs/>
          <w:spacing w:val="-6"/>
          <w:sz w:val="22"/>
        </w:rPr>
        <w:t>K</w:t>
      </w:r>
      <w:r w:rsidR="00810014" w:rsidRPr="00810014">
        <w:rPr>
          <w:i/>
          <w:iCs/>
          <w:spacing w:val="-6"/>
          <w:sz w:val="22"/>
        </w:rPr>
        <w:t>ażde nowe rozwiązanie powinno być wynikiem obustronnych uzgodnień</w:t>
      </w:r>
      <w:r w:rsidR="00270C66">
        <w:rPr>
          <w:i/>
          <w:iCs/>
          <w:spacing w:val="-6"/>
          <w:sz w:val="22"/>
        </w:rPr>
        <w:t xml:space="preserve">. </w:t>
      </w:r>
      <w:r w:rsidR="00270C66" w:rsidRPr="00270C66">
        <w:rPr>
          <w:rFonts w:cs="Tahoma"/>
          <w:i/>
          <w:sz w:val="22"/>
          <w:shd w:val="clear" w:color="auto" w:fill="FFFFFF"/>
        </w:rPr>
        <w:t>Jeżeli klient nie zgodziłby się na nie, to umowa powinna być wykonywana na dotychczasowych zasadach</w:t>
      </w:r>
      <w:r w:rsidR="00810014">
        <w:rPr>
          <w:i/>
          <w:iCs/>
          <w:spacing w:val="-6"/>
          <w:sz w:val="22"/>
        </w:rPr>
        <w:t xml:space="preserve"> </w:t>
      </w:r>
      <w:r w:rsidR="00810014" w:rsidRPr="00810014">
        <w:rPr>
          <w:iCs/>
          <w:spacing w:val="-6"/>
          <w:sz w:val="22"/>
        </w:rPr>
        <w:t xml:space="preserve">– mówi Tomasz Chróstny, Prezes UOKiK. </w:t>
      </w:r>
      <w:r w:rsidR="00782D7B">
        <w:rPr>
          <w:iCs/>
          <w:spacing w:val="-6"/>
          <w:sz w:val="22"/>
        </w:rPr>
        <w:t xml:space="preserve">Efektem działania GNB było to, że </w:t>
      </w:r>
      <w:r w:rsidR="00266700">
        <w:rPr>
          <w:iCs/>
          <w:spacing w:val="-6"/>
          <w:sz w:val="22"/>
        </w:rPr>
        <w:t>wiele osób musiało zaakceptować nowe warunki, w przeciwnym razie bank wypowiedziałby umowę i wymagałby spłaty całości kredytu.</w:t>
      </w:r>
    </w:p>
    <w:p w14:paraId="1BB42306" w14:textId="1FAF8900" w:rsidR="001C753C" w:rsidRDefault="00266700" w:rsidP="001C753C">
      <w:pPr>
        <w:spacing w:after="240" w:line="360" w:lineRule="auto"/>
        <w:jc w:val="both"/>
        <w:rPr>
          <w:spacing w:val="-6"/>
          <w:sz w:val="22"/>
        </w:rPr>
      </w:pPr>
      <w:r w:rsidRPr="00266700">
        <w:rPr>
          <w:b/>
          <w:spacing w:val="-6"/>
          <w:sz w:val="22"/>
        </w:rPr>
        <w:t xml:space="preserve">Za naruszenie zbiorowych interesów konsumentów Prezes UOKiK </w:t>
      </w:r>
      <w:r w:rsidR="00013618">
        <w:rPr>
          <w:b/>
          <w:spacing w:val="-6"/>
          <w:sz w:val="22"/>
        </w:rPr>
        <w:t xml:space="preserve">Tomasz Chróstny </w:t>
      </w:r>
      <w:r w:rsidRPr="00266700">
        <w:rPr>
          <w:b/>
          <w:spacing w:val="-6"/>
          <w:sz w:val="22"/>
        </w:rPr>
        <w:t>nałożył na Getin Noble Bank karę finansową ponad 7 mln zł</w:t>
      </w:r>
      <w:r>
        <w:rPr>
          <w:spacing w:val="-6"/>
          <w:sz w:val="22"/>
        </w:rPr>
        <w:t xml:space="preserve"> (7 019 640 zł). </w:t>
      </w:r>
      <w:hyperlink r:id="rId10" w:history="1">
        <w:r w:rsidR="00996885" w:rsidRPr="006D1463">
          <w:rPr>
            <w:rStyle w:val="Hipercze"/>
            <w:spacing w:val="-6"/>
            <w:sz w:val="22"/>
          </w:rPr>
          <w:t>Zgodnie z decyzją</w:t>
        </w:r>
      </w:hyperlink>
      <w:r w:rsidR="00996885">
        <w:rPr>
          <w:spacing w:val="-6"/>
          <w:sz w:val="22"/>
        </w:rPr>
        <w:t xml:space="preserve"> Prezesa </w:t>
      </w:r>
      <w:proofErr w:type="spellStart"/>
      <w:r w:rsidR="00996885">
        <w:rPr>
          <w:spacing w:val="-6"/>
          <w:sz w:val="22"/>
        </w:rPr>
        <w:t>UOKiK</w:t>
      </w:r>
      <w:proofErr w:type="spellEnd"/>
      <w:r w:rsidR="00996885">
        <w:rPr>
          <w:spacing w:val="-6"/>
          <w:sz w:val="22"/>
        </w:rPr>
        <w:t xml:space="preserve"> k</w:t>
      </w:r>
      <w:r>
        <w:rPr>
          <w:spacing w:val="-6"/>
          <w:sz w:val="22"/>
        </w:rPr>
        <w:t xml:space="preserve">onsumenci otrzymają od banku listy informujące o zakwestionowanych praktykach. Decyzja nie jest prawomocna. </w:t>
      </w:r>
    </w:p>
    <w:p w14:paraId="03090CED" w14:textId="6F0246D1" w:rsidR="00266700" w:rsidRDefault="00266700" w:rsidP="001C753C">
      <w:pPr>
        <w:spacing w:after="240" w:line="360" w:lineRule="auto"/>
        <w:jc w:val="both"/>
        <w:rPr>
          <w:b/>
          <w:spacing w:val="-6"/>
          <w:sz w:val="22"/>
        </w:rPr>
      </w:pPr>
      <w:r>
        <w:rPr>
          <w:b/>
          <w:spacing w:val="-6"/>
          <w:sz w:val="22"/>
        </w:rPr>
        <w:t>Druga decyzja – niedozwolone postanowienia</w:t>
      </w:r>
    </w:p>
    <w:p w14:paraId="4563B9C2" w14:textId="4297F403" w:rsidR="00266700" w:rsidRDefault="009E6A75" w:rsidP="001C753C">
      <w:pPr>
        <w:spacing w:after="240" w:line="360" w:lineRule="auto"/>
        <w:jc w:val="both"/>
        <w:rPr>
          <w:spacing w:val="-6"/>
          <w:sz w:val="22"/>
        </w:rPr>
      </w:pPr>
      <w:r>
        <w:rPr>
          <w:spacing w:val="-6"/>
          <w:sz w:val="22"/>
        </w:rPr>
        <w:t>Prezes UOKiK</w:t>
      </w:r>
      <w:r w:rsidR="00013618">
        <w:rPr>
          <w:spacing w:val="-6"/>
          <w:sz w:val="22"/>
        </w:rPr>
        <w:tab/>
      </w:r>
      <w:r>
        <w:rPr>
          <w:spacing w:val="-6"/>
          <w:sz w:val="22"/>
        </w:rPr>
        <w:t>uznał za niedozwolone postanowienia zawarte</w:t>
      </w:r>
      <w:r w:rsidR="00FE1FA9" w:rsidRPr="00FE1FA9">
        <w:rPr>
          <w:spacing w:val="-6"/>
          <w:sz w:val="22"/>
        </w:rPr>
        <w:t xml:space="preserve"> we wzorcach umów, dotyczących m.in. wydawania kart </w:t>
      </w:r>
      <w:r w:rsidR="00FE1FA9">
        <w:rPr>
          <w:spacing w:val="-6"/>
          <w:sz w:val="22"/>
        </w:rPr>
        <w:t>płatniczych</w:t>
      </w:r>
      <w:r>
        <w:rPr>
          <w:spacing w:val="-6"/>
          <w:sz w:val="22"/>
        </w:rPr>
        <w:t>, udzielania pożyczek</w:t>
      </w:r>
      <w:r w:rsidR="008E68CF">
        <w:rPr>
          <w:spacing w:val="-6"/>
          <w:sz w:val="22"/>
        </w:rPr>
        <w:t>,</w:t>
      </w:r>
      <w:r w:rsidR="00E148B5">
        <w:rPr>
          <w:spacing w:val="-6"/>
          <w:sz w:val="22"/>
        </w:rPr>
        <w:t xml:space="preserve"> prowadzenia rachunków. </w:t>
      </w:r>
      <w:r w:rsidR="00796040">
        <w:rPr>
          <w:spacing w:val="-6"/>
          <w:sz w:val="22"/>
        </w:rPr>
        <w:t xml:space="preserve">Getin Noble Bank przyznawał sobie prawo do </w:t>
      </w:r>
      <w:r w:rsidR="00CD5E6B">
        <w:rPr>
          <w:spacing w:val="-6"/>
          <w:sz w:val="22"/>
        </w:rPr>
        <w:t xml:space="preserve">bliżej nieokreślonych </w:t>
      </w:r>
      <w:r w:rsidR="00796040">
        <w:rPr>
          <w:spacing w:val="-6"/>
          <w:sz w:val="22"/>
        </w:rPr>
        <w:t>ich modyfikacji, gdy np. zmienią się przepisy</w:t>
      </w:r>
      <w:r w:rsidR="008E68CF">
        <w:rPr>
          <w:spacing w:val="-6"/>
          <w:sz w:val="22"/>
        </w:rPr>
        <w:t>,</w:t>
      </w:r>
      <w:r w:rsidR="00796040">
        <w:rPr>
          <w:spacing w:val="-6"/>
          <w:sz w:val="22"/>
        </w:rPr>
        <w:t xml:space="preserve"> zapadną wyroki sądów, czy nastąpi korekta omyłek pisarskich</w:t>
      </w:r>
      <w:r w:rsidR="00796040" w:rsidRPr="00DB3124">
        <w:rPr>
          <w:spacing w:val="-6"/>
          <w:sz w:val="22"/>
        </w:rPr>
        <w:t>.</w:t>
      </w:r>
      <w:r w:rsidR="00796040">
        <w:rPr>
          <w:spacing w:val="-6"/>
          <w:sz w:val="22"/>
        </w:rPr>
        <w:t xml:space="preserve"> </w:t>
      </w:r>
      <w:r w:rsidR="00DB3124">
        <w:rPr>
          <w:spacing w:val="-6"/>
          <w:sz w:val="22"/>
        </w:rPr>
        <w:t>GNB zastrzegał</w:t>
      </w:r>
      <w:r w:rsidR="00996885">
        <w:rPr>
          <w:spacing w:val="-6"/>
          <w:sz w:val="22"/>
        </w:rPr>
        <w:t xml:space="preserve"> przy tym</w:t>
      </w:r>
      <w:r w:rsidR="00DB3124">
        <w:rPr>
          <w:spacing w:val="-6"/>
          <w:sz w:val="22"/>
        </w:rPr>
        <w:t xml:space="preserve">, że z tych powodów ma również prawo do zmiany taryfy opłat i prowizji, co więcej mógł to zrobić ze względu na </w:t>
      </w:r>
      <w:r w:rsidR="00C821BA">
        <w:rPr>
          <w:spacing w:val="-6"/>
          <w:sz w:val="22"/>
        </w:rPr>
        <w:t>nowe stawki</w:t>
      </w:r>
      <w:r w:rsidR="00DB3124">
        <w:rPr>
          <w:spacing w:val="-6"/>
          <w:sz w:val="22"/>
        </w:rPr>
        <w:t xml:space="preserve"> cen prądu, taryf pocztowych, telekomunikacyjnych.</w:t>
      </w:r>
      <w:r w:rsidR="003155E3">
        <w:rPr>
          <w:spacing w:val="-6"/>
          <w:sz w:val="22"/>
        </w:rPr>
        <w:t xml:space="preserve"> </w:t>
      </w:r>
      <w:r w:rsidR="00796040">
        <w:rPr>
          <w:spacing w:val="-6"/>
          <w:sz w:val="22"/>
        </w:rPr>
        <w:t xml:space="preserve">Zdaniem </w:t>
      </w:r>
      <w:r w:rsidR="00013618">
        <w:rPr>
          <w:spacing w:val="-6"/>
          <w:sz w:val="22"/>
        </w:rPr>
        <w:t>UOKiK</w:t>
      </w:r>
      <w:r w:rsidR="00796040">
        <w:rPr>
          <w:spacing w:val="-6"/>
          <w:sz w:val="22"/>
        </w:rPr>
        <w:t xml:space="preserve">, są to zbyt ogólne postanowienia, pod pretekstem których bank może wprowadzać </w:t>
      </w:r>
      <w:r w:rsidR="00B94E48">
        <w:rPr>
          <w:spacing w:val="-6"/>
          <w:sz w:val="22"/>
        </w:rPr>
        <w:t xml:space="preserve">dowolne </w:t>
      </w:r>
      <w:r w:rsidR="00796040">
        <w:rPr>
          <w:spacing w:val="-6"/>
          <w:sz w:val="22"/>
        </w:rPr>
        <w:t xml:space="preserve">zmiany. </w:t>
      </w:r>
      <w:r w:rsidR="008E68CF">
        <w:rPr>
          <w:spacing w:val="-6"/>
          <w:sz w:val="22"/>
        </w:rPr>
        <w:t>P</w:t>
      </w:r>
      <w:r w:rsidR="00796040">
        <w:rPr>
          <w:spacing w:val="-6"/>
          <w:sz w:val="22"/>
        </w:rPr>
        <w:t>rzedsiębiorca nie precyzuje</w:t>
      </w:r>
      <w:r w:rsidR="008E68CF">
        <w:rPr>
          <w:spacing w:val="-6"/>
          <w:sz w:val="22"/>
        </w:rPr>
        <w:t>,</w:t>
      </w:r>
      <w:r w:rsidR="00796040">
        <w:rPr>
          <w:spacing w:val="-6"/>
          <w:sz w:val="22"/>
        </w:rPr>
        <w:t xml:space="preserve"> co konkretnie będzie miało wpływ na modyfikację regulaminu i w jakim zakresie to nastąpi.</w:t>
      </w:r>
      <w:r w:rsidR="00B94E48">
        <w:rPr>
          <w:spacing w:val="-6"/>
          <w:sz w:val="22"/>
        </w:rPr>
        <w:t xml:space="preserve"> W efekcie konsument nie jest w stanie przewidzieć jakich zmian może się spodziewać w trak</w:t>
      </w:r>
      <w:r w:rsidR="00C821BA">
        <w:rPr>
          <w:spacing w:val="-6"/>
          <w:sz w:val="22"/>
        </w:rPr>
        <w:t>c</w:t>
      </w:r>
      <w:r w:rsidR="00B94E48">
        <w:rPr>
          <w:spacing w:val="-6"/>
          <w:sz w:val="22"/>
        </w:rPr>
        <w:t>ie trwania umowy.</w:t>
      </w:r>
      <w:r w:rsidR="00CD5E6B">
        <w:rPr>
          <w:spacing w:val="-6"/>
          <w:sz w:val="22"/>
        </w:rPr>
        <w:t xml:space="preserve"> Jednocześnie może to skutkować jednostronnym zastąpieniem przez bank postanowień abuzywnych innymi zapisami, co nie jest dozwolone w świetle orzecznictwa TSUE.</w:t>
      </w:r>
    </w:p>
    <w:p w14:paraId="6C37EC14" w14:textId="56BD72DC" w:rsidR="00B94E48" w:rsidRDefault="00B94E48" w:rsidP="001C753C">
      <w:pPr>
        <w:spacing w:after="240" w:line="360" w:lineRule="auto"/>
        <w:jc w:val="both"/>
        <w:rPr>
          <w:spacing w:val="-6"/>
          <w:sz w:val="22"/>
        </w:rPr>
      </w:pPr>
      <w:r>
        <w:rPr>
          <w:spacing w:val="-6"/>
          <w:sz w:val="22"/>
        </w:rPr>
        <w:t xml:space="preserve">Prezes UOKiK </w:t>
      </w:r>
      <w:r w:rsidR="00013618">
        <w:rPr>
          <w:spacing w:val="-6"/>
          <w:sz w:val="22"/>
        </w:rPr>
        <w:t xml:space="preserve">Tomasz Chróstny </w:t>
      </w:r>
      <w:r>
        <w:rPr>
          <w:spacing w:val="-6"/>
          <w:sz w:val="22"/>
        </w:rPr>
        <w:t xml:space="preserve">uznał postanowienia za niedozwolone i zakazał ich wykorzystywania. Bank </w:t>
      </w:r>
      <w:r w:rsidR="00996885">
        <w:rPr>
          <w:spacing w:val="-6"/>
          <w:sz w:val="22"/>
        </w:rPr>
        <w:t xml:space="preserve">musi </w:t>
      </w:r>
      <w:r>
        <w:rPr>
          <w:spacing w:val="-6"/>
          <w:sz w:val="22"/>
        </w:rPr>
        <w:t>wy</w:t>
      </w:r>
      <w:r w:rsidR="007571D5">
        <w:rPr>
          <w:spacing w:val="-6"/>
          <w:sz w:val="22"/>
        </w:rPr>
        <w:t>słać</w:t>
      </w:r>
      <w:r>
        <w:rPr>
          <w:spacing w:val="-6"/>
          <w:sz w:val="22"/>
        </w:rPr>
        <w:t xml:space="preserve"> do konsumentów listy, w których poinformuje ich o decyzji</w:t>
      </w:r>
      <w:r w:rsidR="00CD5E6B">
        <w:rPr>
          <w:spacing w:val="-6"/>
          <w:sz w:val="22"/>
        </w:rPr>
        <w:t xml:space="preserve"> i skutkach</w:t>
      </w:r>
      <w:r w:rsidR="00270C66">
        <w:rPr>
          <w:spacing w:val="-6"/>
          <w:sz w:val="22"/>
        </w:rPr>
        <w:t xml:space="preserve">, jakie z tego dla nich wynikają. </w:t>
      </w:r>
      <w:r w:rsidR="00A15662" w:rsidRPr="00A15662">
        <w:rPr>
          <w:iCs/>
          <w:spacing w:val="-6"/>
          <w:sz w:val="22"/>
        </w:rPr>
        <w:t>Może to oznaczać brak możliwości jednostronnej zmiany warunków umownych w przyszłości</w:t>
      </w:r>
      <w:r w:rsidR="00A15662">
        <w:rPr>
          <w:i/>
          <w:iCs/>
          <w:spacing w:val="-6"/>
          <w:sz w:val="22"/>
        </w:rPr>
        <w:t xml:space="preserve"> </w:t>
      </w:r>
      <w:r w:rsidR="00CD5E6B">
        <w:rPr>
          <w:spacing w:val="-6"/>
          <w:sz w:val="22"/>
        </w:rPr>
        <w:t>i zakwestionowanie przez klientów dotychczasowych modyfikacji</w:t>
      </w:r>
      <w:r>
        <w:rPr>
          <w:spacing w:val="-6"/>
          <w:sz w:val="22"/>
        </w:rPr>
        <w:t xml:space="preserve">. </w:t>
      </w:r>
      <w:hyperlink r:id="rId11" w:history="1">
        <w:r w:rsidR="00C821BA" w:rsidRPr="006D1463">
          <w:rPr>
            <w:rStyle w:val="Hipercze"/>
            <w:spacing w:val="-6"/>
            <w:sz w:val="22"/>
          </w:rPr>
          <w:t>Decyzja</w:t>
        </w:r>
      </w:hyperlink>
      <w:r w:rsidR="00C821BA">
        <w:rPr>
          <w:spacing w:val="-6"/>
          <w:sz w:val="22"/>
        </w:rPr>
        <w:t xml:space="preserve"> nie jest prawomocna.</w:t>
      </w:r>
    </w:p>
    <w:p w14:paraId="2BBFE68D" w14:textId="77777777" w:rsidR="00013618" w:rsidRPr="00266700" w:rsidRDefault="00013618" w:rsidP="001C753C">
      <w:pPr>
        <w:spacing w:after="240" w:line="360" w:lineRule="auto"/>
        <w:jc w:val="both"/>
        <w:rPr>
          <w:spacing w:val="-6"/>
          <w:sz w:val="22"/>
        </w:rPr>
      </w:pPr>
    </w:p>
    <w:p w14:paraId="5F920095" w14:textId="08C830E9" w:rsidR="00CC20CC" w:rsidRPr="001C753C" w:rsidRDefault="001C753C" w:rsidP="001C753C">
      <w:pPr>
        <w:spacing w:after="240" w:line="360" w:lineRule="auto"/>
        <w:jc w:val="both"/>
        <w:rPr>
          <w:b/>
          <w:spacing w:val="-6"/>
          <w:sz w:val="22"/>
        </w:rPr>
      </w:pPr>
      <w:r w:rsidRPr="001C753C">
        <w:rPr>
          <w:b/>
          <w:spacing w:val="-6"/>
          <w:sz w:val="22"/>
        </w:rPr>
        <w:lastRenderedPageBreak/>
        <w:t xml:space="preserve">Trzecia decyzja – Getin Noble Bank a GetBack </w:t>
      </w:r>
    </w:p>
    <w:p w14:paraId="424DF82F" w14:textId="64F99333" w:rsidR="00F276DA" w:rsidRPr="0096777F" w:rsidRDefault="005E3E65" w:rsidP="001C753C">
      <w:pPr>
        <w:spacing w:after="240" w:line="360" w:lineRule="auto"/>
        <w:jc w:val="both"/>
        <w:rPr>
          <w:i/>
          <w:spacing w:val="-6"/>
          <w:sz w:val="22"/>
        </w:rPr>
      </w:pPr>
      <w:r>
        <w:rPr>
          <w:spacing w:val="-6"/>
          <w:sz w:val="22"/>
        </w:rPr>
        <w:t>Prezes UOKiK Tomasz Chró</w:t>
      </w:r>
      <w:r w:rsidR="000559B3">
        <w:rPr>
          <w:spacing w:val="-6"/>
          <w:sz w:val="22"/>
        </w:rPr>
        <w:t>s</w:t>
      </w:r>
      <w:r>
        <w:rPr>
          <w:spacing w:val="-6"/>
          <w:sz w:val="22"/>
        </w:rPr>
        <w:t xml:space="preserve">tny uznał, że GNB wprowadzał konsumentów w błąd podczas oferowania obligacji </w:t>
      </w:r>
      <w:r w:rsidR="007571D5">
        <w:rPr>
          <w:spacing w:val="-6"/>
          <w:sz w:val="22"/>
        </w:rPr>
        <w:t xml:space="preserve">korporacyjnych wyemitowanych przez spółkę </w:t>
      </w:r>
      <w:r>
        <w:rPr>
          <w:spacing w:val="-6"/>
          <w:sz w:val="22"/>
        </w:rPr>
        <w:t xml:space="preserve">GetBack. </w:t>
      </w:r>
      <w:r w:rsidR="007571D5">
        <w:rPr>
          <w:spacing w:val="-6"/>
          <w:sz w:val="22"/>
        </w:rPr>
        <w:t>GNB informował</w:t>
      </w:r>
      <w:r w:rsidR="003243C0">
        <w:rPr>
          <w:spacing w:val="-6"/>
          <w:sz w:val="22"/>
        </w:rPr>
        <w:t xml:space="preserve">, że inwestycja jest </w:t>
      </w:r>
      <w:r w:rsidR="000559B3">
        <w:rPr>
          <w:spacing w:val="-6"/>
          <w:sz w:val="22"/>
        </w:rPr>
        <w:t>bezpiecz</w:t>
      </w:r>
      <w:r w:rsidR="003243C0">
        <w:rPr>
          <w:spacing w:val="-6"/>
          <w:sz w:val="22"/>
        </w:rPr>
        <w:t xml:space="preserve">na, a zysk </w:t>
      </w:r>
      <w:r w:rsidR="00C94398">
        <w:rPr>
          <w:spacing w:val="-6"/>
          <w:sz w:val="22"/>
        </w:rPr>
        <w:t>gwarantowan</w:t>
      </w:r>
      <w:r w:rsidR="003243C0">
        <w:rPr>
          <w:spacing w:val="-6"/>
          <w:sz w:val="22"/>
        </w:rPr>
        <w:t>y</w:t>
      </w:r>
      <w:r w:rsidR="007571D5">
        <w:rPr>
          <w:spacing w:val="-6"/>
          <w:sz w:val="22"/>
        </w:rPr>
        <w:t>, podczas gdy tak nie było</w:t>
      </w:r>
      <w:r w:rsidR="00C94398">
        <w:rPr>
          <w:spacing w:val="-6"/>
          <w:sz w:val="22"/>
        </w:rPr>
        <w:t>. Ponadto, bank proponował</w:t>
      </w:r>
      <w:r w:rsidR="007571D5">
        <w:rPr>
          <w:spacing w:val="-6"/>
          <w:sz w:val="22"/>
        </w:rPr>
        <w:t xml:space="preserve"> nabycie</w:t>
      </w:r>
      <w:r w:rsidR="00C94398">
        <w:rPr>
          <w:spacing w:val="-6"/>
          <w:sz w:val="22"/>
        </w:rPr>
        <w:t xml:space="preserve"> </w:t>
      </w:r>
      <w:r w:rsidR="007571D5">
        <w:rPr>
          <w:spacing w:val="-6"/>
          <w:sz w:val="22"/>
        </w:rPr>
        <w:t xml:space="preserve">tych </w:t>
      </w:r>
      <w:r w:rsidR="00C94398">
        <w:rPr>
          <w:spacing w:val="-6"/>
          <w:sz w:val="22"/>
        </w:rPr>
        <w:t>obligacj</w:t>
      </w:r>
      <w:r w:rsidR="007571D5">
        <w:rPr>
          <w:spacing w:val="-6"/>
          <w:sz w:val="22"/>
        </w:rPr>
        <w:t>i</w:t>
      </w:r>
      <w:r w:rsidR="00C94398">
        <w:rPr>
          <w:spacing w:val="-6"/>
          <w:sz w:val="22"/>
        </w:rPr>
        <w:t xml:space="preserve"> osobom, które </w:t>
      </w:r>
      <w:r w:rsidR="003243C0">
        <w:rPr>
          <w:spacing w:val="-6"/>
          <w:sz w:val="22"/>
        </w:rPr>
        <w:t>nie były skłonne do ryzyka</w:t>
      </w:r>
      <w:r w:rsidR="00F276DA">
        <w:rPr>
          <w:spacing w:val="-6"/>
          <w:sz w:val="22"/>
        </w:rPr>
        <w:t xml:space="preserve"> </w:t>
      </w:r>
      <w:r w:rsidR="00B91CB8">
        <w:rPr>
          <w:spacing w:val="-6"/>
          <w:sz w:val="22"/>
        </w:rPr>
        <w:t xml:space="preserve">– były zainteresowane </w:t>
      </w:r>
      <w:r w:rsidR="00B73807">
        <w:rPr>
          <w:spacing w:val="-6"/>
          <w:sz w:val="22"/>
        </w:rPr>
        <w:t xml:space="preserve">zwykłymi </w:t>
      </w:r>
      <w:r w:rsidR="00B91CB8">
        <w:rPr>
          <w:spacing w:val="-6"/>
          <w:sz w:val="22"/>
        </w:rPr>
        <w:t>lokatami. Przedsiębiorca</w:t>
      </w:r>
      <w:r w:rsidR="00F276DA">
        <w:rPr>
          <w:spacing w:val="-6"/>
          <w:sz w:val="22"/>
        </w:rPr>
        <w:t xml:space="preserve"> oferował więc produkty, które nie odpowiadały potrzebom</w:t>
      </w:r>
      <w:r w:rsidR="00B91CB8">
        <w:rPr>
          <w:spacing w:val="-6"/>
          <w:sz w:val="22"/>
        </w:rPr>
        <w:t xml:space="preserve"> jego klientów</w:t>
      </w:r>
      <w:r w:rsidR="00F276DA">
        <w:rPr>
          <w:spacing w:val="-6"/>
          <w:sz w:val="22"/>
        </w:rPr>
        <w:t xml:space="preserve">. </w:t>
      </w:r>
      <w:r w:rsidR="009F4433">
        <w:rPr>
          <w:spacing w:val="-6"/>
          <w:sz w:val="22"/>
        </w:rPr>
        <w:t xml:space="preserve">- </w:t>
      </w:r>
      <w:r w:rsidR="009F4433" w:rsidRPr="0096777F">
        <w:rPr>
          <w:i/>
          <w:spacing w:val="-6"/>
          <w:sz w:val="22"/>
        </w:rPr>
        <w:t xml:space="preserve">Do UOKiK </w:t>
      </w:r>
      <w:r w:rsidR="0096777F" w:rsidRPr="0096777F">
        <w:rPr>
          <w:i/>
          <w:spacing w:val="-6"/>
          <w:sz w:val="22"/>
        </w:rPr>
        <w:t>wpłynęło</w:t>
      </w:r>
      <w:r w:rsidR="009F4433" w:rsidRPr="0096777F">
        <w:rPr>
          <w:i/>
          <w:spacing w:val="-6"/>
          <w:sz w:val="22"/>
        </w:rPr>
        <w:t xml:space="preserve"> wiele skarg </w:t>
      </w:r>
      <w:r w:rsidR="0096777F">
        <w:rPr>
          <w:i/>
          <w:spacing w:val="-6"/>
          <w:sz w:val="22"/>
        </w:rPr>
        <w:t xml:space="preserve">od </w:t>
      </w:r>
      <w:r w:rsidR="009F4433" w:rsidRPr="0096777F">
        <w:rPr>
          <w:i/>
          <w:spacing w:val="-6"/>
          <w:sz w:val="22"/>
        </w:rPr>
        <w:t>konsumentów</w:t>
      </w:r>
      <w:r w:rsidR="0096777F" w:rsidRPr="0096777F">
        <w:rPr>
          <w:i/>
          <w:spacing w:val="-6"/>
          <w:sz w:val="22"/>
        </w:rPr>
        <w:t xml:space="preserve"> na doradców Getin Noble Banku</w:t>
      </w:r>
      <w:r w:rsidR="009F4433" w:rsidRPr="0096777F">
        <w:rPr>
          <w:i/>
          <w:spacing w:val="-6"/>
          <w:sz w:val="22"/>
        </w:rPr>
        <w:t xml:space="preserve">, które </w:t>
      </w:r>
      <w:r w:rsidR="0096777F" w:rsidRPr="0096777F">
        <w:rPr>
          <w:i/>
          <w:spacing w:val="-6"/>
          <w:sz w:val="22"/>
        </w:rPr>
        <w:t>potwierdz</w:t>
      </w:r>
      <w:r w:rsidR="0096777F">
        <w:rPr>
          <w:i/>
          <w:spacing w:val="-6"/>
          <w:sz w:val="22"/>
        </w:rPr>
        <w:t>i</w:t>
      </w:r>
      <w:r w:rsidR="0096777F" w:rsidRPr="0096777F">
        <w:rPr>
          <w:i/>
          <w:spacing w:val="-6"/>
          <w:sz w:val="22"/>
        </w:rPr>
        <w:t>ły</w:t>
      </w:r>
      <w:r w:rsidR="009F4433" w:rsidRPr="0096777F">
        <w:rPr>
          <w:i/>
          <w:spacing w:val="-6"/>
          <w:sz w:val="22"/>
        </w:rPr>
        <w:t>, że podczas sprzedaży dochodziło do n</w:t>
      </w:r>
      <w:r w:rsidR="0098759F">
        <w:rPr>
          <w:i/>
          <w:spacing w:val="-6"/>
          <w:sz w:val="22"/>
        </w:rPr>
        <w:t>ieprawidłowości</w:t>
      </w:r>
      <w:r w:rsidR="009F4433" w:rsidRPr="0096777F">
        <w:rPr>
          <w:i/>
          <w:spacing w:val="-6"/>
          <w:sz w:val="22"/>
        </w:rPr>
        <w:t xml:space="preserve">. </w:t>
      </w:r>
      <w:r w:rsidR="0098759F">
        <w:rPr>
          <w:i/>
          <w:spacing w:val="-6"/>
          <w:sz w:val="22"/>
        </w:rPr>
        <w:t>Obligacj</w:t>
      </w:r>
      <w:r w:rsidR="00B73807">
        <w:rPr>
          <w:i/>
          <w:spacing w:val="-6"/>
          <w:sz w:val="22"/>
        </w:rPr>
        <w:t>e</w:t>
      </w:r>
      <w:r w:rsidR="0098759F">
        <w:rPr>
          <w:i/>
          <w:spacing w:val="-6"/>
          <w:sz w:val="22"/>
        </w:rPr>
        <w:t xml:space="preserve"> korporacyjne nie są bezpieczną inwestycją, ponieważ</w:t>
      </w:r>
      <w:r w:rsidR="00B73807">
        <w:rPr>
          <w:i/>
          <w:spacing w:val="-6"/>
          <w:sz w:val="22"/>
        </w:rPr>
        <w:t xml:space="preserve"> ich</w:t>
      </w:r>
      <w:r w:rsidR="0098759F">
        <w:rPr>
          <w:i/>
          <w:spacing w:val="-6"/>
          <w:sz w:val="22"/>
        </w:rPr>
        <w:t xml:space="preserve"> </w:t>
      </w:r>
      <w:r w:rsidR="007571D5">
        <w:rPr>
          <w:i/>
          <w:spacing w:val="-6"/>
          <w:sz w:val="22"/>
        </w:rPr>
        <w:t xml:space="preserve">bezpieczeństwo </w:t>
      </w:r>
      <w:r w:rsidR="0098759F">
        <w:rPr>
          <w:i/>
          <w:spacing w:val="-6"/>
          <w:sz w:val="22"/>
        </w:rPr>
        <w:t xml:space="preserve">zależy </w:t>
      </w:r>
      <w:r w:rsidR="00013618">
        <w:rPr>
          <w:i/>
          <w:spacing w:val="-6"/>
          <w:sz w:val="22"/>
        </w:rPr>
        <w:t xml:space="preserve">wyłącznie </w:t>
      </w:r>
      <w:r w:rsidR="0098759F">
        <w:rPr>
          <w:i/>
          <w:spacing w:val="-6"/>
          <w:sz w:val="22"/>
        </w:rPr>
        <w:t xml:space="preserve">od kondycji finansowej emitenta i jego decyzji biznesowych. </w:t>
      </w:r>
      <w:r w:rsidR="007571D5">
        <w:rPr>
          <w:i/>
          <w:spacing w:val="-6"/>
          <w:sz w:val="22"/>
        </w:rPr>
        <w:t xml:space="preserve">Nie są one </w:t>
      </w:r>
      <w:r w:rsidR="00270C66">
        <w:rPr>
          <w:i/>
          <w:spacing w:val="-6"/>
          <w:sz w:val="22"/>
        </w:rPr>
        <w:t xml:space="preserve">objęte gwarancjami </w:t>
      </w:r>
      <w:r w:rsidR="00336AA2">
        <w:rPr>
          <w:i/>
          <w:spacing w:val="-6"/>
          <w:sz w:val="22"/>
        </w:rPr>
        <w:t>odpowiednich</w:t>
      </w:r>
      <w:r w:rsidR="007571D5">
        <w:rPr>
          <w:i/>
          <w:spacing w:val="-6"/>
          <w:sz w:val="22"/>
        </w:rPr>
        <w:t xml:space="preserve"> instytucj</w:t>
      </w:r>
      <w:r w:rsidR="00336AA2">
        <w:rPr>
          <w:i/>
          <w:spacing w:val="-6"/>
          <w:sz w:val="22"/>
        </w:rPr>
        <w:t>i</w:t>
      </w:r>
      <w:r w:rsidR="007571D5">
        <w:rPr>
          <w:i/>
          <w:spacing w:val="-6"/>
          <w:sz w:val="22"/>
        </w:rPr>
        <w:t xml:space="preserve">. </w:t>
      </w:r>
      <w:r w:rsidR="000E44B0">
        <w:rPr>
          <w:i/>
          <w:spacing w:val="-6"/>
          <w:sz w:val="22"/>
        </w:rPr>
        <w:t xml:space="preserve">Bank </w:t>
      </w:r>
      <w:r w:rsidR="00336AA2">
        <w:rPr>
          <w:i/>
          <w:spacing w:val="-6"/>
          <w:sz w:val="22"/>
        </w:rPr>
        <w:t>jako instytucja</w:t>
      </w:r>
      <w:r w:rsidR="000E44B0">
        <w:rPr>
          <w:i/>
          <w:spacing w:val="-6"/>
          <w:sz w:val="22"/>
        </w:rPr>
        <w:t xml:space="preserve"> zaufania publicznego powinien </w:t>
      </w:r>
      <w:r w:rsidR="007571D5">
        <w:rPr>
          <w:i/>
          <w:spacing w:val="-6"/>
          <w:sz w:val="22"/>
        </w:rPr>
        <w:t xml:space="preserve">był </w:t>
      </w:r>
      <w:r w:rsidR="000E44B0">
        <w:rPr>
          <w:i/>
          <w:spacing w:val="-6"/>
          <w:sz w:val="22"/>
        </w:rPr>
        <w:t xml:space="preserve">zadbać o to, aby </w:t>
      </w:r>
      <w:r w:rsidR="00B91CB8">
        <w:rPr>
          <w:i/>
          <w:spacing w:val="-6"/>
          <w:sz w:val="22"/>
        </w:rPr>
        <w:t xml:space="preserve">jasno i zrozumiale informować o specyfice produktu, w </w:t>
      </w:r>
      <w:r w:rsidR="007571D5">
        <w:rPr>
          <w:i/>
          <w:spacing w:val="-6"/>
          <w:sz w:val="22"/>
        </w:rPr>
        <w:t>szczególności</w:t>
      </w:r>
      <w:r w:rsidR="00B91CB8">
        <w:rPr>
          <w:i/>
          <w:spacing w:val="-6"/>
          <w:sz w:val="22"/>
        </w:rPr>
        <w:t xml:space="preserve"> o ryz</w:t>
      </w:r>
      <w:r w:rsidR="00265965">
        <w:rPr>
          <w:i/>
          <w:spacing w:val="-6"/>
          <w:sz w:val="22"/>
        </w:rPr>
        <w:t>y</w:t>
      </w:r>
      <w:r w:rsidR="00B91CB8">
        <w:rPr>
          <w:i/>
          <w:spacing w:val="-6"/>
          <w:sz w:val="22"/>
        </w:rPr>
        <w:t>ku, uwzględni</w:t>
      </w:r>
      <w:r w:rsidR="00013618">
        <w:rPr>
          <w:i/>
          <w:spacing w:val="-6"/>
          <w:sz w:val="22"/>
        </w:rPr>
        <w:t>ając jednocześnie realne</w:t>
      </w:r>
      <w:r w:rsidR="00B91CB8">
        <w:rPr>
          <w:i/>
          <w:spacing w:val="-6"/>
          <w:sz w:val="22"/>
        </w:rPr>
        <w:t xml:space="preserve"> potrzeby konsumentów</w:t>
      </w:r>
      <w:r w:rsidR="00566D24">
        <w:rPr>
          <w:i/>
          <w:spacing w:val="-6"/>
          <w:sz w:val="22"/>
        </w:rPr>
        <w:t xml:space="preserve">. </w:t>
      </w:r>
      <w:r w:rsidR="00013618">
        <w:rPr>
          <w:i/>
          <w:spacing w:val="-6"/>
          <w:sz w:val="22"/>
        </w:rPr>
        <w:t>To siódma decyzja</w:t>
      </w:r>
      <w:r w:rsidR="00566D24">
        <w:rPr>
          <w:i/>
          <w:spacing w:val="-6"/>
          <w:sz w:val="22"/>
        </w:rPr>
        <w:t xml:space="preserve"> w sprawie oferowania i sprzedaży obligacji GetBack</w:t>
      </w:r>
      <w:r w:rsidR="00013618">
        <w:rPr>
          <w:i/>
          <w:spacing w:val="-6"/>
          <w:sz w:val="22"/>
        </w:rPr>
        <w:t xml:space="preserve">, </w:t>
      </w:r>
      <w:r w:rsidR="00566D24">
        <w:rPr>
          <w:i/>
          <w:spacing w:val="-6"/>
          <w:sz w:val="22"/>
        </w:rPr>
        <w:t>kończ</w:t>
      </w:r>
      <w:r w:rsidR="00013618">
        <w:rPr>
          <w:i/>
          <w:spacing w:val="-6"/>
          <w:sz w:val="22"/>
        </w:rPr>
        <w:t>ąca</w:t>
      </w:r>
      <w:r w:rsidR="00566D24">
        <w:rPr>
          <w:i/>
          <w:spacing w:val="-6"/>
          <w:sz w:val="22"/>
        </w:rPr>
        <w:t xml:space="preserve"> nasze działania w sprawie</w:t>
      </w:r>
      <w:r w:rsidR="00013618">
        <w:rPr>
          <w:i/>
          <w:spacing w:val="-6"/>
          <w:sz w:val="22"/>
        </w:rPr>
        <w:t xml:space="preserve"> GetBack</w:t>
      </w:r>
      <w:r w:rsidR="00B91CB8">
        <w:rPr>
          <w:i/>
          <w:spacing w:val="-6"/>
          <w:sz w:val="22"/>
        </w:rPr>
        <w:t xml:space="preserve"> </w:t>
      </w:r>
      <w:r w:rsidR="00B91CB8" w:rsidRPr="00B91CB8">
        <w:rPr>
          <w:spacing w:val="-6"/>
          <w:sz w:val="22"/>
        </w:rPr>
        <w:t>– mówi Tomasz Chróstny, Prezes UOKiK.</w:t>
      </w:r>
    </w:p>
    <w:p w14:paraId="50EF9215" w14:textId="1214337D" w:rsidR="00C818E4" w:rsidRDefault="00B73807" w:rsidP="001C753C">
      <w:pPr>
        <w:spacing w:after="240" w:line="360" w:lineRule="auto"/>
        <w:jc w:val="both"/>
        <w:rPr>
          <w:spacing w:val="-6"/>
          <w:sz w:val="22"/>
        </w:rPr>
      </w:pPr>
      <w:r>
        <w:rPr>
          <w:spacing w:val="-6"/>
          <w:sz w:val="22"/>
        </w:rPr>
        <w:t>Prezes UOKiK nakazał, aby Getin Noble Bank wypłacił rekompensatę osobom, które nabyły obligacje GetBack</w:t>
      </w:r>
      <w:r w:rsidR="001A26F0">
        <w:rPr>
          <w:spacing w:val="-6"/>
          <w:sz w:val="22"/>
        </w:rPr>
        <w:t xml:space="preserve"> za jego pośrednictwem</w:t>
      </w:r>
      <w:r>
        <w:rPr>
          <w:spacing w:val="-6"/>
          <w:sz w:val="22"/>
        </w:rPr>
        <w:t xml:space="preserve">. </w:t>
      </w:r>
      <w:r w:rsidRPr="00B73807">
        <w:rPr>
          <w:b/>
          <w:spacing w:val="-6"/>
          <w:sz w:val="22"/>
        </w:rPr>
        <w:t>Wyniesie ona</w:t>
      </w:r>
      <w:r w:rsidR="00CD5E6B">
        <w:rPr>
          <w:b/>
          <w:spacing w:val="-6"/>
          <w:sz w:val="22"/>
        </w:rPr>
        <w:t xml:space="preserve"> </w:t>
      </w:r>
      <w:r w:rsidRPr="00B73807">
        <w:rPr>
          <w:b/>
          <w:spacing w:val="-6"/>
          <w:sz w:val="22"/>
        </w:rPr>
        <w:t>20 tys. zł</w:t>
      </w:r>
      <w:r>
        <w:rPr>
          <w:spacing w:val="-6"/>
          <w:sz w:val="22"/>
        </w:rPr>
        <w:t xml:space="preserve">. </w:t>
      </w:r>
      <w:r w:rsidR="001A26F0">
        <w:rPr>
          <w:spacing w:val="-6"/>
          <w:sz w:val="22"/>
        </w:rPr>
        <w:t xml:space="preserve">O tym komu należy się rekompensata, </w:t>
      </w:r>
      <w:r w:rsidR="00CD5E6B">
        <w:rPr>
          <w:spacing w:val="-6"/>
          <w:sz w:val="22"/>
        </w:rPr>
        <w:t xml:space="preserve">bank poinformuje w osobnej korespondencji. Szczegóły już teraz dostępne są </w:t>
      </w:r>
      <w:hyperlink r:id="rId12" w:history="1">
        <w:r w:rsidR="001A26F0" w:rsidRPr="006D1463">
          <w:rPr>
            <w:rStyle w:val="Hipercze"/>
            <w:spacing w:val="-6"/>
            <w:sz w:val="22"/>
          </w:rPr>
          <w:t>w decyzji</w:t>
        </w:r>
      </w:hyperlink>
      <w:bookmarkStart w:id="0" w:name="_GoBack"/>
      <w:bookmarkEnd w:id="0"/>
      <w:r w:rsidR="001A26F0">
        <w:rPr>
          <w:spacing w:val="-6"/>
          <w:sz w:val="22"/>
        </w:rPr>
        <w:t>. Rozstrzygnięcie</w:t>
      </w:r>
      <w:r w:rsidR="00343B6A">
        <w:rPr>
          <w:spacing w:val="-6"/>
          <w:sz w:val="22"/>
        </w:rPr>
        <w:t xml:space="preserve"> nie jest prawomocn</w:t>
      </w:r>
      <w:r w:rsidR="001A26F0">
        <w:rPr>
          <w:spacing w:val="-6"/>
          <w:sz w:val="22"/>
        </w:rPr>
        <w:t>e</w:t>
      </w:r>
      <w:r w:rsidR="00343B6A">
        <w:rPr>
          <w:spacing w:val="-6"/>
          <w:sz w:val="22"/>
        </w:rPr>
        <w:t xml:space="preserve">. </w:t>
      </w:r>
    </w:p>
    <w:p w14:paraId="0E324782" w14:textId="77777777" w:rsidR="00C76A49" w:rsidRPr="00C76A49" w:rsidRDefault="00C76A49" w:rsidP="00C76A49">
      <w:pPr>
        <w:spacing w:after="240" w:line="360" w:lineRule="auto"/>
        <w:jc w:val="both"/>
        <w:rPr>
          <w:b/>
          <w:spacing w:val="-6"/>
          <w:sz w:val="22"/>
        </w:rPr>
      </w:pPr>
      <w:r w:rsidRPr="00C76A49">
        <w:rPr>
          <w:b/>
          <w:spacing w:val="-6"/>
          <w:sz w:val="22"/>
        </w:rPr>
        <w:t>GetBack – działania Prezesa UOKiK</w:t>
      </w:r>
    </w:p>
    <w:p w14:paraId="39EE03AB" w14:textId="2B3F502F" w:rsidR="00C76A49" w:rsidRPr="00C76A49" w:rsidRDefault="00C76A49" w:rsidP="00C76A49">
      <w:pPr>
        <w:spacing w:after="240" w:line="360" w:lineRule="auto"/>
        <w:jc w:val="both"/>
        <w:rPr>
          <w:spacing w:val="-6"/>
          <w:sz w:val="22"/>
        </w:rPr>
      </w:pPr>
      <w:r w:rsidRPr="00C76A49">
        <w:rPr>
          <w:spacing w:val="-6"/>
          <w:sz w:val="22"/>
        </w:rPr>
        <w:t xml:space="preserve">Pierwsze kroki, aby chronić osoby poszkodowane wskutek działań spółki GetBack czy podmiotów oferujących jej produkty finansowe, UOKiK podjął jeszcze zanim wpłynęły skargi od konsumentów. </w:t>
      </w:r>
      <w:r w:rsidR="00733AE7">
        <w:rPr>
          <w:spacing w:val="-6"/>
          <w:sz w:val="22"/>
        </w:rPr>
        <w:t>P</w:t>
      </w:r>
      <w:r w:rsidRPr="00C76A49">
        <w:rPr>
          <w:spacing w:val="-6"/>
          <w:sz w:val="22"/>
        </w:rPr>
        <w:t>od koniec kwietnia 2018 r., po doniesieniach medialnych, Urząd wszczął postępowanie wyjaśniające</w:t>
      </w:r>
      <w:r w:rsidR="007571D5">
        <w:rPr>
          <w:spacing w:val="-6"/>
          <w:sz w:val="22"/>
        </w:rPr>
        <w:t xml:space="preserve"> oraz przeprowadził kontrol</w:t>
      </w:r>
      <w:r w:rsidR="00C32D3F">
        <w:rPr>
          <w:spacing w:val="-6"/>
          <w:sz w:val="22"/>
        </w:rPr>
        <w:t>e</w:t>
      </w:r>
      <w:r w:rsidRPr="00C76A49">
        <w:rPr>
          <w:spacing w:val="-6"/>
          <w:sz w:val="22"/>
        </w:rPr>
        <w:t xml:space="preserve">, aby ustalić zasady oferowania i sprzedaży obligacji korporacyjnych GetBack. Wkrótce potem </w:t>
      </w:r>
      <w:r w:rsidR="00733AE7">
        <w:rPr>
          <w:spacing w:val="-6"/>
          <w:sz w:val="22"/>
        </w:rPr>
        <w:t xml:space="preserve">UOKiK </w:t>
      </w:r>
      <w:r w:rsidRPr="00C76A49">
        <w:rPr>
          <w:spacing w:val="-6"/>
          <w:sz w:val="22"/>
        </w:rPr>
        <w:t xml:space="preserve">przygotował </w:t>
      </w:r>
      <w:hyperlink r:id="rId13" w:history="1">
        <w:r w:rsidRPr="00C76A49">
          <w:rPr>
            <w:rStyle w:val="Hipercze"/>
            <w:spacing w:val="-6"/>
            <w:sz w:val="22"/>
          </w:rPr>
          <w:t>poradnik dla konsumentów</w:t>
        </w:r>
      </w:hyperlink>
      <w:r w:rsidRPr="00C76A49">
        <w:rPr>
          <w:spacing w:val="-6"/>
          <w:sz w:val="22"/>
        </w:rPr>
        <w:t xml:space="preserve"> ze szczegółowymi instrukcjami, jak składać reklamacje i gdzie szukać pomocy prawnej.</w:t>
      </w:r>
    </w:p>
    <w:p w14:paraId="7B0F8EDC" w14:textId="175D896E" w:rsidR="00C76A49" w:rsidRPr="00C76A49" w:rsidRDefault="00C76A49" w:rsidP="00C76A49">
      <w:pPr>
        <w:spacing w:after="240" w:line="360" w:lineRule="auto"/>
        <w:jc w:val="both"/>
        <w:rPr>
          <w:spacing w:val="-6"/>
          <w:sz w:val="22"/>
        </w:rPr>
      </w:pPr>
      <w:r w:rsidRPr="00C76A49">
        <w:rPr>
          <w:spacing w:val="-6"/>
          <w:sz w:val="22"/>
        </w:rPr>
        <w:t xml:space="preserve">Do dziś Prezes UOKiK wydał </w:t>
      </w:r>
      <w:r w:rsidR="00661557">
        <w:rPr>
          <w:spacing w:val="-6"/>
          <w:sz w:val="22"/>
        </w:rPr>
        <w:t>7</w:t>
      </w:r>
      <w:r w:rsidR="00661557" w:rsidRPr="00C76A49">
        <w:rPr>
          <w:spacing w:val="-6"/>
          <w:sz w:val="22"/>
        </w:rPr>
        <w:t xml:space="preserve"> </w:t>
      </w:r>
      <w:r w:rsidRPr="00C76A49">
        <w:rPr>
          <w:spacing w:val="-6"/>
          <w:sz w:val="22"/>
        </w:rPr>
        <w:t xml:space="preserve">decyzji </w:t>
      </w:r>
      <w:r w:rsidR="00C821BA" w:rsidRPr="00C76A49">
        <w:rPr>
          <w:spacing w:val="-6"/>
          <w:sz w:val="22"/>
        </w:rPr>
        <w:t xml:space="preserve">dotyczących spółki GetBack </w:t>
      </w:r>
      <w:r w:rsidR="00661557">
        <w:rPr>
          <w:spacing w:val="-6"/>
          <w:sz w:val="22"/>
        </w:rPr>
        <w:t>i innych podmiotów, które brały udział w oferowaniu konsumentom obligacji korporacyjnych wyemitowanych przez tę spółkę</w:t>
      </w:r>
      <w:r w:rsidR="00C821BA" w:rsidRPr="00C76A49">
        <w:rPr>
          <w:spacing w:val="-6"/>
          <w:sz w:val="22"/>
        </w:rPr>
        <w:t xml:space="preserve"> </w:t>
      </w:r>
      <w:r w:rsidRPr="00C76A49">
        <w:rPr>
          <w:spacing w:val="-6"/>
          <w:sz w:val="22"/>
        </w:rPr>
        <w:t xml:space="preserve">(włącznie z </w:t>
      </w:r>
      <w:r w:rsidR="00C821BA">
        <w:rPr>
          <w:spacing w:val="-6"/>
          <w:sz w:val="22"/>
        </w:rPr>
        <w:t>opisywaną w komunikacie decyzją</w:t>
      </w:r>
      <w:r w:rsidRPr="00C76A49">
        <w:rPr>
          <w:spacing w:val="-6"/>
          <w:sz w:val="22"/>
        </w:rPr>
        <w:t xml:space="preserve"> wobec Getin</w:t>
      </w:r>
      <w:r w:rsidR="00C821BA">
        <w:rPr>
          <w:spacing w:val="-6"/>
          <w:sz w:val="22"/>
        </w:rPr>
        <w:t xml:space="preserve"> Noble Banku</w:t>
      </w:r>
      <w:r w:rsidRPr="00C76A49">
        <w:rPr>
          <w:spacing w:val="-6"/>
          <w:sz w:val="22"/>
        </w:rPr>
        <w:t>)</w:t>
      </w:r>
      <w:r w:rsidR="00733AE7">
        <w:rPr>
          <w:spacing w:val="-6"/>
          <w:sz w:val="22"/>
        </w:rPr>
        <w:t>:</w:t>
      </w:r>
    </w:p>
    <w:p w14:paraId="58E9673B" w14:textId="77777777" w:rsidR="00C76A49" w:rsidRPr="00C76A49" w:rsidRDefault="00C76A49" w:rsidP="00C76A49">
      <w:pPr>
        <w:numPr>
          <w:ilvl w:val="0"/>
          <w:numId w:val="19"/>
        </w:numPr>
        <w:spacing w:after="240" w:line="360" w:lineRule="auto"/>
        <w:jc w:val="both"/>
        <w:rPr>
          <w:spacing w:val="-6"/>
          <w:sz w:val="22"/>
        </w:rPr>
      </w:pPr>
      <w:r w:rsidRPr="00C76A49">
        <w:rPr>
          <w:spacing w:val="-6"/>
          <w:sz w:val="22"/>
        </w:rPr>
        <w:lastRenderedPageBreak/>
        <w:t xml:space="preserve">Luty 2019 r.: </w:t>
      </w:r>
      <w:hyperlink r:id="rId14" w:history="1">
        <w:r w:rsidRPr="00C76A49">
          <w:rPr>
            <w:rStyle w:val="Hipercze"/>
            <w:spacing w:val="-6"/>
            <w:sz w:val="22"/>
          </w:rPr>
          <w:t>ponad 2 mln zł kary dla Polskiego Domu Maklerskiego</w:t>
        </w:r>
      </w:hyperlink>
      <w:r w:rsidRPr="00C76A49">
        <w:rPr>
          <w:spacing w:val="-6"/>
          <w:sz w:val="22"/>
        </w:rPr>
        <w:t xml:space="preserve"> za klauzulę niedozwoloną stosowaną przy zapisie na obligacje korporacyjne GetBack, która mogła zniechęcić ich do dochodzenia roszczeń,</w:t>
      </w:r>
    </w:p>
    <w:p w14:paraId="0D2A3A79" w14:textId="77777777" w:rsidR="00C76A49" w:rsidRPr="00C76A49" w:rsidRDefault="00C76A49" w:rsidP="00C76A49">
      <w:pPr>
        <w:numPr>
          <w:ilvl w:val="0"/>
          <w:numId w:val="19"/>
        </w:numPr>
        <w:spacing w:after="240" w:line="360" w:lineRule="auto"/>
        <w:jc w:val="both"/>
        <w:rPr>
          <w:spacing w:val="-6"/>
          <w:sz w:val="22"/>
        </w:rPr>
      </w:pPr>
      <w:r w:rsidRPr="00C76A49">
        <w:rPr>
          <w:spacing w:val="-6"/>
          <w:sz w:val="22"/>
        </w:rPr>
        <w:t xml:space="preserve">Sierpień 2019 r.: </w:t>
      </w:r>
      <w:hyperlink r:id="rId15" w:history="1">
        <w:r w:rsidRPr="00C76A49">
          <w:rPr>
            <w:rStyle w:val="Hipercze"/>
            <w:spacing w:val="-6"/>
            <w:sz w:val="22"/>
          </w:rPr>
          <w:t>decyzja częściowa wobec Idea Banku</w:t>
        </w:r>
      </w:hyperlink>
      <w:r w:rsidRPr="00C76A49">
        <w:rPr>
          <w:spacing w:val="-6"/>
          <w:sz w:val="22"/>
        </w:rPr>
        <w:t xml:space="preserve"> – stwierdzenie wprowadzania </w:t>
      </w:r>
      <w:r w:rsidRPr="00C821BA">
        <w:rPr>
          <w:spacing w:val="-6"/>
          <w:sz w:val="22"/>
        </w:rPr>
        <w:t>konsumentów w błąd podczas oferowania obligacji GetBack,</w:t>
      </w:r>
    </w:p>
    <w:p w14:paraId="2811E6FC" w14:textId="77777777" w:rsidR="00C76A49" w:rsidRPr="00C76A49" w:rsidRDefault="00C76A49" w:rsidP="00C76A49">
      <w:pPr>
        <w:numPr>
          <w:ilvl w:val="0"/>
          <w:numId w:val="19"/>
        </w:numPr>
        <w:spacing w:after="240" w:line="360" w:lineRule="auto"/>
        <w:jc w:val="both"/>
        <w:rPr>
          <w:spacing w:val="-6"/>
          <w:sz w:val="22"/>
        </w:rPr>
      </w:pPr>
      <w:r w:rsidRPr="00C76A49">
        <w:rPr>
          <w:spacing w:val="-6"/>
          <w:sz w:val="22"/>
        </w:rPr>
        <w:t xml:space="preserve">Luty 2020 r.: </w:t>
      </w:r>
      <w:hyperlink r:id="rId16" w:history="1">
        <w:r w:rsidRPr="00C76A49">
          <w:rPr>
            <w:rStyle w:val="Hipercze"/>
            <w:spacing w:val="-6"/>
            <w:sz w:val="22"/>
          </w:rPr>
          <w:t>decyzja wobec Idea Banku</w:t>
        </w:r>
      </w:hyperlink>
      <w:r w:rsidRPr="00C76A49">
        <w:rPr>
          <w:spacing w:val="-6"/>
          <w:sz w:val="22"/>
        </w:rPr>
        <w:t xml:space="preserve"> - stwierdzenie </w:t>
      </w:r>
      <w:proofErr w:type="spellStart"/>
      <w:r w:rsidRPr="00C76A49">
        <w:rPr>
          <w:spacing w:val="-6"/>
          <w:sz w:val="22"/>
        </w:rPr>
        <w:t>missellingu</w:t>
      </w:r>
      <w:proofErr w:type="spellEnd"/>
      <w:r w:rsidRPr="00C76A49">
        <w:rPr>
          <w:spacing w:val="-6"/>
          <w:sz w:val="22"/>
        </w:rPr>
        <w:t xml:space="preserve"> podczas oferowania obligacji GetBack i nakaz wypłaty po 10 tys. zł rekompensaty dla konsumentów,</w:t>
      </w:r>
    </w:p>
    <w:p w14:paraId="51D71FC5" w14:textId="77777777" w:rsidR="00C76A49" w:rsidRPr="00C76A49" w:rsidRDefault="00C76A49" w:rsidP="00C76A49">
      <w:pPr>
        <w:numPr>
          <w:ilvl w:val="0"/>
          <w:numId w:val="19"/>
        </w:numPr>
        <w:spacing w:after="240" w:line="360" w:lineRule="auto"/>
        <w:jc w:val="both"/>
        <w:rPr>
          <w:spacing w:val="-6"/>
          <w:sz w:val="22"/>
        </w:rPr>
      </w:pPr>
      <w:r w:rsidRPr="00C76A49">
        <w:rPr>
          <w:spacing w:val="-6"/>
          <w:sz w:val="22"/>
        </w:rPr>
        <w:t xml:space="preserve">Kwiecień 2020 r.: </w:t>
      </w:r>
      <w:hyperlink r:id="rId17" w:history="1">
        <w:r w:rsidRPr="00C76A49">
          <w:rPr>
            <w:rStyle w:val="Hipercze"/>
            <w:spacing w:val="-6"/>
            <w:sz w:val="22"/>
          </w:rPr>
          <w:t>decyzja wobec spółki GetBack</w:t>
        </w:r>
      </w:hyperlink>
      <w:r w:rsidRPr="00C76A49">
        <w:rPr>
          <w:spacing w:val="-6"/>
          <w:sz w:val="22"/>
        </w:rPr>
        <w:t xml:space="preserve"> – stwierdzenie wprowadzania przez nią konsumentów w błąd podczas oferowania obligacji korporacyjnych,</w:t>
      </w:r>
    </w:p>
    <w:p w14:paraId="44EABAAF" w14:textId="77777777" w:rsidR="00C76A49" w:rsidRPr="00C76A49" w:rsidRDefault="00C76A49" w:rsidP="00C76A49">
      <w:pPr>
        <w:numPr>
          <w:ilvl w:val="0"/>
          <w:numId w:val="19"/>
        </w:numPr>
        <w:spacing w:after="240" w:line="360" w:lineRule="auto"/>
        <w:jc w:val="both"/>
        <w:rPr>
          <w:spacing w:val="-6"/>
          <w:sz w:val="22"/>
        </w:rPr>
      </w:pPr>
      <w:r w:rsidRPr="00C76A49">
        <w:rPr>
          <w:spacing w:val="-6"/>
          <w:sz w:val="22"/>
        </w:rPr>
        <w:t xml:space="preserve">Lipiec 2020 r.: stwierdzenie nieuczciwych praktyk podczas </w:t>
      </w:r>
      <w:hyperlink r:id="rId18" w:history="1">
        <w:r w:rsidRPr="00C76A49">
          <w:rPr>
            <w:rStyle w:val="Hipercze"/>
            <w:spacing w:val="-6"/>
            <w:sz w:val="22"/>
          </w:rPr>
          <w:t xml:space="preserve">oferowania przez Idea Bank certyfikatów inwestycyjnych funduszy </w:t>
        </w:r>
        <w:proofErr w:type="spellStart"/>
        <w:r w:rsidRPr="00C76A49">
          <w:rPr>
            <w:rStyle w:val="Hipercze"/>
            <w:spacing w:val="-6"/>
            <w:sz w:val="22"/>
          </w:rPr>
          <w:t>Lartiq</w:t>
        </w:r>
        <w:proofErr w:type="spellEnd"/>
      </w:hyperlink>
      <w:r w:rsidRPr="00C76A49">
        <w:rPr>
          <w:spacing w:val="-6"/>
          <w:sz w:val="22"/>
          <w:u w:val="single"/>
        </w:rPr>
        <w:t xml:space="preserve"> </w:t>
      </w:r>
      <w:r w:rsidRPr="00C76A49">
        <w:rPr>
          <w:spacing w:val="-6"/>
          <w:sz w:val="22"/>
        </w:rPr>
        <w:t xml:space="preserve">(dawniej </w:t>
      </w:r>
      <w:proofErr w:type="spellStart"/>
      <w:r w:rsidRPr="00C76A49">
        <w:rPr>
          <w:spacing w:val="-6"/>
          <w:sz w:val="22"/>
        </w:rPr>
        <w:t>Trigon</w:t>
      </w:r>
      <w:proofErr w:type="spellEnd"/>
      <w:r w:rsidRPr="00C76A49">
        <w:rPr>
          <w:spacing w:val="-6"/>
          <w:sz w:val="22"/>
        </w:rPr>
        <w:t>) gwarantowanych przez spółkę GetBack i nakaz wypłaty po 38 tys. zł rekompensaty dla konsumentów,</w:t>
      </w:r>
    </w:p>
    <w:p w14:paraId="7C08978C" w14:textId="77777777" w:rsidR="00C76A49" w:rsidRPr="00C76A49" w:rsidRDefault="00C76A49" w:rsidP="00C76A49">
      <w:pPr>
        <w:numPr>
          <w:ilvl w:val="0"/>
          <w:numId w:val="19"/>
        </w:numPr>
        <w:spacing w:after="240" w:line="360" w:lineRule="auto"/>
        <w:jc w:val="both"/>
        <w:rPr>
          <w:spacing w:val="-6"/>
          <w:sz w:val="22"/>
        </w:rPr>
      </w:pPr>
      <w:r w:rsidRPr="00C76A49">
        <w:rPr>
          <w:spacing w:val="-6"/>
          <w:sz w:val="22"/>
        </w:rPr>
        <w:t xml:space="preserve">Lipiec 2020 r.: </w:t>
      </w:r>
      <w:hyperlink r:id="rId19" w:history="1">
        <w:r w:rsidRPr="00C76A49">
          <w:rPr>
            <w:rStyle w:val="Hipercze"/>
            <w:spacing w:val="-6"/>
            <w:sz w:val="22"/>
          </w:rPr>
          <w:t xml:space="preserve">7,2 mln zł kary dla spółki </w:t>
        </w:r>
        <w:proofErr w:type="spellStart"/>
        <w:r w:rsidRPr="00C76A49">
          <w:rPr>
            <w:rStyle w:val="Hipercze"/>
            <w:spacing w:val="-6"/>
            <w:sz w:val="22"/>
          </w:rPr>
          <w:t>Lartiq</w:t>
        </w:r>
        <w:proofErr w:type="spellEnd"/>
      </w:hyperlink>
      <w:r w:rsidRPr="00C76A49">
        <w:rPr>
          <w:spacing w:val="-6"/>
          <w:sz w:val="22"/>
        </w:rPr>
        <w:t xml:space="preserve"> (dawniej </w:t>
      </w:r>
      <w:proofErr w:type="spellStart"/>
      <w:r w:rsidRPr="00C76A49">
        <w:rPr>
          <w:spacing w:val="-6"/>
          <w:sz w:val="22"/>
        </w:rPr>
        <w:t>Trigon</w:t>
      </w:r>
      <w:proofErr w:type="spellEnd"/>
      <w:r w:rsidRPr="00C76A49">
        <w:rPr>
          <w:spacing w:val="-6"/>
          <w:sz w:val="22"/>
        </w:rPr>
        <w:t xml:space="preserve">) za wprowadzanie konsumentów w błąd przy oferowaniu fundusze inwestycyjne gwarantowanych przez GetBack. </w:t>
      </w:r>
    </w:p>
    <w:p w14:paraId="603A0B31" w14:textId="77777777" w:rsidR="00EC5514" w:rsidRPr="00A15662" w:rsidRDefault="00C32D3F" w:rsidP="00C76A49">
      <w:pPr>
        <w:spacing w:after="240" w:line="360" w:lineRule="auto"/>
        <w:jc w:val="both"/>
        <w:rPr>
          <w:spacing w:val="-6"/>
          <w:sz w:val="22"/>
        </w:rPr>
      </w:pPr>
      <w:r>
        <w:rPr>
          <w:spacing w:val="-6"/>
          <w:sz w:val="22"/>
        </w:rPr>
        <w:t>Ponadto UOKiK wspiera konsumentów w indywidualnych sprawach sądowych wydając istotne poglądy w spraw</w:t>
      </w:r>
      <w:r w:rsidR="00733AE7">
        <w:rPr>
          <w:spacing w:val="-6"/>
          <w:sz w:val="22"/>
        </w:rPr>
        <w:t>ach</w:t>
      </w:r>
      <w:r>
        <w:rPr>
          <w:spacing w:val="-6"/>
          <w:sz w:val="22"/>
        </w:rPr>
        <w:t xml:space="preserve"> związan</w:t>
      </w:r>
      <w:r w:rsidR="00733AE7">
        <w:rPr>
          <w:spacing w:val="-6"/>
          <w:sz w:val="22"/>
        </w:rPr>
        <w:t>ych</w:t>
      </w:r>
      <w:r>
        <w:rPr>
          <w:spacing w:val="-6"/>
          <w:sz w:val="22"/>
        </w:rPr>
        <w:t xml:space="preserve"> z nieprawidłowościami przy oferowaniu obligacji GetBack. </w:t>
      </w:r>
      <w:r w:rsidR="00733AE7" w:rsidRPr="00A15662">
        <w:rPr>
          <w:spacing w:val="-6"/>
          <w:sz w:val="22"/>
        </w:rPr>
        <w:t xml:space="preserve">Zachęcamy do </w:t>
      </w:r>
      <w:r w:rsidR="00A80455" w:rsidRPr="00A15662">
        <w:rPr>
          <w:spacing w:val="-6"/>
          <w:sz w:val="22"/>
        </w:rPr>
        <w:t xml:space="preserve">składania </w:t>
      </w:r>
      <w:r w:rsidR="00733AE7" w:rsidRPr="00A15662">
        <w:rPr>
          <w:spacing w:val="-6"/>
          <w:sz w:val="22"/>
        </w:rPr>
        <w:t>wniosk</w:t>
      </w:r>
      <w:r w:rsidR="00A80455" w:rsidRPr="00A15662">
        <w:rPr>
          <w:spacing w:val="-6"/>
          <w:sz w:val="22"/>
        </w:rPr>
        <w:t>ów</w:t>
      </w:r>
      <w:r w:rsidR="00733AE7" w:rsidRPr="00A15662">
        <w:rPr>
          <w:spacing w:val="-6"/>
          <w:sz w:val="22"/>
        </w:rPr>
        <w:t xml:space="preserve"> o uzyskanie istotnego poglądu w sprawie, stanowiącego wsparcie w dochodzeniu roszczeń cywilnych. </w:t>
      </w:r>
    </w:p>
    <w:p w14:paraId="7E9928EE" w14:textId="7C7644CB" w:rsidR="00315A03" w:rsidRPr="00A15662" w:rsidRDefault="00EC5514" w:rsidP="00C76A49">
      <w:pPr>
        <w:spacing w:after="240" w:line="360" w:lineRule="auto"/>
        <w:jc w:val="both"/>
        <w:rPr>
          <w:spacing w:val="-6"/>
          <w:sz w:val="22"/>
        </w:rPr>
      </w:pPr>
      <w:r w:rsidRPr="00A15662">
        <w:rPr>
          <w:b/>
          <w:sz w:val="22"/>
        </w:rPr>
        <w:t>Istotny pogląd w sprawie</w:t>
      </w:r>
      <w:r w:rsidRPr="00A15662">
        <w:rPr>
          <w:sz w:val="22"/>
        </w:rPr>
        <w:t xml:space="preserve"> to pisemne stanowisko Prezesa UOKiK, w którym urząd przedstawia argumenty i poglądy ważne dla danego sporu toczącego się przed sądem. </w:t>
      </w:r>
      <w:r w:rsidRPr="00A15662">
        <w:rPr>
          <w:bCs/>
          <w:sz w:val="22"/>
        </w:rPr>
        <w:t>Pogląd może dotyczyć dowolnej sprawy, w której stroną jest konsument.</w:t>
      </w:r>
    </w:p>
    <w:p w14:paraId="4309A437" w14:textId="2A3C058C" w:rsidR="00A80455" w:rsidRPr="00A15662" w:rsidRDefault="00A80455" w:rsidP="001951CB">
      <w:pPr>
        <w:spacing w:after="240" w:line="360" w:lineRule="auto"/>
        <w:jc w:val="both"/>
        <w:rPr>
          <w:sz w:val="22"/>
        </w:rPr>
      </w:pPr>
      <w:r w:rsidRPr="00A15662">
        <w:rPr>
          <w:sz w:val="22"/>
        </w:rPr>
        <w:t xml:space="preserve">O wydanie istotnego poglądu musisz wystąpić pisemnie do UOKiK. Nie zapomnij, aby: </w:t>
      </w:r>
    </w:p>
    <w:p w14:paraId="35AED215" w14:textId="31019BDA" w:rsidR="001951CB" w:rsidRPr="00A15662" w:rsidRDefault="00A80455" w:rsidP="001951CB">
      <w:pPr>
        <w:pStyle w:val="Akapitzlist"/>
        <w:numPr>
          <w:ilvl w:val="0"/>
          <w:numId w:val="22"/>
        </w:numPr>
        <w:spacing w:after="240" w:line="360" w:lineRule="auto"/>
        <w:jc w:val="both"/>
        <w:rPr>
          <w:spacing w:val="-6"/>
          <w:sz w:val="22"/>
        </w:rPr>
      </w:pPr>
      <w:r w:rsidRPr="00A15662">
        <w:rPr>
          <w:spacing w:val="-6"/>
          <w:sz w:val="22"/>
        </w:rPr>
        <w:t xml:space="preserve">Podać </w:t>
      </w:r>
      <w:r w:rsidR="001951CB" w:rsidRPr="00A15662">
        <w:rPr>
          <w:spacing w:val="-6"/>
          <w:sz w:val="22"/>
        </w:rPr>
        <w:t>informacje o stronach postępowania,</w:t>
      </w:r>
      <w:r w:rsidRPr="00A15662">
        <w:rPr>
          <w:spacing w:val="-6"/>
          <w:sz w:val="22"/>
        </w:rPr>
        <w:t xml:space="preserve"> </w:t>
      </w:r>
      <w:r w:rsidR="00EC5514" w:rsidRPr="00A15662">
        <w:rPr>
          <w:spacing w:val="-6"/>
          <w:sz w:val="22"/>
        </w:rPr>
        <w:t xml:space="preserve">sygnaturze sprawy, sądzie, który rozpatruje twoją sprawę oraz o </w:t>
      </w:r>
      <w:r w:rsidRPr="00A15662">
        <w:rPr>
          <w:spacing w:val="-6"/>
          <w:sz w:val="22"/>
        </w:rPr>
        <w:t xml:space="preserve">terminie rozprawy. </w:t>
      </w:r>
    </w:p>
    <w:p w14:paraId="4DC16E98" w14:textId="77777777" w:rsidR="00EC5514" w:rsidRPr="00A15662" w:rsidRDefault="00EC5514" w:rsidP="00EC5514">
      <w:pPr>
        <w:pStyle w:val="Akapitzlist"/>
        <w:numPr>
          <w:ilvl w:val="0"/>
          <w:numId w:val="22"/>
        </w:numPr>
        <w:spacing w:after="240" w:line="360" w:lineRule="auto"/>
        <w:jc w:val="both"/>
        <w:rPr>
          <w:spacing w:val="-6"/>
          <w:sz w:val="22"/>
        </w:rPr>
      </w:pPr>
      <w:r w:rsidRPr="00A15662">
        <w:rPr>
          <w:spacing w:val="-6"/>
          <w:sz w:val="22"/>
        </w:rPr>
        <w:t>Napisać, jakie kwestie powinny być przedmiotem analizy i opinii UOKiK.</w:t>
      </w:r>
    </w:p>
    <w:p w14:paraId="0EBE2F19" w14:textId="1077DB80" w:rsidR="001951CB" w:rsidRPr="00A15662" w:rsidRDefault="00A80455" w:rsidP="001951CB">
      <w:pPr>
        <w:pStyle w:val="Akapitzlist"/>
        <w:numPr>
          <w:ilvl w:val="0"/>
          <w:numId w:val="22"/>
        </w:numPr>
        <w:spacing w:after="240" w:line="360" w:lineRule="auto"/>
        <w:jc w:val="both"/>
        <w:rPr>
          <w:spacing w:val="-6"/>
          <w:sz w:val="22"/>
        </w:rPr>
      </w:pPr>
      <w:r w:rsidRPr="00A15662">
        <w:rPr>
          <w:spacing w:val="-6"/>
          <w:sz w:val="22"/>
        </w:rPr>
        <w:t xml:space="preserve">Dołączyć </w:t>
      </w:r>
      <w:r w:rsidR="001951CB" w:rsidRPr="00A15662">
        <w:rPr>
          <w:spacing w:val="-6"/>
          <w:sz w:val="22"/>
        </w:rPr>
        <w:t>wszystkie pisma złożone w toku postępowania</w:t>
      </w:r>
      <w:r w:rsidRPr="00A15662">
        <w:rPr>
          <w:spacing w:val="-6"/>
          <w:sz w:val="22"/>
        </w:rPr>
        <w:t xml:space="preserve"> np. </w:t>
      </w:r>
      <w:r w:rsidR="001951CB" w:rsidRPr="00A15662">
        <w:rPr>
          <w:spacing w:val="-6"/>
          <w:sz w:val="22"/>
        </w:rPr>
        <w:t>wyroki, postanowienia i zarządzenia wydane przez sądy</w:t>
      </w:r>
      <w:r w:rsidRPr="00A15662">
        <w:rPr>
          <w:spacing w:val="-6"/>
          <w:sz w:val="22"/>
        </w:rPr>
        <w:t>.</w:t>
      </w:r>
    </w:p>
    <w:p w14:paraId="6F8767A0" w14:textId="1CBC5B08" w:rsidR="00E85D94" w:rsidRPr="00A15662" w:rsidRDefault="00A80455" w:rsidP="00A80455">
      <w:pPr>
        <w:pStyle w:val="Akapitzlist"/>
        <w:numPr>
          <w:ilvl w:val="0"/>
          <w:numId w:val="22"/>
        </w:numPr>
        <w:spacing w:after="240" w:line="360" w:lineRule="auto"/>
        <w:jc w:val="both"/>
        <w:rPr>
          <w:spacing w:val="-6"/>
          <w:sz w:val="22"/>
        </w:rPr>
      </w:pPr>
      <w:r w:rsidRPr="00A15662">
        <w:rPr>
          <w:spacing w:val="-6"/>
          <w:sz w:val="22"/>
        </w:rPr>
        <w:lastRenderedPageBreak/>
        <w:t>Na bieżąco informuj UOKiK o aktualnym przebiegu postępowania – np. pismach procesowych, nowym terminie rozprawy.</w:t>
      </w:r>
    </w:p>
    <w:p w14:paraId="00FD10E3" w14:textId="5C901521" w:rsidR="00A80455" w:rsidRPr="00A80455" w:rsidRDefault="00A80455" w:rsidP="00A80455">
      <w:pPr>
        <w:spacing w:after="240" w:line="360" w:lineRule="auto"/>
        <w:jc w:val="both"/>
        <w:rPr>
          <w:rStyle w:val="Pogrubienie"/>
          <w:bCs w:val="0"/>
          <w:spacing w:val="-6"/>
          <w:sz w:val="22"/>
          <w:highlight w:val="yellow"/>
        </w:rPr>
      </w:pPr>
    </w:p>
    <w:p w14:paraId="72F7D4BF" w14:textId="32DD515F" w:rsidR="00017DFD" w:rsidRPr="005A6B17" w:rsidRDefault="00017DFD" w:rsidP="00B13AC4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28A9A6E3" w14:textId="4C275DBB" w:rsidR="00017DFD" w:rsidRPr="007143F0" w:rsidRDefault="00017DFD" w:rsidP="000210A1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20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21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Twoim mieście lub powiecie</w:t>
      </w:r>
      <w:r w:rsidR="009148E8">
        <w:rPr>
          <w:szCs w:val="18"/>
        </w:rPr>
        <w:br/>
      </w:r>
    </w:p>
    <w:sectPr w:rsidR="00017DFD" w:rsidRPr="007143F0" w:rsidSect="00240013">
      <w:headerReference w:type="default" r:id="rId22"/>
      <w:footerReference w:type="default" r:id="rId23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E9AC4" w14:textId="77777777" w:rsidR="00416F46" w:rsidRDefault="00416F46">
      <w:r>
        <w:separator/>
      </w:r>
    </w:p>
  </w:endnote>
  <w:endnote w:type="continuationSeparator" w:id="0">
    <w:p w14:paraId="5567E938" w14:textId="77777777" w:rsidR="00416F46" w:rsidRDefault="0041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74D91" w14:textId="77777777" w:rsidR="0059016B" w:rsidRPr="00924ABC" w:rsidRDefault="003A6AE7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472462DC" wp14:editId="59F17EA4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9525" b="9525"/>
          <wp:wrapNone/>
          <wp:docPr id="4" name="Obraz 4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olia_640439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209448EC" wp14:editId="73BE5C6C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33C8F4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<w:pict>
            <v:shapetype w14:anchorId="209448E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7333C8F4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ECA181" wp14:editId="58FCBEE2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<w:pict>
            <v:line w14:anchorId="304BE6C6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14:paraId="5B47802D" w14:textId="77777777" w:rsidR="0059016B" w:rsidRPr="00A53423" w:rsidRDefault="001A539E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Departament Komunikacji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="00C21071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r w:rsidR="00C21071"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E485E" w14:textId="77777777" w:rsidR="00416F46" w:rsidRDefault="00416F46">
      <w:r>
        <w:separator/>
      </w:r>
    </w:p>
  </w:footnote>
  <w:footnote w:type="continuationSeparator" w:id="0">
    <w:p w14:paraId="70726B88" w14:textId="77777777" w:rsidR="00416F46" w:rsidRDefault="00416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88A0A" w14:textId="77777777" w:rsidR="0059016B" w:rsidRDefault="003A6AE7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0DDE5B17" wp14:editId="265933C9">
          <wp:simplePos x="0" y="0"/>
          <wp:positionH relativeFrom="column">
            <wp:posOffset>-4445</wp:posOffset>
          </wp:positionH>
          <wp:positionV relativeFrom="paragraph">
            <wp:posOffset>-219075</wp:posOffset>
          </wp:positionV>
          <wp:extent cx="3627755" cy="882650"/>
          <wp:effectExtent l="0" t="0" r="0" b="0"/>
          <wp:wrapNone/>
          <wp:docPr id="5" name="Obraz 5" descr="stopka 30-le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 30-le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755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B1D8C"/>
    <w:multiLevelType w:val="hybridMultilevel"/>
    <w:tmpl w:val="778CA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55325"/>
    <w:multiLevelType w:val="hybridMultilevel"/>
    <w:tmpl w:val="1982E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510E6A"/>
    <w:multiLevelType w:val="hybridMultilevel"/>
    <w:tmpl w:val="E1A4E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A73D1"/>
    <w:multiLevelType w:val="hybridMultilevel"/>
    <w:tmpl w:val="B7745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C7F43"/>
    <w:multiLevelType w:val="hybridMultilevel"/>
    <w:tmpl w:val="24CE6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923BD"/>
    <w:multiLevelType w:val="hybridMultilevel"/>
    <w:tmpl w:val="9ABA7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15394E"/>
    <w:multiLevelType w:val="hybridMultilevel"/>
    <w:tmpl w:val="31781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74042C"/>
    <w:multiLevelType w:val="hybridMultilevel"/>
    <w:tmpl w:val="6CF44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2D38F0"/>
    <w:multiLevelType w:val="hybridMultilevel"/>
    <w:tmpl w:val="06F64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5268E1"/>
    <w:multiLevelType w:val="multilevel"/>
    <w:tmpl w:val="7684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250805"/>
    <w:multiLevelType w:val="hybridMultilevel"/>
    <w:tmpl w:val="75D4B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0735A"/>
    <w:multiLevelType w:val="hybridMultilevel"/>
    <w:tmpl w:val="671AE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09396A"/>
    <w:multiLevelType w:val="hybridMultilevel"/>
    <w:tmpl w:val="8EE202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CB2947"/>
    <w:multiLevelType w:val="hybridMultilevel"/>
    <w:tmpl w:val="7A209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ADD4D57"/>
    <w:multiLevelType w:val="hybridMultilevel"/>
    <w:tmpl w:val="9ED86C34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1">
    <w:nsid w:val="7F2C052F"/>
    <w:multiLevelType w:val="hybridMultilevel"/>
    <w:tmpl w:val="F7809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8"/>
  </w:num>
  <w:num w:numId="5">
    <w:abstractNumId w:val="6"/>
  </w:num>
  <w:num w:numId="6">
    <w:abstractNumId w:val="11"/>
  </w:num>
  <w:num w:numId="7">
    <w:abstractNumId w:val="19"/>
  </w:num>
  <w:num w:numId="8">
    <w:abstractNumId w:val="9"/>
  </w:num>
  <w:num w:numId="9">
    <w:abstractNumId w:val="4"/>
  </w:num>
  <w:num w:numId="10">
    <w:abstractNumId w:val="7"/>
  </w:num>
  <w:num w:numId="11">
    <w:abstractNumId w:val="0"/>
  </w:num>
  <w:num w:numId="12">
    <w:abstractNumId w:val="3"/>
  </w:num>
  <w:num w:numId="13">
    <w:abstractNumId w:val="16"/>
  </w:num>
  <w:num w:numId="14">
    <w:abstractNumId w:val="5"/>
  </w:num>
  <w:num w:numId="15">
    <w:abstractNumId w:val="12"/>
  </w:num>
  <w:num w:numId="16">
    <w:abstractNumId w:val="20"/>
  </w:num>
  <w:num w:numId="17">
    <w:abstractNumId w:val="21"/>
  </w:num>
  <w:num w:numId="18">
    <w:abstractNumId w:val="1"/>
  </w:num>
  <w:num w:numId="19">
    <w:abstractNumId w:val="17"/>
  </w:num>
  <w:num w:numId="20">
    <w:abstractNumId w:val="15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0B70"/>
    <w:rsid w:val="00001546"/>
    <w:rsid w:val="00001FD4"/>
    <w:rsid w:val="00002B02"/>
    <w:rsid w:val="00002C19"/>
    <w:rsid w:val="00004643"/>
    <w:rsid w:val="0000713A"/>
    <w:rsid w:val="00007E00"/>
    <w:rsid w:val="00011AF2"/>
    <w:rsid w:val="00013618"/>
    <w:rsid w:val="000138FB"/>
    <w:rsid w:val="0001422F"/>
    <w:rsid w:val="00017DFD"/>
    <w:rsid w:val="000210A1"/>
    <w:rsid w:val="00022CA7"/>
    <w:rsid w:val="00023634"/>
    <w:rsid w:val="000240FB"/>
    <w:rsid w:val="00042F96"/>
    <w:rsid w:val="0005548F"/>
    <w:rsid w:val="000559B3"/>
    <w:rsid w:val="000651E9"/>
    <w:rsid w:val="00073AA7"/>
    <w:rsid w:val="000902E0"/>
    <w:rsid w:val="00094E8F"/>
    <w:rsid w:val="000A1490"/>
    <w:rsid w:val="000A74FA"/>
    <w:rsid w:val="000B149D"/>
    <w:rsid w:val="000B1AC5"/>
    <w:rsid w:val="000B7247"/>
    <w:rsid w:val="000C0C52"/>
    <w:rsid w:val="000C3FB7"/>
    <w:rsid w:val="000C62DB"/>
    <w:rsid w:val="000D4CEB"/>
    <w:rsid w:val="000E44B0"/>
    <w:rsid w:val="000F30C4"/>
    <w:rsid w:val="00100BCA"/>
    <w:rsid w:val="00101019"/>
    <w:rsid w:val="0010559C"/>
    <w:rsid w:val="00107844"/>
    <w:rsid w:val="00120FBD"/>
    <w:rsid w:val="0012424D"/>
    <w:rsid w:val="00127B3E"/>
    <w:rsid w:val="0013159A"/>
    <w:rsid w:val="00131BE2"/>
    <w:rsid w:val="00135049"/>
    <w:rsid w:val="001352AE"/>
    <w:rsid w:val="00135455"/>
    <w:rsid w:val="001361B6"/>
    <w:rsid w:val="00136EE9"/>
    <w:rsid w:val="00140162"/>
    <w:rsid w:val="00143310"/>
    <w:rsid w:val="00144E9C"/>
    <w:rsid w:val="00161094"/>
    <w:rsid w:val="00163DF9"/>
    <w:rsid w:val="001666D6"/>
    <w:rsid w:val="00166B5D"/>
    <w:rsid w:val="001675EF"/>
    <w:rsid w:val="0017028A"/>
    <w:rsid w:val="0017249A"/>
    <w:rsid w:val="001824A2"/>
    <w:rsid w:val="0018660A"/>
    <w:rsid w:val="00190D5A"/>
    <w:rsid w:val="001951CB"/>
    <w:rsid w:val="001962F1"/>
    <w:rsid w:val="001979B5"/>
    <w:rsid w:val="001A26F0"/>
    <w:rsid w:val="001A539E"/>
    <w:rsid w:val="001A5F7C"/>
    <w:rsid w:val="001A6477"/>
    <w:rsid w:val="001A673A"/>
    <w:rsid w:val="001A6E5B"/>
    <w:rsid w:val="001A7451"/>
    <w:rsid w:val="001C1FAD"/>
    <w:rsid w:val="001C753C"/>
    <w:rsid w:val="001D6AD0"/>
    <w:rsid w:val="001E13B7"/>
    <w:rsid w:val="001E188E"/>
    <w:rsid w:val="001E36CA"/>
    <w:rsid w:val="001E4F92"/>
    <w:rsid w:val="001E51AE"/>
    <w:rsid w:val="001F34B6"/>
    <w:rsid w:val="001F4A73"/>
    <w:rsid w:val="001F5873"/>
    <w:rsid w:val="001F6F36"/>
    <w:rsid w:val="001F7256"/>
    <w:rsid w:val="00205580"/>
    <w:rsid w:val="002106E1"/>
    <w:rsid w:val="002157BB"/>
    <w:rsid w:val="00216590"/>
    <w:rsid w:val="002214C3"/>
    <w:rsid w:val="00221B06"/>
    <w:rsid w:val="00223F9B"/>
    <w:rsid w:val="002262B5"/>
    <w:rsid w:val="00227CF3"/>
    <w:rsid w:val="0023138D"/>
    <w:rsid w:val="002355F7"/>
    <w:rsid w:val="00236E7B"/>
    <w:rsid w:val="00240013"/>
    <w:rsid w:val="00240B40"/>
    <w:rsid w:val="0024118E"/>
    <w:rsid w:val="00241BAC"/>
    <w:rsid w:val="0025195E"/>
    <w:rsid w:val="00260382"/>
    <w:rsid w:val="00263314"/>
    <w:rsid w:val="00263D74"/>
    <w:rsid w:val="00265965"/>
    <w:rsid w:val="00266700"/>
    <w:rsid w:val="00266CB4"/>
    <w:rsid w:val="00267068"/>
    <w:rsid w:val="00267DD1"/>
    <w:rsid w:val="00270C66"/>
    <w:rsid w:val="00271B36"/>
    <w:rsid w:val="00272791"/>
    <w:rsid w:val="00274D40"/>
    <w:rsid w:val="002801AA"/>
    <w:rsid w:val="0029462D"/>
    <w:rsid w:val="00295B34"/>
    <w:rsid w:val="002A5D69"/>
    <w:rsid w:val="002B1DBF"/>
    <w:rsid w:val="002C0719"/>
    <w:rsid w:val="002C0D5D"/>
    <w:rsid w:val="002C692D"/>
    <w:rsid w:val="002C6ABE"/>
    <w:rsid w:val="002D3121"/>
    <w:rsid w:val="002E388C"/>
    <w:rsid w:val="002E5FBF"/>
    <w:rsid w:val="002F1BF3"/>
    <w:rsid w:val="002F4D43"/>
    <w:rsid w:val="00300D8B"/>
    <w:rsid w:val="00302565"/>
    <w:rsid w:val="003056C6"/>
    <w:rsid w:val="0030680F"/>
    <w:rsid w:val="00307449"/>
    <w:rsid w:val="0031147E"/>
    <w:rsid w:val="00311B14"/>
    <w:rsid w:val="003155E3"/>
    <w:rsid w:val="00315A03"/>
    <w:rsid w:val="00324306"/>
    <w:rsid w:val="003243C0"/>
    <w:rsid w:val="003278D6"/>
    <w:rsid w:val="003303F0"/>
    <w:rsid w:val="003329C1"/>
    <w:rsid w:val="00333ABA"/>
    <w:rsid w:val="00336AA2"/>
    <w:rsid w:val="0034059B"/>
    <w:rsid w:val="00343B6A"/>
    <w:rsid w:val="00344636"/>
    <w:rsid w:val="0035019C"/>
    <w:rsid w:val="00352195"/>
    <w:rsid w:val="00354F51"/>
    <w:rsid w:val="00360248"/>
    <w:rsid w:val="00366A46"/>
    <w:rsid w:val="00367F4B"/>
    <w:rsid w:val="00371A1A"/>
    <w:rsid w:val="00373639"/>
    <w:rsid w:val="0037554B"/>
    <w:rsid w:val="00375BD5"/>
    <w:rsid w:val="00377A0D"/>
    <w:rsid w:val="0038677D"/>
    <w:rsid w:val="00391BAB"/>
    <w:rsid w:val="003A6AE7"/>
    <w:rsid w:val="003B246A"/>
    <w:rsid w:val="003B4A12"/>
    <w:rsid w:val="003B585F"/>
    <w:rsid w:val="003B701E"/>
    <w:rsid w:val="003C4EEE"/>
    <w:rsid w:val="003C6BB3"/>
    <w:rsid w:val="003C6CDE"/>
    <w:rsid w:val="003D3FF4"/>
    <w:rsid w:val="003D56A3"/>
    <w:rsid w:val="003D7161"/>
    <w:rsid w:val="003E3F9D"/>
    <w:rsid w:val="003E69E5"/>
    <w:rsid w:val="003F1CE6"/>
    <w:rsid w:val="00406AFA"/>
    <w:rsid w:val="0040748E"/>
    <w:rsid w:val="00412206"/>
    <w:rsid w:val="00416F46"/>
    <w:rsid w:val="00427E08"/>
    <w:rsid w:val="004349BA"/>
    <w:rsid w:val="0043575C"/>
    <w:rsid w:val="004365C7"/>
    <w:rsid w:val="004425B7"/>
    <w:rsid w:val="00444A85"/>
    <w:rsid w:val="0044781E"/>
    <w:rsid w:val="00453EB3"/>
    <w:rsid w:val="00453EE3"/>
    <w:rsid w:val="00462CFA"/>
    <w:rsid w:val="004701B6"/>
    <w:rsid w:val="00474C59"/>
    <w:rsid w:val="00475CFE"/>
    <w:rsid w:val="00480624"/>
    <w:rsid w:val="0048254D"/>
    <w:rsid w:val="00483965"/>
    <w:rsid w:val="00486590"/>
    <w:rsid w:val="00486DB1"/>
    <w:rsid w:val="00493E10"/>
    <w:rsid w:val="00495BEC"/>
    <w:rsid w:val="004972E8"/>
    <w:rsid w:val="004A1F49"/>
    <w:rsid w:val="004A7FF3"/>
    <w:rsid w:val="004B2202"/>
    <w:rsid w:val="004B2C1C"/>
    <w:rsid w:val="004C0F9E"/>
    <w:rsid w:val="004C1243"/>
    <w:rsid w:val="004C1297"/>
    <w:rsid w:val="004C4F39"/>
    <w:rsid w:val="004C5C26"/>
    <w:rsid w:val="004D2516"/>
    <w:rsid w:val="004F0F83"/>
    <w:rsid w:val="004F1133"/>
    <w:rsid w:val="004F45BB"/>
    <w:rsid w:val="004F7E99"/>
    <w:rsid w:val="005003F9"/>
    <w:rsid w:val="005018FC"/>
    <w:rsid w:val="0050417B"/>
    <w:rsid w:val="005064A7"/>
    <w:rsid w:val="0050687F"/>
    <w:rsid w:val="005070C8"/>
    <w:rsid w:val="00511EFF"/>
    <w:rsid w:val="005133CE"/>
    <w:rsid w:val="00516037"/>
    <w:rsid w:val="00521BA3"/>
    <w:rsid w:val="00523E0D"/>
    <w:rsid w:val="00525588"/>
    <w:rsid w:val="0052710E"/>
    <w:rsid w:val="00527ED5"/>
    <w:rsid w:val="0054042C"/>
    <w:rsid w:val="0054071B"/>
    <w:rsid w:val="00540E7F"/>
    <w:rsid w:val="005425F5"/>
    <w:rsid w:val="00543E6B"/>
    <w:rsid w:val="005442FC"/>
    <w:rsid w:val="005520BF"/>
    <w:rsid w:val="00554F54"/>
    <w:rsid w:val="00556250"/>
    <w:rsid w:val="0055631D"/>
    <w:rsid w:val="00564397"/>
    <w:rsid w:val="00566D24"/>
    <w:rsid w:val="00571554"/>
    <w:rsid w:val="00585E2C"/>
    <w:rsid w:val="00593935"/>
    <w:rsid w:val="005973FD"/>
    <w:rsid w:val="00597C68"/>
    <w:rsid w:val="005A382B"/>
    <w:rsid w:val="005A4047"/>
    <w:rsid w:val="005A4A7F"/>
    <w:rsid w:val="005B0FE0"/>
    <w:rsid w:val="005B72CA"/>
    <w:rsid w:val="005C05E9"/>
    <w:rsid w:val="005C0D39"/>
    <w:rsid w:val="005C0D58"/>
    <w:rsid w:val="005C1829"/>
    <w:rsid w:val="005C6232"/>
    <w:rsid w:val="005C7541"/>
    <w:rsid w:val="005D2AF4"/>
    <w:rsid w:val="005D314F"/>
    <w:rsid w:val="005D4136"/>
    <w:rsid w:val="005D6F7A"/>
    <w:rsid w:val="005E14D5"/>
    <w:rsid w:val="005E3E65"/>
    <w:rsid w:val="005E6BBF"/>
    <w:rsid w:val="005E78EE"/>
    <w:rsid w:val="005F139F"/>
    <w:rsid w:val="005F1EBD"/>
    <w:rsid w:val="005F6634"/>
    <w:rsid w:val="005F687A"/>
    <w:rsid w:val="00603F54"/>
    <w:rsid w:val="006063D0"/>
    <w:rsid w:val="006070A7"/>
    <w:rsid w:val="00610C5D"/>
    <w:rsid w:val="00613AB8"/>
    <w:rsid w:val="00613C45"/>
    <w:rsid w:val="00620995"/>
    <w:rsid w:val="00624B7A"/>
    <w:rsid w:val="00632A44"/>
    <w:rsid w:val="00633D4E"/>
    <w:rsid w:val="0063526F"/>
    <w:rsid w:val="00636550"/>
    <w:rsid w:val="00637E86"/>
    <w:rsid w:val="006422DE"/>
    <w:rsid w:val="00643508"/>
    <w:rsid w:val="006439FA"/>
    <w:rsid w:val="006444E9"/>
    <w:rsid w:val="00647ADF"/>
    <w:rsid w:val="006508F1"/>
    <w:rsid w:val="00655E3B"/>
    <w:rsid w:val="00661557"/>
    <w:rsid w:val="00665A76"/>
    <w:rsid w:val="00672D0B"/>
    <w:rsid w:val="0067485D"/>
    <w:rsid w:val="00677669"/>
    <w:rsid w:val="00691031"/>
    <w:rsid w:val="00697068"/>
    <w:rsid w:val="006A164C"/>
    <w:rsid w:val="006A2065"/>
    <w:rsid w:val="006A3D88"/>
    <w:rsid w:val="006A4A7A"/>
    <w:rsid w:val="006A79B3"/>
    <w:rsid w:val="006B0848"/>
    <w:rsid w:val="006B4727"/>
    <w:rsid w:val="006B4768"/>
    <w:rsid w:val="006B733D"/>
    <w:rsid w:val="006B78E1"/>
    <w:rsid w:val="006C34AE"/>
    <w:rsid w:val="006C67AF"/>
    <w:rsid w:val="006D1463"/>
    <w:rsid w:val="006D3DC5"/>
    <w:rsid w:val="006E16AD"/>
    <w:rsid w:val="006F143B"/>
    <w:rsid w:val="007039EC"/>
    <w:rsid w:val="007041A5"/>
    <w:rsid w:val="0071572D"/>
    <w:rsid w:val="007157BA"/>
    <w:rsid w:val="007169F9"/>
    <w:rsid w:val="007174A6"/>
    <w:rsid w:val="007224B3"/>
    <w:rsid w:val="00723E50"/>
    <w:rsid w:val="00731303"/>
    <w:rsid w:val="007318C8"/>
    <w:rsid w:val="00733AE7"/>
    <w:rsid w:val="007402E0"/>
    <w:rsid w:val="00741CF8"/>
    <w:rsid w:val="00742DC1"/>
    <w:rsid w:val="0074489D"/>
    <w:rsid w:val="00747690"/>
    <w:rsid w:val="007514AD"/>
    <w:rsid w:val="0075524D"/>
    <w:rsid w:val="007560B0"/>
    <w:rsid w:val="00756CF2"/>
    <w:rsid w:val="007571D5"/>
    <w:rsid w:val="007625E0"/>
    <w:rsid w:val="007627D7"/>
    <w:rsid w:val="00776C4F"/>
    <w:rsid w:val="007774A8"/>
    <w:rsid w:val="007774C5"/>
    <w:rsid w:val="00782D7B"/>
    <w:rsid w:val="007838E4"/>
    <w:rsid w:val="007846DC"/>
    <w:rsid w:val="007905CB"/>
    <w:rsid w:val="00796040"/>
    <w:rsid w:val="007A0D5F"/>
    <w:rsid w:val="007A19D8"/>
    <w:rsid w:val="007B63C3"/>
    <w:rsid w:val="007B702F"/>
    <w:rsid w:val="007C2832"/>
    <w:rsid w:val="007D262B"/>
    <w:rsid w:val="007D63C2"/>
    <w:rsid w:val="007D6DD7"/>
    <w:rsid w:val="007E36E4"/>
    <w:rsid w:val="007E510B"/>
    <w:rsid w:val="007E518B"/>
    <w:rsid w:val="007E6AFC"/>
    <w:rsid w:val="007F0ACE"/>
    <w:rsid w:val="007F5527"/>
    <w:rsid w:val="00804024"/>
    <w:rsid w:val="00804895"/>
    <w:rsid w:val="00805648"/>
    <w:rsid w:val="00810014"/>
    <w:rsid w:val="0081062F"/>
    <w:rsid w:val="00811CF2"/>
    <w:rsid w:val="0081753E"/>
    <w:rsid w:val="0082130C"/>
    <w:rsid w:val="00824878"/>
    <w:rsid w:val="008250DA"/>
    <w:rsid w:val="00833413"/>
    <w:rsid w:val="00833592"/>
    <w:rsid w:val="0084587C"/>
    <w:rsid w:val="0085010E"/>
    <w:rsid w:val="0085454F"/>
    <w:rsid w:val="00856947"/>
    <w:rsid w:val="008615C1"/>
    <w:rsid w:val="00863986"/>
    <w:rsid w:val="00871DAB"/>
    <w:rsid w:val="0087354F"/>
    <w:rsid w:val="00877DF8"/>
    <w:rsid w:val="008802CC"/>
    <w:rsid w:val="00881036"/>
    <w:rsid w:val="00884B02"/>
    <w:rsid w:val="00896985"/>
    <w:rsid w:val="008A1A46"/>
    <w:rsid w:val="008A491E"/>
    <w:rsid w:val="008B2261"/>
    <w:rsid w:val="008B4E87"/>
    <w:rsid w:val="008B5706"/>
    <w:rsid w:val="008C46A3"/>
    <w:rsid w:val="008C53D0"/>
    <w:rsid w:val="008D4077"/>
    <w:rsid w:val="008D4490"/>
    <w:rsid w:val="008D527A"/>
    <w:rsid w:val="008D56DA"/>
    <w:rsid w:val="008D5771"/>
    <w:rsid w:val="008E68CF"/>
    <w:rsid w:val="008F13E1"/>
    <w:rsid w:val="008F472E"/>
    <w:rsid w:val="008F5A63"/>
    <w:rsid w:val="00902556"/>
    <w:rsid w:val="0090338C"/>
    <w:rsid w:val="00904847"/>
    <w:rsid w:val="00904D57"/>
    <w:rsid w:val="00910321"/>
    <w:rsid w:val="0091048E"/>
    <w:rsid w:val="00912783"/>
    <w:rsid w:val="009148E8"/>
    <w:rsid w:val="00922BEC"/>
    <w:rsid w:val="00924ABC"/>
    <w:rsid w:val="00930F2D"/>
    <w:rsid w:val="00940E8F"/>
    <w:rsid w:val="0095309C"/>
    <w:rsid w:val="009652F2"/>
    <w:rsid w:val="00965BB5"/>
    <w:rsid w:val="0096777F"/>
    <w:rsid w:val="009711C2"/>
    <w:rsid w:val="009719ED"/>
    <w:rsid w:val="00980BE2"/>
    <w:rsid w:val="009869B1"/>
    <w:rsid w:val="00986C37"/>
    <w:rsid w:val="0098759F"/>
    <w:rsid w:val="009928E2"/>
    <w:rsid w:val="00996885"/>
    <w:rsid w:val="00997528"/>
    <w:rsid w:val="0099796A"/>
    <w:rsid w:val="009B72C9"/>
    <w:rsid w:val="009C1346"/>
    <w:rsid w:val="009D05C8"/>
    <w:rsid w:val="009D0EE5"/>
    <w:rsid w:val="009D7423"/>
    <w:rsid w:val="009D77D1"/>
    <w:rsid w:val="009E07FF"/>
    <w:rsid w:val="009E198C"/>
    <w:rsid w:val="009E381C"/>
    <w:rsid w:val="009E3C0B"/>
    <w:rsid w:val="009E6A75"/>
    <w:rsid w:val="009F42C5"/>
    <w:rsid w:val="009F4433"/>
    <w:rsid w:val="009F7039"/>
    <w:rsid w:val="00A003DE"/>
    <w:rsid w:val="00A13244"/>
    <w:rsid w:val="00A15662"/>
    <w:rsid w:val="00A239AA"/>
    <w:rsid w:val="00A338F7"/>
    <w:rsid w:val="00A40FC3"/>
    <w:rsid w:val="00A439E8"/>
    <w:rsid w:val="00A45753"/>
    <w:rsid w:val="00A53423"/>
    <w:rsid w:val="00A57FFE"/>
    <w:rsid w:val="00A62659"/>
    <w:rsid w:val="00A62AA7"/>
    <w:rsid w:val="00A65F20"/>
    <w:rsid w:val="00A71D2D"/>
    <w:rsid w:val="00A72E56"/>
    <w:rsid w:val="00A76293"/>
    <w:rsid w:val="00A77DA2"/>
    <w:rsid w:val="00A80455"/>
    <w:rsid w:val="00A8267F"/>
    <w:rsid w:val="00A85D9D"/>
    <w:rsid w:val="00A92C4C"/>
    <w:rsid w:val="00AA52FD"/>
    <w:rsid w:val="00AA602D"/>
    <w:rsid w:val="00AB4B66"/>
    <w:rsid w:val="00AB572D"/>
    <w:rsid w:val="00AD776E"/>
    <w:rsid w:val="00AE212B"/>
    <w:rsid w:val="00AE2923"/>
    <w:rsid w:val="00AE56F2"/>
    <w:rsid w:val="00AE7F9D"/>
    <w:rsid w:val="00AF3801"/>
    <w:rsid w:val="00AF3B5D"/>
    <w:rsid w:val="00B028F7"/>
    <w:rsid w:val="00B05AA3"/>
    <w:rsid w:val="00B103AB"/>
    <w:rsid w:val="00B13AC4"/>
    <w:rsid w:val="00B14FBF"/>
    <w:rsid w:val="00B17495"/>
    <w:rsid w:val="00B209C1"/>
    <w:rsid w:val="00B22863"/>
    <w:rsid w:val="00B245CC"/>
    <w:rsid w:val="00B25A55"/>
    <w:rsid w:val="00B41502"/>
    <w:rsid w:val="00B44DB6"/>
    <w:rsid w:val="00B45D1F"/>
    <w:rsid w:val="00B51024"/>
    <w:rsid w:val="00B60CD8"/>
    <w:rsid w:val="00B60F9C"/>
    <w:rsid w:val="00B6259B"/>
    <w:rsid w:val="00B63B2D"/>
    <w:rsid w:val="00B6687B"/>
    <w:rsid w:val="00B6769E"/>
    <w:rsid w:val="00B73807"/>
    <w:rsid w:val="00B73F22"/>
    <w:rsid w:val="00B76E5C"/>
    <w:rsid w:val="00B76F9A"/>
    <w:rsid w:val="00B810B2"/>
    <w:rsid w:val="00B8407A"/>
    <w:rsid w:val="00B87462"/>
    <w:rsid w:val="00B91CB8"/>
    <w:rsid w:val="00B91E86"/>
    <w:rsid w:val="00B94E48"/>
    <w:rsid w:val="00BA03F4"/>
    <w:rsid w:val="00BA17FC"/>
    <w:rsid w:val="00BA26F7"/>
    <w:rsid w:val="00BA79F0"/>
    <w:rsid w:val="00BB5068"/>
    <w:rsid w:val="00BB7AE8"/>
    <w:rsid w:val="00BC38B2"/>
    <w:rsid w:val="00BC692B"/>
    <w:rsid w:val="00BD0205"/>
    <w:rsid w:val="00BD0395"/>
    <w:rsid w:val="00BD0481"/>
    <w:rsid w:val="00BD1D43"/>
    <w:rsid w:val="00BD2288"/>
    <w:rsid w:val="00BD4447"/>
    <w:rsid w:val="00BD4CB2"/>
    <w:rsid w:val="00BD7143"/>
    <w:rsid w:val="00BE2623"/>
    <w:rsid w:val="00BE3923"/>
    <w:rsid w:val="00BE3E2C"/>
    <w:rsid w:val="00BE4BF0"/>
    <w:rsid w:val="00BE5EE5"/>
    <w:rsid w:val="00BE68EE"/>
    <w:rsid w:val="00BE7BE3"/>
    <w:rsid w:val="00BE7F63"/>
    <w:rsid w:val="00BF45FB"/>
    <w:rsid w:val="00C00DCD"/>
    <w:rsid w:val="00C02855"/>
    <w:rsid w:val="00C123B1"/>
    <w:rsid w:val="00C208EB"/>
    <w:rsid w:val="00C21071"/>
    <w:rsid w:val="00C2398C"/>
    <w:rsid w:val="00C25569"/>
    <w:rsid w:val="00C27366"/>
    <w:rsid w:val="00C32D3F"/>
    <w:rsid w:val="00C37D59"/>
    <w:rsid w:val="00C418C5"/>
    <w:rsid w:val="00C42E09"/>
    <w:rsid w:val="00C44768"/>
    <w:rsid w:val="00C466D3"/>
    <w:rsid w:val="00C47E3A"/>
    <w:rsid w:val="00C528F7"/>
    <w:rsid w:val="00C5628F"/>
    <w:rsid w:val="00C575B5"/>
    <w:rsid w:val="00C63AA8"/>
    <w:rsid w:val="00C76A49"/>
    <w:rsid w:val="00C7783C"/>
    <w:rsid w:val="00C818E4"/>
    <w:rsid w:val="00C821BA"/>
    <w:rsid w:val="00C86B6C"/>
    <w:rsid w:val="00C94398"/>
    <w:rsid w:val="00C9653D"/>
    <w:rsid w:val="00CA672B"/>
    <w:rsid w:val="00CA6B58"/>
    <w:rsid w:val="00CB1AE6"/>
    <w:rsid w:val="00CB3637"/>
    <w:rsid w:val="00CB3ED4"/>
    <w:rsid w:val="00CB3F86"/>
    <w:rsid w:val="00CB61DF"/>
    <w:rsid w:val="00CB7F4D"/>
    <w:rsid w:val="00CC20CC"/>
    <w:rsid w:val="00CD2A8D"/>
    <w:rsid w:val="00CD34F0"/>
    <w:rsid w:val="00CD5E6B"/>
    <w:rsid w:val="00CE0954"/>
    <w:rsid w:val="00CF11F7"/>
    <w:rsid w:val="00D12D89"/>
    <w:rsid w:val="00D1323F"/>
    <w:rsid w:val="00D202BA"/>
    <w:rsid w:val="00D22DAF"/>
    <w:rsid w:val="00D251AC"/>
    <w:rsid w:val="00D26B5F"/>
    <w:rsid w:val="00D31B4F"/>
    <w:rsid w:val="00D31F01"/>
    <w:rsid w:val="00D35C57"/>
    <w:rsid w:val="00D43766"/>
    <w:rsid w:val="00D47CCF"/>
    <w:rsid w:val="00D57A1D"/>
    <w:rsid w:val="00D6457B"/>
    <w:rsid w:val="00D65756"/>
    <w:rsid w:val="00D66DEC"/>
    <w:rsid w:val="00D71A41"/>
    <w:rsid w:val="00D72622"/>
    <w:rsid w:val="00D741EB"/>
    <w:rsid w:val="00D768A4"/>
    <w:rsid w:val="00D92F52"/>
    <w:rsid w:val="00D94764"/>
    <w:rsid w:val="00D9570B"/>
    <w:rsid w:val="00DA753F"/>
    <w:rsid w:val="00DB282E"/>
    <w:rsid w:val="00DB3124"/>
    <w:rsid w:val="00DB5150"/>
    <w:rsid w:val="00DC182C"/>
    <w:rsid w:val="00DC28D3"/>
    <w:rsid w:val="00DC5754"/>
    <w:rsid w:val="00DC59B5"/>
    <w:rsid w:val="00DD13CE"/>
    <w:rsid w:val="00DD34A3"/>
    <w:rsid w:val="00DD3EB2"/>
    <w:rsid w:val="00DD4924"/>
    <w:rsid w:val="00DD5641"/>
    <w:rsid w:val="00DD6056"/>
    <w:rsid w:val="00DE10F4"/>
    <w:rsid w:val="00DE74AA"/>
    <w:rsid w:val="00DE7C6A"/>
    <w:rsid w:val="00DF2857"/>
    <w:rsid w:val="00DF782B"/>
    <w:rsid w:val="00E00E12"/>
    <w:rsid w:val="00E020FA"/>
    <w:rsid w:val="00E03AEF"/>
    <w:rsid w:val="00E102DE"/>
    <w:rsid w:val="00E148B5"/>
    <w:rsid w:val="00E17DFC"/>
    <w:rsid w:val="00E24825"/>
    <w:rsid w:val="00E376CB"/>
    <w:rsid w:val="00E42093"/>
    <w:rsid w:val="00E46753"/>
    <w:rsid w:val="00E522AD"/>
    <w:rsid w:val="00E5252C"/>
    <w:rsid w:val="00E64103"/>
    <w:rsid w:val="00E705E6"/>
    <w:rsid w:val="00E71304"/>
    <w:rsid w:val="00E735C7"/>
    <w:rsid w:val="00E76CD1"/>
    <w:rsid w:val="00E85D94"/>
    <w:rsid w:val="00E969ED"/>
    <w:rsid w:val="00EA4751"/>
    <w:rsid w:val="00EA6FE0"/>
    <w:rsid w:val="00EB2192"/>
    <w:rsid w:val="00EB7D7B"/>
    <w:rsid w:val="00EC127D"/>
    <w:rsid w:val="00EC1EA3"/>
    <w:rsid w:val="00EC5514"/>
    <w:rsid w:val="00EC58EC"/>
    <w:rsid w:val="00EC624D"/>
    <w:rsid w:val="00ED38DF"/>
    <w:rsid w:val="00ED79C3"/>
    <w:rsid w:val="00EE3D7B"/>
    <w:rsid w:val="00EE4AD8"/>
    <w:rsid w:val="00EF2C09"/>
    <w:rsid w:val="00F0058D"/>
    <w:rsid w:val="00F06E8F"/>
    <w:rsid w:val="00F139AC"/>
    <w:rsid w:val="00F21EAC"/>
    <w:rsid w:val="00F24DE9"/>
    <w:rsid w:val="00F276DA"/>
    <w:rsid w:val="00F3012B"/>
    <w:rsid w:val="00F3243D"/>
    <w:rsid w:val="00F4059B"/>
    <w:rsid w:val="00F46D0D"/>
    <w:rsid w:val="00F52DB6"/>
    <w:rsid w:val="00F64CF1"/>
    <w:rsid w:val="00F65221"/>
    <w:rsid w:val="00F67F31"/>
    <w:rsid w:val="00F7713A"/>
    <w:rsid w:val="00F77530"/>
    <w:rsid w:val="00F81EF8"/>
    <w:rsid w:val="00F92B59"/>
    <w:rsid w:val="00F948BC"/>
    <w:rsid w:val="00F960CF"/>
    <w:rsid w:val="00FA10A3"/>
    <w:rsid w:val="00FA1226"/>
    <w:rsid w:val="00FA3F2C"/>
    <w:rsid w:val="00FA45B4"/>
    <w:rsid w:val="00FB7FF8"/>
    <w:rsid w:val="00FC0098"/>
    <w:rsid w:val="00FC318D"/>
    <w:rsid w:val="00FD09D8"/>
    <w:rsid w:val="00FE0345"/>
    <w:rsid w:val="00FE1922"/>
    <w:rsid w:val="00FE1FA9"/>
    <w:rsid w:val="00FE6156"/>
    <w:rsid w:val="00FF03E2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BDF8B"/>
  <w15:docId w15:val="{FFD6CB79-27C6-4CEB-83CD-5EF4737A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FA3F2C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C0D58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C0D58"/>
    <w:rPr>
      <w:rFonts w:ascii="Calibri" w:hAnsi="Calibri"/>
      <w:szCs w:val="2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380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1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121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12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020FA"/>
    <w:rPr>
      <w:rFonts w:ascii="Times New Roman" w:hAnsi="Times New Roman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148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6A49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70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5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7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aktualnosci.php?news_id=16731" TargetMode="External"/><Relationship Id="rId13" Type="http://schemas.openxmlformats.org/officeDocument/2006/relationships/hyperlink" Target="https://www.uokik.gov.pl/aktualnosci.php?news_id=14590" TargetMode="External"/><Relationship Id="rId18" Type="http://schemas.openxmlformats.org/officeDocument/2006/relationships/hyperlink" Target="https://www.uokik.gov.pl/aktualnosci.php?news_id=16613" TargetMode="External"/><Relationship Id="rId3" Type="http://schemas.openxmlformats.org/officeDocument/2006/relationships/styles" Target="styles.xml"/><Relationship Id="rId21" Type="http://schemas.openxmlformats.org/officeDocument/2006/relationships/hyperlink" Target="https://uokik.gov.pl/pomoc.ph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okik.gov.pl/download.php?plik=24972" TargetMode="External"/><Relationship Id="rId17" Type="http://schemas.openxmlformats.org/officeDocument/2006/relationships/hyperlink" Target="https://www.uokik.gov.pl/aktualnosci.php?news_id=16378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uokik.gov.pl/aktualnosci.php?news_id=16193" TargetMode="External"/><Relationship Id="rId20" Type="http://schemas.openxmlformats.org/officeDocument/2006/relationships/hyperlink" Target="mailto:porady@dlakonsumentow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okik.gov.pl/download.php?plik=2497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uokik.gov.pl/aktualnosci.php?news_id=15662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uokik.gov.pl/download.php?plik=24971" TargetMode="External"/><Relationship Id="rId19" Type="http://schemas.openxmlformats.org/officeDocument/2006/relationships/hyperlink" Target="https://www.uokik.gov.pl/aktualnosci.php?news_id=166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okik.gov.pl/aktualnosci.php?news_id=15915" TargetMode="External"/><Relationship Id="rId14" Type="http://schemas.openxmlformats.org/officeDocument/2006/relationships/hyperlink" Target="https://www.uokik.gov.pl/aktualnosci.php?news_id=15153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98178-F083-40AB-85ED-14E71BDFF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1400</Words>
  <Characters>8714</Characters>
  <Application>Microsoft Office Word</Application>
  <DocSecurity>0</DocSecurity>
  <Lines>142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Piskorek</dc:creator>
  <cp:lastModifiedBy>Użytkownik systemu Windows</cp:lastModifiedBy>
  <cp:revision>5</cp:revision>
  <cp:lastPrinted>2019-03-06T14:11:00Z</cp:lastPrinted>
  <dcterms:created xsi:type="dcterms:W3CDTF">2020-10-26T09:36:00Z</dcterms:created>
  <dcterms:modified xsi:type="dcterms:W3CDTF">2020-10-26T11:25:00Z</dcterms:modified>
</cp:coreProperties>
</file>