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FAEF" w14:textId="77777777" w:rsidR="00D47CCF" w:rsidRPr="0024118E" w:rsidRDefault="00C37FF8" w:rsidP="002C0D5D">
      <w:pPr>
        <w:spacing w:line="360" w:lineRule="auto"/>
        <w:jc w:val="both"/>
        <w:rPr>
          <w:sz w:val="32"/>
          <w:szCs w:val="32"/>
        </w:rPr>
      </w:pPr>
      <w:r w:rsidRPr="005655F0">
        <w:rPr>
          <w:sz w:val="32"/>
          <w:szCs w:val="32"/>
        </w:rPr>
        <w:t xml:space="preserve">PIERWSZE OFERTY PUBLICZNE – POLICZ </w:t>
      </w:r>
      <w:r>
        <w:rPr>
          <w:sz w:val="32"/>
          <w:szCs w:val="32"/>
        </w:rPr>
        <w:t>I NIE PRZELICZ SIĘ</w:t>
      </w:r>
    </w:p>
    <w:p w14:paraId="54C0E930" w14:textId="77777777" w:rsidR="00723AA3" w:rsidRPr="005428E6" w:rsidRDefault="00723AA3" w:rsidP="00723AA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Dziś w ramach kampanii „Policz i nie przelicz się” wyjaśniamy, czym jest inwestowanie w spółki debiutujące na giełdzie, czyli pierwsze oferty publiczne (IPO).</w:t>
      </w:r>
    </w:p>
    <w:p w14:paraId="07BEC7E2" w14:textId="5D2366AA" w:rsidR="00723AA3" w:rsidRPr="005428E6" w:rsidRDefault="00723AA3" w:rsidP="00723AA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Zanim zdecydujesz się zainwestować swoje oszczędności w </w:t>
      </w:r>
      <w:r w:rsidR="00A06DBA">
        <w:rPr>
          <w:rFonts w:cs="Tahoma"/>
          <w:b/>
          <w:bCs/>
          <w:color w:val="000000" w:themeColor="text1"/>
          <w:sz w:val="22"/>
          <w:lang w:eastAsia="en-GB"/>
        </w:rPr>
        <w:t xml:space="preserve">firmę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debiutującą na giełdzie, sprawdź </w:t>
      </w:r>
      <w:r w:rsidR="00A06DBA">
        <w:rPr>
          <w:rFonts w:cs="Tahoma"/>
          <w:b/>
          <w:bCs/>
          <w:color w:val="000000" w:themeColor="text1"/>
          <w:sz w:val="22"/>
          <w:lang w:eastAsia="en-GB"/>
        </w:rPr>
        <w:t xml:space="preserve">jej </w:t>
      </w:r>
      <w:r>
        <w:rPr>
          <w:rFonts w:cs="Tahoma"/>
          <w:b/>
          <w:bCs/>
          <w:color w:val="000000" w:themeColor="text1"/>
          <w:sz w:val="22"/>
          <w:lang w:eastAsia="en-GB"/>
        </w:rPr>
        <w:t>strategię biznesową i związane z tym ryzyka.</w:t>
      </w:r>
    </w:p>
    <w:p w14:paraId="53CECC46" w14:textId="3D06DCBA" w:rsidR="00C37FF8" w:rsidRPr="005428E6" w:rsidRDefault="00723AA3" w:rsidP="00723AA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Pamiętaj, że na giełdzie możesz nie tylko zyskać, ale też stracić. Giełdowe debiuty są szczególnie często reklamowane jako rewelacyjne okazje do zarobku, lecz rzeczywistość rzadko nadąża za obietnicami.</w:t>
      </w:r>
    </w:p>
    <w:p w14:paraId="537E9B21" w14:textId="173F342B" w:rsidR="00723AA3" w:rsidRPr="00723AA3" w:rsidRDefault="0010559C" w:rsidP="00723AA3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F7FDF">
        <w:rPr>
          <w:b/>
          <w:sz w:val="22"/>
        </w:rPr>
        <w:t>18</w:t>
      </w:r>
      <w:r w:rsidR="00986C37">
        <w:rPr>
          <w:b/>
          <w:sz w:val="22"/>
        </w:rPr>
        <w:t xml:space="preserve"> </w:t>
      </w:r>
      <w:r w:rsidR="00C37FF8">
        <w:rPr>
          <w:b/>
          <w:sz w:val="22"/>
        </w:rPr>
        <w:t>październik</w:t>
      </w:r>
      <w:r w:rsidR="00D4122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23AA3" w:rsidRPr="00723AA3">
        <w:rPr>
          <w:sz w:val="22"/>
        </w:rPr>
        <w:t xml:space="preserve">Trwa kampania Prezesa UOKiK „Policz i nie przelicz się”, w której radzimy, </w:t>
      </w:r>
      <w:r w:rsidR="00EF502D">
        <w:rPr>
          <w:sz w:val="22"/>
        </w:rPr>
        <w:t xml:space="preserve">na </w:t>
      </w:r>
      <w:r w:rsidR="00723AA3" w:rsidRPr="00723AA3">
        <w:rPr>
          <w:sz w:val="22"/>
        </w:rPr>
        <w:t>co zwracać uwagę przy inwestowaniu w różne instrumenty finansowe. Wśród licznych możliwości, szczególnie popularną – w Polsce od ponad ćwierćwiecza, czyli początków transformacji us</w:t>
      </w:r>
      <w:r w:rsidR="00723AA3">
        <w:rPr>
          <w:sz w:val="22"/>
        </w:rPr>
        <w:t xml:space="preserve">trojowej – jest inwestowanie w </w:t>
      </w:r>
      <w:r w:rsidR="00723AA3" w:rsidRPr="00723AA3">
        <w:rPr>
          <w:sz w:val="22"/>
        </w:rPr>
        <w:t>debiuty giełdowe, tzw. pierwsze oferty publiczne.</w:t>
      </w:r>
    </w:p>
    <w:p w14:paraId="3B12258B" w14:textId="77777777" w:rsidR="00723AA3" w:rsidRPr="00723AA3" w:rsidRDefault="00723AA3" w:rsidP="00723AA3">
      <w:pPr>
        <w:spacing w:after="240" w:line="360" w:lineRule="auto"/>
        <w:jc w:val="both"/>
        <w:rPr>
          <w:b/>
          <w:sz w:val="22"/>
        </w:rPr>
      </w:pPr>
      <w:r w:rsidRPr="00723AA3">
        <w:rPr>
          <w:b/>
          <w:sz w:val="22"/>
        </w:rPr>
        <w:t>Jak działa oferta publiczna</w:t>
      </w:r>
    </w:p>
    <w:p w14:paraId="42371632" w14:textId="66C7B3FA" w:rsidR="00723AA3" w:rsidRPr="00723AA3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>Pierwsza oferta publiczna</w:t>
      </w:r>
      <w:r>
        <w:rPr>
          <w:sz w:val="22"/>
        </w:rPr>
        <w:t>,</w:t>
      </w:r>
      <w:r w:rsidRPr="00723AA3">
        <w:rPr>
          <w:sz w:val="22"/>
        </w:rPr>
        <w:t xml:space="preserve"> czyli tzw. IPO (z ang. </w:t>
      </w:r>
      <w:proofErr w:type="spellStart"/>
      <w:r w:rsidRPr="00723AA3">
        <w:rPr>
          <w:sz w:val="22"/>
        </w:rPr>
        <w:t>initial</w:t>
      </w:r>
      <w:proofErr w:type="spellEnd"/>
      <w:r w:rsidRPr="00723AA3">
        <w:rPr>
          <w:sz w:val="22"/>
        </w:rPr>
        <w:t xml:space="preserve"> public </w:t>
      </w:r>
      <w:proofErr w:type="spellStart"/>
      <w:r w:rsidRPr="00723AA3">
        <w:rPr>
          <w:sz w:val="22"/>
        </w:rPr>
        <w:t>offering</w:t>
      </w:r>
      <w:proofErr w:type="spellEnd"/>
      <w:r w:rsidRPr="00723AA3">
        <w:rPr>
          <w:sz w:val="22"/>
        </w:rPr>
        <w:t xml:space="preserve">) to debiut spółki akcyjnej na publicznej giełdzie </w:t>
      </w:r>
      <w:r>
        <w:rPr>
          <w:sz w:val="22"/>
        </w:rPr>
        <w:t xml:space="preserve">- </w:t>
      </w:r>
      <w:r w:rsidRPr="00723AA3">
        <w:rPr>
          <w:sz w:val="22"/>
        </w:rPr>
        <w:t xml:space="preserve">w Polsce na warszawskiej Giełdzie Papierów Wartościowych. Obecnie najczęściej </w:t>
      </w:r>
      <w:r>
        <w:rPr>
          <w:sz w:val="22"/>
        </w:rPr>
        <w:t xml:space="preserve">taka </w:t>
      </w:r>
      <w:r w:rsidRPr="00723AA3">
        <w:rPr>
          <w:sz w:val="22"/>
        </w:rPr>
        <w:t>spółka była wcześniej notowana na rynku alternatywnym, przeznaczonym dla profesjonalistów, gdzie obowiązują mniej restrykcyjne regulacje. Debiut publiczny oznacza, że właściwie każdy może stać się udziałowcem spółki, czerpać dochody z jej działalności</w:t>
      </w:r>
      <w:r w:rsidR="00E87CB3">
        <w:rPr>
          <w:sz w:val="22"/>
        </w:rPr>
        <w:t>,</w:t>
      </w:r>
      <w:r w:rsidRPr="00723AA3">
        <w:rPr>
          <w:sz w:val="22"/>
        </w:rPr>
        <w:t xml:space="preserve"> a nawet – choć w przypadku inwestora indywidualnego to możliwość raczej teoretyczna – wpływać na politykę spółki przez głosowanie na walnym zgromadzeniu akcjonariuszy. </w:t>
      </w:r>
    </w:p>
    <w:p w14:paraId="565B47B1" w14:textId="3238CDD3" w:rsidR="00723AA3" w:rsidRPr="00723AA3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>Zakup akcji debiutującej spółki różni się od strony technicznej i od strony praktycznej od zakupu akcji spółki już notowanej. W tym drugim przypadku mamy do czynienia z transakcją kupna i sprzedaży między dwiema strona</w:t>
      </w:r>
      <w:r>
        <w:rPr>
          <w:sz w:val="22"/>
        </w:rPr>
        <w:t>mi</w:t>
      </w:r>
      <w:r w:rsidRPr="00723AA3">
        <w:rPr>
          <w:sz w:val="22"/>
        </w:rPr>
        <w:t xml:space="preserve"> po cenie, która jest wypadkową gry rynkowej popytu i sprzedaży. Natomiast w ofercie publicznej cenę debiutu akcji ustala sprzedający na podstawie wstępnego zainteresowania inwestorów. Zjawiskiem typowym dla ofert publicznych jest tzw. redukcja – popyt na akcje debiutującej spółki wielokrotnie przewyższa </w:t>
      </w:r>
      <w:r w:rsidRPr="00723AA3">
        <w:rPr>
          <w:sz w:val="22"/>
        </w:rPr>
        <w:lastRenderedPageBreak/>
        <w:t>podaż i ostatecznie każdy kupujący dostaje nie tyle, na ile się zapisał, ale proporcjonalnie znacznie mniej. Przykładowo, jeśli oferta debiutu zawiera milion akcji po sto złotych (łącznie sto milionów), a kupujący łącznie zadeklarowali chęć zakupu akcji za pięćset milionów, redukcja wyniesie 80</w:t>
      </w:r>
      <w:r>
        <w:rPr>
          <w:sz w:val="22"/>
        </w:rPr>
        <w:t xml:space="preserve"> proc.</w:t>
      </w:r>
      <w:r w:rsidRPr="00723AA3">
        <w:rPr>
          <w:sz w:val="22"/>
        </w:rPr>
        <w:t xml:space="preserve"> i każdy dostaje jedynie jedną piątą tego, na co się zapisał. W skrajnych przypadkach redukcje sięgają aż 97</w:t>
      </w:r>
      <w:r>
        <w:rPr>
          <w:sz w:val="22"/>
        </w:rPr>
        <w:t xml:space="preserve"> proc.</w:t>
      </w:r>
      <w:r w:rsidRPr="00723AA3">
        <w:rPr>
          <w:sz w:val="22"/>
        </w:rPr>
        <w:t xml:space="preserve">, a to oznacza, że osoba zapisująca się na trzysta akcji dostaje tylko dziesięć. Inwestorzy są tego w pełni świadomi, dlatego często z góry zapisują się na dużo większą liczbę akcji, niż zamierzają naprawdę posiadać – ale tu pojawia </w:t>
      </w:r>
      <w:r>
        <w:rPr>
          <w:sz w:val="22"/>
        </w:rPr>
        <w:t xml:space="preserve">się </w:t>
      </w:r>
      <w:r w:rsidRPr="00723AA3">
        <w:rPr>
          <w:sz w:val="22"/>
        </w:rPr>
        <w:t xml:space="preserve">dodatkowy koszt, ponieważ trzeba wyłożyć środki na taką liczbę akcji, na jaką się zadeklarowało chęć kupna. W związku z </w:t>
      </w:r>
      <w:r>
        <w:rPr>
          <w:sz w:val="22"/>
        </w:rPr>
        <w:t>t</w:t>
      </w:r>
      <w:r w:rsidRPr="00723AA3">
        <w:rPr>
          <w:sz w:val="22"/>
        </w:rPr>
        <w:t xml:space="preserve">ym część inwestorów zaciąga na ten cel krótkookresowe kredyty. </w:t>
      </w:r>
    </w:p>
    <w:p w14:paraId="3D18758A" w14:textId="77777777" w:rsidR="00A06DBA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>Kupując akcje spółek notowanych na giełdzie, możemy prześledzić ich historię: spółki notowane publicznie są zobowiązane do regularnych publikacji szczegółowych sprawozdań finansowych, poza tym są to często dobrze rozpoznawalne przedsiębiorstwa, po których mniej więcej wiemy, „czego się spodziewać”.</w:t>
      </w:r>
    </w:p>
    <w:p w14:paraId="06DA2EBD" w14:textId="79934CE0" w:rsidR="00723AA3" w:rsidRPr="00723AA3" w:rsidRDefault="00A06DBA" w:rsidP="00723AA3">
      <w:pPr>
        <w:spacing w:after="240" w:line="360" w:lineRule="auto"/>
        <w:jc w:val="both"/>
        <w:rPr>
          <w:sz w:val="22"/>
        </w:rPr>
      </w:pPr>
      <w:r>
        <w:rPr>
          <w:sz w:val="22"/>
        </w:rPr>
        <w:t>–</w:t>
      </w:r>
      <w:r w:rsidR="00E87CB3">
        <w:rPr>
          <w:sz w:val="22"/>
        </w:rPr>
        <w:t xml:space="preserve"> </w:t>
      </w:r>
      <w:r w:rsidRPr="00A06DBA">
        <w:rPr>
          <w:i/>
          <w:sz w:val="22"/>
        </w:rPr>
        <w:t>G</w:t>
      </w:r>
      <w:r w:rsidR="00677C49">
        <w:rPr>
          <w:i/>
          <w:sz w:val="22"/>
        </w:rPr>
        <w:t xml:space="preserve">iełdowy debiut </w:t>
      </w:r>
      <w:r w:rsidR="00723AA3" w:rsidRPr="00A06DBA">
        <w:rPr>
          <w:i/>
          <w:sz w:val="22"/>
        </w:rPr>
        <w:t>przypomina czasem ogłoszenie w portalu dla poszukujących pracy czy nawet w portalu randkowym – eksponowane są mocne strony spółki, perspektywy rynkowego sukcesu bywają bardzo podkoloryzowane. Przedsiębiorstwa bardzo często dobierają moment debiutu w powiązaniu z dobrze rokującymi zdarzeniami, np. jakiś czas po wypuszczeniu nowej gry komputerowej, która zebrała świetne recenzje, albo po otrzymaniu patentu na „przełomowy” proces technologiczny. Szczególnie spektakularną oprawę miały debiuty firm z branży nowych technologii, a ostatnio także deweloperów czy spółek związanych z prywatną opieką medyczną</w:t>
      </w:r>
      <w:r>
        <w:rPr>
          <w:sz w:val="22"/>
        </w:rPr>
        <w:t xml:space="preserve"> - mówi Tomasz </w:t>
      </w:r>
      <w:proofErr w:type="spellStart"/>
      <w:r>
        <w:rPr>
          <w:sz w:val="22"/>
        </w:rPr>
        <w:t>Chróstny</w:t>
      </w:r>
      <w:proofErr w:type="spellEnd"/>
      <w:r>
        <w:rPr>
          <w:sz w:val="22"/>
        </w:rPr>
        <w:t>, Prezes UOKiK i podkreśla: -</w:t>
      </w:r>
      <w:r w:rsidR="00723AA3" w:rsidRPr="00723AA3">
        <w:rPr>
          <w:sz w:val="22"/>
        </w:rPr>
        <w:t xml:space="preserve"> </w:t>
      </w:r>
      <w:r w:rsidR="00723AA3" w:rsidRPr="00A06DBA">
        <w:rPr>
          <w:i/>
          <w:sz w:val="22"/>
        </w:rPr>
        <w:t>Inwestor musi pamiętać, że rynek bywa kapryśny, a sława ulotna – nie jest łatwo powtórzyć kasowy sukces cyfrowej produkcji, a nowa</w:t>
      </w:r>
      <w:r w:rsidR="00147E6C">
        <w:rPr>
          <w:i/>
          <w:sz w:val="22"/>
        </w:rPr>
        <w:t>,</w:t>
      </w:r>
      <w:r w:rsidR="00723AA3" w:rsidRPr="00A06DBA">
        <w:rPr>
          <w:i/>
          <w:sz w:val="22"/>
        </w:rPr>
        <w:t xml:space="preserve"> rzekomo unikalna</w:t>
      </w:r>
      <w:r w:rsidR="00147E6C">
        <w:rPr>
          <w:i/>
          <w:sz w:val="22"/>
        </w:rPr>
        <w:t>,</w:t>
      </w:r>
      <w:r w:rsidR="00723AA3" w:rsidRPr="00A06DBA">
        <w:rPr>
          <w:i/>
          <w:sz w:val="22"/>
        </w:rPr>
        <w:t xml:space="preserve"> technologia to tylko mglista obietnica, a nie gwarancja zysków. </w:t>
      </w:r>
    </w:p>
    <w:p w14:paraId="7B3FCF8A" w14:textId="4DBDA845" w:rsidR="00723AA3" w:rsidRPr="00723AA3" w:rsidRDefault="00723AA3" w:rsidP="00723AA3">
      <w:pPr>
        <w:spacing w:after="240" w:line="360" w:lineRule="auto"/>
        <w:jc w:val="both"/>
        <w:rPr>
          <w:b/>
          <w:sz w:val="22"/>
        </w:rPr>
      </w:pPr>
      <w:r w:rsidRPr="00723AA3">
        <w:rPr>
          <w:b/>
          <w:sz w:val="22"/>
        </w:rPr>
        <w:t xml:space="preserve">Uważaj na napompowane </w:t>
      </w:r>
      <w:r w:rsidR="00147E6C">
        <w:rPr>
          <w:b/>
          <w:sz w:val="22"/>
        </w:rPr>
        <w:t>wy</w:t>
      </w:r>
      <w:r w:rsidRPr="00723AA3">
        <w:rPr>
          <w:b/>
          <w:sz w:val="22"/>
        </w:rPr>
        <w:t>ceny</w:t>
      </w:r>
    </w:p>
    <w:p w14:paraId="5A09DAE4" w14:textId="425E9CF8" w:rsidR="00723AA3" w:rsidRPr="00723AA3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>W przypadku IPO szczególnie podkreślenia wymaga fakt, że nie istnieją inwestycje na giełdzie „opłacalne same w sobie” – ta opłacalność jest zawsze względna. Debiutujące publicznie spółki muszą złożyć i mieć zatwierdzony prospekt emisyjny przez organ nadzoru finansowego</w:t>
      </w:r>
      <w:bookmarkStart w:id="0" w:name="_GoBack"/>
      <w:bookmarkEnd w:id="0"/>
      <w:r w:rsidRPr="00723AA3">
        <w:rPr>
          <w:sz w:val="22"/>
        </w:rPr>
        <w:t xml:space="preserve"> – nie są to zatem tajemnicze czy „szemrane” biznesy, jak piramidy finansowe. </w:t>
      </w:r>
      <w:r w:rsidRPr="00723AA3">
        <w:rPr>
          <w:sz w:val="22"/>
        </w:rPr>
        <w:lastRenderedPageBreak/>
        <w:t>Tym niemniej, nie ma gwarancji</w:t>
      </w:r>
      <w:r>
        <w:rPr>
          <w:sz w:val="22"/>
        </w:rPr>
        <w:t>,</w:t>
      </w:r>
      <w:r w:rsidRPr="00723AA3">
        <w:rPr>
          <w:sz w:val="22"/>
        </w:rPr>
        <w:t xml:space="preserve"> że cena akcji w momencie debiutu odzwierciedla właściwe pespektywy debiutującej spółki. Innymi słowy, nawet za całkiem solidny towar też można słono przepłacić. Tu pojawia się kolejny czynnik, na który warto zwrócić uwagę</w:t>
      </w:r>
      <w:r>
        <w:rPr>
          <w:sz w:val="22"/>
        </w:rPr>
        <w:t>,</w:t>
      </w:r>
      <w:r w:rsidRPr="00723AA3">
        <w:rPr>
          <w:sz w:val="22"/>
        </w:rPr>
        <w:t xml:space="preserve"> planując zapis na akcje debiutującej spółki, czyli praktykę wyceniania akcji debiutanta powyżej racjonalnego poziomu, wynikającego z kondycji finansowej spółki i jej pozycji rynkowej</w:t>
      </w:r>
      <w:r w:rsidR="00147E6C">
        <w:rPr>
          <w:sz w:val="22"/>
        </w:rPr>
        <w:t>, a przez to realnej, rynkowej wartości</w:t>
      </w:r>
      <w:r w:rsidRPr="00723AA3">
        <w:rPr>
          <w:sz w:val="22"/>
        </w:rPr>
        <w:t xml:space="preserve">. Debiut, w którym oferty akcji w ofercie publicznej wydają się szczególnie zawyżone, nazywamy agresywną ofertą publiczną, a praktykę wmawiania opinii publicznej, że jest co cena adekwatna i odzwierciedlająca wspaniałe perspektywy debiutanta, określamy jako </w:t>
      </w:r>
      <w:proofErr w:type="spellStart"/>
      <w:r w:rsidRPr="00147E6C">
        <w:rPr>
          <w:i/>
          <w:sz w:val="22"/>
        </w:rPr>
        <w:t>window</w:t>
      </w:r>
      <w:proofErr w:type="spellEnd"/>
      <w:r w:rsidRPr="00147E6C">
        <w:rPr>
          <w:i/>
          <w:sz w:val="22"/>
        </w:rPr>
        <w:t xml:space="preserve"> dressing</w:t>
      </w:r>
      <w:r>
        <w:rPr>
          <w:sz w:val="22"/>
        </w:rPr>
        <w:t xml:space="preserve"> (dekorowanie okna).</w:t>
      </w:r>
      <w:r w:rsidRPr="00723AA3">
        <w:rPr>
          <w:sz w:val="22"/>
        </w:rPr>
        <w:t xml:space="preserve"> </w:t>
      </w:r>
      <w:proofErr w:type="spellStart"/>
      <w:r w:rsidRPr="00147E6C">
        <w:rPr>
          <w:i/>
          <w:sz w:val="22"/>
        </w:rPr>
        <w:t>Window</w:t>
      </w:r>
      <w:proofErr w:type="spellEnd"/>
      <w:r w:rsidRPr="00147E6C">
        <w:rPr>
          <w:i/>
          <w:sz w:val="22"/>
        </w:rPr>
        <w:t xml:space="preserve"> dressing</w:t>
      </w:r>
      <w:r w:rsidRPr="00723AA3">
        <w:rPr>
          <w:sz w:val="22"/>
        </w:rPr>
        <w:t xml:space="preserve"> może wiązać z agresywnym marketingiem standardowymi i nowoczesnymi kanałami, często może mu towarzyszyć tzw. kreatywna księgowość, w której kondycja firmy w sprawozdaniu finansowym jest przedstawiana w świetle lepszym niż w rzeczywistości.</w:t>
      </w:r>
    </w:p>
    <w:p w14:paraId="45E30780" w14:textId="77777777" w:rsidR="00A06DBA" w:rsidRDefault="00A06DBA" w:rsidP="00723AA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23AA3" w:rsidRPr="00A06DBA">
        <w:rPr>
          <w:i/>
          <w:sz w:val="22"/>
        </w:rPr>
        <w:t xml:space="preserve">Konsekwencją agresywnej oferty publicznej jest zwykle sytuacja, w której debiutant nie może spełnić pokładanych w nim nadziei. </w:t>
      </w:r>
      <w:r w:rsidRPr="00A06DBA">
        <w:rPr>
          <w:i/>
          <w:sz w:val="22"/>
        </w:rPr>
        <w:t>N</w:t>
      </w:r>
      <w:r w:rsidR="00723AA3" w:rsidRPr="00A06DBA">
        <w:rPr>
          <w:i/>
          <w:sz w:val="22"/>
        </w:rPr>
        <w:t>ie tylko nie wykazuje zysków większych niż w przypadku innych spółek giełdowych, ale niekiedy wręcz przynosi inwestorom straty</w:t>
      </w:r>
      <w:r>
        <w:rPr>
          <w:sz w:val="22"/>
        </w:rPr>
        <w:t xml:space="preserve"> – mówi Tomasz </w:t>
      </w:r>
      <w:proofErr w:type="spellStart"/>
      <w:r>
        <w:rPr>
          <w:sz w:val="22"/>
        </w:rPr>
        <w:t>Chróstny</w:t>
      </w:r>
      <w:proofErr w:type="spellEnd"/>
      <w:r>
        <w:rPr>
          <w:sz w:val="22"/>
        </w:rPr>
        <w:t>, Prezes UOKiK</w:t>
      </w:r>
      <w:r w:rsidR="00723AA3" w:rsidRPr="00723AA3">
        <w:rPr>
          <w:sz w:val="22"/>
        </w:rPr>
        <w:t xml:space="preserve">. </w:t>
      </w:r>
    </w:p>
    <w:p w14:paraId="471F3D1C" w14:textId="38675D55" w:rsidR="00723AA3" w:rsidRPr="00723AA3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 xml:space="preserve">Rozczarowanie inwestorów była </w:t>
      </w:r>
      <w:r w:rsidR="00A06DBA">
        <w:rPr>
          <w:sz w:val="22"/>
        </w:rPr>
        <w:t>czasem</w:t>
      </w:r>
      <w:r w:rsidRPr="00723AA3">
        <w:rPr>
          <w:sz w:val="22"/>
        </w:rPr>
        <w:t xml:space="preserve"> równie bolesne, co szybkie – dla przykładu, kurs jednej z debiutującej na początku roku spółek nowych technologii w przeciągu zaledwie dwóch tygodni od debiutu spadł o ponad 20</w:t>
      </w:r>
      <w:r>
        <w:rPr>
          <w:sz w:val="22"/>
        </w:rPr>
        <w:t xml:space="preserve"> proc.</w:t>
      </w:r>
      <w:r w:rsidRPr="00723AA3">
        <w:rPr>
          <w:sz w:val="22"/>
        </w:rPr>
        <w:t xml:space="preserve"> i przez następne pó</w:t>
      </w:r>
      <w:r w:rsidR="00A06DBA">
        <w:rPr>
          <w:sz w:val="22"/>
        </w:rPr>
        <w:t xml:space="preserve">ł roku nigdy nie odrobił strat. </w:t>
      </w:r>
      <w:r w:rsidRPr="00723AA3">
        <w:rPr>
          <w:sz w:val="22"/>
        </w:rPr>
        <w:t>Badania spółek z GPW wskazały, że firmy stosujące agresywne oferty publiczne, przynosiły zyski nawet o 8</w:t>
      </w:r>
      <w:r>
        <w:rPr>
          <w:sz w:val="22"/>
        </w:rPr>
        <w:t xml:space="preserve"> proc.</w:t>
      </w:r>
      <w:r w:rsidRPr="00723AA3">
        <w:rPr>
          <w:sz w:val="22"/>
        </w:rPr>
        <w:t xml:space="preserve"> mniejsze w skali roku (co może się przekładać na stratę kilkudziesięciu procent wartości inwestycji w perspektywie kilku lat) od firm o bardziej konserwatywnej polityce emisji</w:t>
      </w:r>
      <w:r w:rsidRPr="00723AA3">
        <w:rPr>
          <w:sz w:val="22"/>
          <w:vertAlign w:val="superscript"/>
        </w:rPr>
        <w:footnoteReference w:id="1"/>
      </w:r>
      <w:r w:rsidRPr="00723AA3">
        <w:rPr>
          <w:sz w:val="22"/>
        </w:rPr>
        <w:t xml:space="preserve">. Podkreślanie wysokiej rentowności przed debiutem </w:t>
      </w:r>
      <w:r>
        <w:rPr>
          <w:sz w:val="22"/>
        </w:rPr>
        <w:t>jest praktyką bardzo popularną,</w:t>
      </w:r>
      <w:r w:rsidRPr="00723AA3">
        <w:rPr>
          <w:sz w:val="22"/>
        </w:rPr>
        <w:t xml:space="preserve"> ale nadzwyczajne zyski nie trwają wiecznie, stąd raczej regułą niż wyjątkiem jest wyższy raportowany zysk wykazywany rok i trzy lata przed debiutem giełdowym niż rok i trzy lata po debiucie giełdowym</w:t>
      </w:r>
      <w:r w:rsidRPr="00723AA3">
        <w:rPr>
          <w:sz w:val="22"/>
          <w:vertAlign w:val="superscript"/>
        </w:rPr>
        <w:footnoteReference w:id="2"/>
      </w:r>
      <w:r w:rsidRPr="00723AA3">
        <w:rPr>
          <w:sz w:val="22"/>
        </w:rPr>
        <w:t xml:space="preserve">. </w:t>
      </w:r>
      <w:r w:rsidR="001D441C">
        <w:rPr>
          <w:sz w:val="22"/>
        </w:rPr>
        <w:t>Na rynku c</w:t>
      </w:r>
      <w:r w:rsidRPr="00723AA3">
        <w:rPr>
          <w:sz w:val="22"/>
        </w:rPr>
        <w:t>hiński</w:t>
      </w:r>
      <w:r w:rsidR="001D441C">
        <w:rPr>
          <w:sz w:val="22"/>
        </w:rPr>
        <w:t>m</w:t>
      </w:r>
      <w:r w:rsidRPr="00723AA3">
        <w:rPr>
          <w:sz w:val="22"/>
        </w:rPr>
        <w:t xml:space="preserve"> standardem była sytuacja, że banki przed wejściem na giełdę wykazywały zyskowność wyższą niż banki </w:t>
      </w:r>
      <w:r w:rsidRPr="00723AA3">
        <w:rPr>
          <w:sz w:val="22"/>
        </w:rPr>
        <w:lastRenderedPageBreak/>
        <w:t>wcześniej notowane na giełdzie, ale po debiucie bardzo szybko zrównywały się rentownością z pozostałymi</w:t>
      </w:r>
      <w:r w:rsidRPr="001D441C">
        <w:rPr>
          <w:sz w:val="22"/>
          <w:vertAlign w:val="superscript"/>
        </w:rPr>
        <w:footnoteReference w:id="3"/>
      </w:r>
      <w:r w:rsidRPr="00723AA3">
        <w:rPr>
          <w:sz w:val="22"/>
        </w:rPr>
        <w:t>.</w:t>
      </w:r>
    </w:p>
    <w:p w14:paraId="147844AD" w14:textId="77777777" w:rsidR="00723AA3" w:rsidRPr="001D441C" w:rsidRDefault="00723AA3" w:rsidP="00723AA3">
      <w:pPr>
        <w:spacing w:after="240" w:line="360" w:lineRule="auto"/>
        <w:jc w:val="both"/>
        <w:rPr>
          <w:b/>
          <w:sz w:val="22"/>
        </w:rPr>
      </w:pPr>
      <w:r w:rsidRPr="001D441C">
        <w:rPr>
          <w:b/>
          <w:sz w:val="22"/>
        </w:rPr>
        <w:t>Inwestuj w to, co rozumiesz</w:t>
      </w:r>
    </w:p>
    <w:p w14:paraId="64EF4ABB" w14:textId="77777777" w:rsidR="00723AA3" w:rsidRPr="00723AA3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 xml:space="preserve">Najsłynniejszy inwestor na świecie, Warren Buffet, podkreśla, że nie należy inwestować w te branże, których się nie rozumie – jeśli, chociażby, ktoś nie ma się w ogóle rozeznania w rynku gier komputerowych, może lepiej niech nie kupuje akcji spółki </w:t>
      </w:r>
      <w:proofErr w:type="spellStart"/>
      <w:r w:rsidRPr="00723AA3">
        <w:rPr>
          <w:sz w:val="22"/>
        </w:rPr>
        <w:t>gamingowej</w:t>
      </w:r>
      <w:proofErr w:type="spellEnd"/>
      <w:r w:rsidRPr="00723AA3">
        <w:rPr>
          <w:sz w:val="22"/>
        </w:rPr>
        <w:t>, tylko dlatego że jest o niej głośno i zapisał się już sąsiad.</w:t>
      </w:r>
    </w:p>
    <w:p w14:paraId="4B12D661" w14:textId="7343D60D" w:rsidR="00723AA3" w:rsidRDefault="00723AA3" w:rsidP="00723AA3">
      <w:pPr>
        <w:spacing w:after="240" w:line="360" w:lineRule="auto"/>
        <w:jc w:val="both"/>
        <w:rPr>
          <w:sz w:val="22"/>
        </w:rPr>
      </w:pPr>
      <w:r w:rsidRPr="00723AA3">
        <w:rPr>
          <w:sz w:val="22"/>
        </w:rPr>
        <w:t>Należy też uświadomić sobie, że osoby inwestujące w pierwsze oferty publiczne są szczególnie narażone na pułapkę psychologiczną zwaną błędem dyspozycji</w:t>
      </w:r>
      <w:r w:rsidR="001D441C">
        <w:rPr>
          <w:sz w:val="22"/>
        </w:rPr>
        <w:t xml:space="preserve">. </w:t>
      </w:r>
      <w:r w:rsidRPr="00723AA3">
        <w:rPr>
          <w:sz w:val="22"/>
        </w:rPr>
        <w:t xml:space="preserve">Błąd ten polega na tym, że inwestorzy mają skłonność przedwczesnego sprzedawania spółek, które dobrze rokują i przyniosły zyski, a jednocześnie trzymania akcji spółek, których wartość ciągle spada i pozbywania się ich dopiero wtedy, kiedy zaczyna się rynkowa panika i ceny sięgają dna. Nieudany debiut giełdowy oznacza czasem konieczność pogodzenia się z niewielką stratą, celem uniknięcia dużej straty, co dla indywidualnego inwestora jest szczególnie trudne. </w:t>
      </w:r>
    </w:p>
    <w:p w14:paraId="1D573253" w14:textId="77777777" w:rsidR="006670E6" w:rsidRPr="006670E6" w:rsidRDefault="006670E6" w:rsidP="006670E6">
      <w:pPr>
        <w:spacing w:after="240" w:line="360" w:lineRule="auto"/>
        <w:jc w:val="both"/>
        <w:rPr>
          <w:sz w:val="22"/>
        </w:rPr>
      </w:pPr>
      <w:r w:rsidRPr="006670E6">
        <w:rPr>
          <w:b/>
          <w:bCs/>
          <w:sz w:val="22"/>
        </w:rPr>
        <w:t>O kampanii Prezesa UOKiK</w:t>
      </w:r>
    </w:p>
    <w:p w14:paraId="35326036" w14:textId="1E6D1C5C" w:rsidR="006670E6" w:rsidRPr="006670E6" w:rsidRDefault="006670E6" w:rsidP="006670E6">
      <w:pPr>
        <w:spacing w:after="240" w:line="360" w:lineRule="auto"/>
        <w:jc w:val="both"/>
        <w:rPr>
          <w:sz w:val="22"/>
        </w:rPr>
      </w:pPr>
      <w:r w:rsidRPr="006670E6">
        <w:rPr>
          <w:sz w:val="22"/>
        </w:rPr>
        <w:t xml:space="preserve">Kampania „Policz i nie przelicz się” ma na celu zwiększenie świadomości i bezpieczeństwa konsumentów. Prezes UOKiK zwraca </w:t>
      </w:r>
      <w:r>
        <w:rPr>
          <w:sz w:val="22"/>
        </w:rPr>
        <w:t xml:space="preserve">w niej </w:t>
      </w:r>
      <w:r w:rsidRPr="006670E6">
        <w:rPr>
          <w:sz w:val="22"/>
        </w:rPr>
        <w:t>uwagę społeczeństwa</w:t>
      </w:r>
      <w:r>
        <w:rPr>
          <w:sz w:val="22"/>
        </w:rPr>
        <w:t xml:space="preserve"> </w:t>
      </w:r>
      <w:r w:rsidRPr="006670E6">
        <w:rPr>
          <w:b/>
          <w:bCs/>
          <w:sz w:val="22"/>
        </w:rPr>
        <w:t>na ryzyko utraty oszczędności i konieczność zachowania rozwagi przy podejmowaniu decyzji inwestycyjnych</w:t>
      </w:r>
      <w:r w:rsidRPr="006670E6">
        <w:rPr>
          <w:sz w:val="22"/>
        </w:rPr>
        <w:t xml:space="preserve">. Spoty od 6 września można obejrzeć w telewizji i usłyszeć w radiu. </w:t>
      </w:r>
      <w:r>
        <w:rPr>
          <w:sz w:val="22"/>
        </w:rPr>
        <w:t>Do tej pory w akcję zaangażowało się ok. 180 mediów i instytucji.</w:t>
      </w:r>
    </w:p>
    <w:p w14:paraId="68A1CB16" w14:textId="7FEDF396" w:rsidR="006670E6" w:rsidRPr="006670E6" w:rsidRDefault="006670E6" w:rsidP="006670E6">
      <w:pPr>
        <w:spacing w:after="240" w:line="360" w:lineRule="auto"/>
        <w:jc w:val="both"/>
        <w:rPr>
          <w:sz w:val="22"/>
        </w:rPr>
      </w:pPr>
      <w:r w:rsidRPr="006670E6">
        <w:rPr>
          <w:sz w:val="22"/>
        </w:rPr>
        <w:t>–</w:t>
      </w:r>
      <w:r>
        <w:rPr>
          <w:sz w:val="22"/>
        </w:rPr>
        <w:t xml:space="preserve"> </w:t>
      </w:r>
      <w:r w:rsidRPr="006670E6">
        <w:rPr>
          <w:i/>
          <w:iCs/>
          <w:sz w:val="22"/>
        </w:rPr>
        <w:t xml:space="preserve">Gorąco zachęcam do dalszego włączania się w </w:t>
      </w:r>
      <w:r>
        <w:rPr>
          <w:i/>
          <w:iCs/>
          <w:sz w:val="22"/>
        </w:rPr>
        <w:t>kampani</w:t>
      </w:r>
      <w:r w:rsidRPr="006670E6">
        <w:rPr>
          <w:i/>
          <w:iCs/>
          <w:sz w:val="22"/>
        </w:rPr>
        <w:t>ę „Policz i nie przelicz się!”. Wspólnie możemy dotrzeć do jeszcze większej liczby konsumentów – ostrzec, wyjaśnić i zapobiec stratom finansowym. Jestem przekonany, że dzięki synergii zwiększamy świadomość i bezpieczeństwo konsumentów</w:t>
      </w:r>
      <w:r>
        <w:rPr>
          <w:sz w:val="22"/>
        </w:rPr>
        <w:t xml:space="preserve"> </w:t>
      </w:r>
      <w:r w:rsidRPr="006670E6">
        <w:rPr>
          <w:sz w:val="22"/>
        </w:rPr>
        <w:t xml:space="preserve">– </w:t>
      </w:r>
      <w:r>
        <w:rPr>
          <w:sz w:val="22"/>
        </w:rPr>
        <w:t>mówi</w:t>
      </w:r>
      <w:r w:rsidRPr="006670E6">
        <w:rPr>
          <w:sz w:val="22"/>
        </w:rPr>
        <w:t xml:space="preserve"> Tomasz  </w:t>
      </w:r>
      <w:proofErr w:type="spellStart"/>
      <w:r w:rsidRPr="006670E6">
        <w:rPr>
          <w:sz w:val="22"/>
        </w:rPr>
        <w:t>Chróstny</w:t>
      </w:r>
      <w:proofErr w:type="spellEnd"/>
      <w:r w:rsidRPr="006670E6">
        <w:rPr>
          <w:sz w:val="22"/>
        </w:rPr>
        <w:t>, Prezes UOKiK.</w:t>
      </w:r>
    </w:p>
    <w:p w14:paraId="21F8F22C" w14:textId="77777777" w:rsidR="006670E6" w:rsidRPr="006670E6" w:rsidRDefault="00B4634A" w:rsidP="006670E6">
      <w:pPr>
        <w:spacing w:before="240" w:after="240" w:line="360" w:lineRule="auto"/>
        <w:rPr>
          <w:rStyle w:val="Hipercze"/>
          <w:sz w:val="22"/>
        </w:rPr>
      </w:pPr>
      <w:hyperlink r:id="rId7" w:history="1">
        <w:r w:rsidR="006670E6" w:rsidRPr="006670E6">
          <w:rPr>
            <w:rStyle w:val="Hipercze"/>
            <w:sz w:val="22"/>
          </w:rPr>
          <w:t>Spoty kampanii edukacyjnej „Policz i nie przelicz się” są dostępne na stronie UOKiK</w:t>
        </w:r>
      </w:hyperlink>
      <w:r w:rsidR="006670E6" w:rsidRPr="006670E6">
        <w:rPr>
          <w:rStyle w:val="Hipercze"/>
          <w:sz w:val="22"/>
        </w:rPr>
        <w:t>.</w:t>
      </w:r>
    </w:p>
    <w:p w14:paraId="7992A62D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09FDFB05" w14:textId="77777777" w:rsidR="00E74B86" w:rsidRPr="00E74B86" w:rsidRDefault="00E74B86" w:rsidP="00E74B8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lastRenderedPageBreak/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9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E74B86" w:rsidRPr="00E74B86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7C4EB" w14:textId="77777777" w:rsidR="00B4634A" w:rsidRDefault="00B4634A">
      <w:r>
        <w:separator/>
      </w:r>
    </w:p>
  </w:endnote>
  <w:endnote w:type="continuationSeparator" w:id="0">
    <w:p w14:paraId="5639BBFC" w14:textId="77777777" w:rsidR="00B4634A" w:rsidRDefault="00B4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4AF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2FA8B" wp14:editId="3ED280B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3B12DC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5C0FF" w14:textId="77777777" w:rsidR="00B4634A" w:rsidRDefault="00B4634A">
      <w:r>
        <w:separator/>
      </w:r>
    </w:p>
  </w:footnote>
  <w:footnote w:type="continuationSeparator" w:id="0">
    <w:p w14:paraId="19C7912A" w14:textId="77777777" w:rsidR="00B4634A" w:rsidRDefault="00B4634A">
      <w:r>
        <w:continuationSeparator/>
      </w:r>
    </w:p>
  </w:footnote>
  <w:footnote w:id="1">
    <w:p w14:paraId="2CB7170A" w14:textId="77777777" w:rsidR="00723AA3" w:rsidRPr="004225B2" w:rsidRDefault="00723AA3" w:rsidP="00723AA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327BF">
        <w:rPr>
          <w:lang w:val="en-US"/>
        </w:rPr>
        <w:t xml:space="preserve"> </w:t>
      </w:r>
      <w:proofErr w:type="spellStart"/>
      <w:r w:rsidRPr="005327BF">
        <w:rPr>
          <w:lang w:val="en-US"/>
        </w:rPr>
        <w:t>Źródło</w:t>
      </w:r>
      <w:proofErr w:type="spellEnd"/>
      <w:r w:rsidRPr="005327BF">
        <w:rPr>
          <w:lang w:val="en-US"/>
        </w:rPr>
        <w:t xml:space="preserve">: Joanna </w:t>
      </w:r>
      <w:proofErr w:type="spellStart"/>
      <w:r w:rsidRPr="005327BF">
        <w:rPr>
          <w:lang w:val="en-US"/>
        </w:rPr>
        <w:t>Lizińska</w:t>
      </w:r>
      <w:proofErr w:type="spellEnd"/>
      <w:r w:rsidRPr="005327BF">
        <w:rPr>
          <w:lang w:val="en-US"/>
        </w:rPr>
        <w:t xml:space="preserve"> </w:t>
      </w:r>
      <w:proofErr w:type="spellStart"/>
      <w:r w:rsidRPr="005327BF">
        <w:rPr>
          <w:lang w:val="en-US"/>
        </w:rPr>
        <w:t>i</w:t>
      </w:r>
      <w:proofErr w:type="spellEnd"/>
      <w:r w:rsidRPr="005327BF">
        <w:rPr>
          <w:lang w:val="en-US"/>
        </w:rPr>
        <w:t xml:space="preserve"> </w:t>
      </w:r>
      <w:proofErr w:type="spellStart"/>
      <w:r w:rsidRPr="005327BF">
        <w:rPr>
          <w:lang w:val="en-US"/>
        </w:rPr>
        <w:t>Leszek</w:t>
      </w:r>
      <w:proofErr w:type="spellEnd"/>
      <w:r w:rsidRPr="005327BF">
        <w:rPr>
          <w:lang w:val="en-US"/>
        </w:rPr>
        <w:t xml:space="preserve"> </w:t>
      </w:r>
      <w:proofErr w:type="spellStart"/>
      <w:r w:rsidRPr="005327BF">
        <w:rPr>
          <w:lang w:val="en-US"/>
        </w:rPr>
        <w:t>Czapiewski</w:t>
      </w:r>
      <w:proofErr w:type="spellEnd"/>
      <w:r w:rsidRPr="005327BF">
        <w:rPr>
          <w:lang w:val="en-US"/>
        </w:rPr>
        <w:t xml:space="preserve"> (2019) </w:t>
      </w:r>
      <w:r w:rsidRPr="004225B2">
        <w:rPr>
          <w:lang w:val="en-US"/>
        </w:rPr>
        <w:t>Is Window-Dressing around Going Public Beneficial?</w:t>
      </w:r>
    </w:p>
    <w:p w14:paraId="06FB9F45" w14:textId="77777777" w:rsidR="00723AA3" w:rsidRPr="005327BF" w:rsidRDefault="00723AA3" w:rsidP="00723AA3">
      <w:pPr>
        <w:pStyle w:val="Tekstprzypisudolnego"/>
        <w:rPr>
          <w:lang w:val="en-US"/>
        </w:rPr>
      </w:pPr>
      <w:r w:rsidRPr="004225B2">
        <w:rPr>
          <w:lang w:val="en-US"/>
        </w:rPr>
        <w:t>Evidence from Poland,</w:t>
      </w:r>
      <w:r>
        <w:rPr>
          <w:lang w:val="en-US"/>
        </w:rPr>
        <w:t xml:space="preserve"> Journal of Risk and Financial Management.</w:t>
      </w:r>
    </w:p>
  </w:footnote>
  <w:footnote w:id="2">
    <w:p w14:paraId="7E19DC3A" w14:textId="77777777" w:rsidR="00723AA3" w:rsidRPr="001D2E57" w:rsidRDefault="00723AA3" w:rsidP="00723AA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1D2E57">
        <w:t xml:space="preserve"> </w:t>
      </w:r>
      <w:proofErr w:type="spellStart"/>
      <w:r w:rsidRPr="001D2E57">
        <w:t>Żródło</w:t>
      </w:r>
      <w:proofErr w:type="spellEnd"/>
      <w:r w:rsidRPr="001D2E57">
        <w:t>: Radosław Pastusiak, Mo</w:t>
      </w:r>
      <w:r>
        <w:t xml:space="preserve">nika Bolek, Maciej </w:t>
      </w:r>
      <w:proofErr w:type="spellStart"/>
      <w:r>
        <w:t>Malaczewski</w:t>
      </w:r>
      <w:proofErr w:type="spellEnd"/>
      <w:r>
        <w:t xml:space="preserve">, </w:t>
      </w:r>
      <w:proofErr w:type="spellStart"/>
      <w:r>
        <w:t>MartaKacprzyk</w:t>
      </w:r>
      <w:proofErr w:type="spellEnd"/>
      <w:r>
        <w:t xml:space="preserve"> (2016) COMPANY PROFITABILITY BEFORE AND </w:t>
      </w:r>
      <w:r w:rsidRPr="001D2E57">
        <w:t xml:space="preserve">AFTER IPO. </w:t>
      </w:r>
      <w:r w:rsidRPr="001D2E57">
        <w:rPr>
          <w:lang w:val="en-US"/>
        </w:rPr>
        <w:t>IS IT A WINDOWS DRESSING</w:t>
      </w:r>
      <w:r>
        <w:rPr>
          <w:lang w:val="en-US"/>
        </w:rPr>
        <w:t xml:space="preserve"> </w:t>
      </w:r>
      <w:r w:rsidRPr="001D2E57">
        <w:rPr>
          <w:lang w:val="en-US"/>
        </w:rPr>
        <w:t xml:space="preserve">OR EQUITY DILUTION EFFECT?, </w:t>
      </w:r>
      <w:r>
        <w:rPr>
          <w:lang w:val="en-US"/>
        </w:rPr>
        <w:t>Prague Economic Papers.</w:t>
      </w:r>
    </w:p>
  </w:footnote>
  <w:footnote w:id="3">
    <w:p w14:paraId="412285D2" w14:textId="77777777" w:rsidR="00723AA3" w:rsidRPr="004225B2" w:rsidRDefault="00723AA3" w:rsidP="00723AA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225B2">
        <w:rPr>
          <w:lang w:val="en-US"/>
        </w:rPr>
        <w:t xml:space="preserve"> </w:t>
      </w:r>
      <w:proofErr w:type="spellStart"/>
      <w:r>
        <w:rPr>
          <w:lang w:val="en-US"/>
        </w:rPr>
        <w:t>Źródło</w:t>
      </w:r>
      <w:proofErr w:type="spellEnd"/>
      <w:r>
        <w:rPr>
          <w:lang w:val="en-US"/>
        </w:rPr>
        <w:t xml:space="preserve">: </w:t>
      </w:r>
      <w:r w:rsidRPr="004225B2">
        <w:rPr>
          <w:lang w:val="en-US"/>
        </w:rPr>
        <w:t xml:space="preserve">Haiyan Yin , </w:t>
      </w:r>
      <w:proofErr w:type="spellStart"/>
      <w:r w:rsidRPr="004225B2">
        <w:rPr>
          <w:lang w:val="en-US"/>
        </w:rPr>
        <w:t>Jiawen</w:t>
      </w:r>
      <w:proofErr w:type="spellEnd"/>
      <w:r w:rsidRPr="004225B2">
        <w:rPr>
          <w:lang w:val="en-US"/>
        </w:rPr>
        <w:t xml:space="preserve"> Yang , </w:t>
      </w:r>
      <w:proofErr w:type="spellStart"/>
      <w:r w:rsidRPr="004225B2">
        <w:rPr>
          <w:lang w:val="en-US"/>
        </w:rPr>
        <w:t>Jamshid</w:t>
      </w:r>
      <w:proofErr w:type="spellEnd"/>
      <w:r w:rsidRPr="004225B2">
        <w:rPr>
          <w:lang w:val="en-US"/>
        </w:rPr>
        <w:t xml:space="preserve"> Mehran</w:t>
      </w:r>
      <w:r>
        <w:rPr>
          <w:lang w:val="en-US"/>
        </w:rPr>
        <w:t xml:space="preserve"> (2015), </w:t>
      </w:r>
      <w:r w:rsidRPr="004225B2">
        <w:rPr>
          <w:lang w:val="en-US"/>
        </w:rPr>
        <w:t>Do Chinese banks perform better after IPOs?</w:t>
      </w:r>
      <w:r>
        <w:rPr>
          <w:lang w:val="en-US"/>
        </w:rPr>
        <w:t xml:space="preserve">, </w:t>
      </w:r>
      <w:r w:rsidRPr="004225B2">
        <w:rPr>
          <w:lang w:val="en-US"/>
        </w:rPr>
        <w:t>Managerial Finance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88DDB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F21E3B9" wp14:editId="4229FAB0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7E8"/>
    <w:rsid w:val="0000713A"/>
    <w:rsid w:val="00007E00"/>
    <w:rsid w:val="00011AF2"/>
    <w:rsid w:val="00023634"/>
    <w:rsid w:val="0002523D"/>
    <w:rsid w:val="00027A92"/>
    <w:rsid w:val="00042F96"/>
    <w:rsid w:val="000651E9"/>
    <w:rsid w:val="00073AA7"/>
    <w:rsid w:val="00084553"/>
    <w:rsid w:val="000A74FA"/>
    <w:rsid w:val="000B149D"/>
    <w:rsid w:val="000B1AC5"/>
    <w:rsid w:val="000B7247"/>
    <w:rsid w:val="0010559C"/>
    <w:rsid w:val="00107844"/>
    <w:rsid w:val="00117785"/>
    <w:rsid w:val="00120FBD"/>
    <w:rsid w:val="0012424D"/>
    <w:rsid w:val="00130D0E"/>
    <w:rsid w:val="0013159A"/>
    <w:rsid w:val="00135455"/>
    <w:rsid w:val="00143310"/>
    <w:rsid w:val="00144E9C"/>
    <w:rsid w:val="00145480"/>
    <w:rsid w:val="00147E6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441C"/>
    <w:rsid w:val="001E188E"/>
    <w:rsid w:val="001E4F92"/>
    <w:rsid w:val="001E64EC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2F73D9"/>
    <w:rsid w:val="002F7FDF"/>
    <w:rsid w:val="00301B83"/>
    <w:rsid w:val="003056C6"/>
    <w:rsid w:val="00311B14"/>
    <w:rsid w:val="00324306"/>
    <w:rsid w:val="003278D6"/>
    <w:rsid w:val="003303F0"/>
    <w:rsid w:val="00331D0B"/>
    <w:rsid w:val="0034059B"/>
    <w:rsid w:val="0035019C"/>
    <w:rsid w:val="00360248"/>
    <w:rsid w:val="0036447C"/>
    <w:rsid w:val="00366A46"/>
    <w:rsid w:val="00377A0D"/>
    <w:rsid w:val="00380EEB"/>
    <w:rsid w:val="0038677D"/>
    <w:rsid w:val="003D3FF4"/>
    <w:rsid w:val="003D7161"/>
    <w:rsid w:val="003E3F9D"/>
    <w:rsid w:val="003E69E5"/>
    <w:rsid w:val="0040748E"/>
    <w:rsid w:val="00412206"/>
    <w:rsid w:val="00416917"/>
    <w:rsid w:val="00427E08"/>
    <w:rsid w:val="004349BA"/>
    <w:rsid w:val="0043575C"/>
    <w:rsid w:val="004365C7"/>
    <w:rsid w:val="004425B7"/>
    <w:rsid w:val="00444A85"/>
    <w:rsid w:val="00462CFA"/>
    <w:rsid w:val="004812E1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03F5"/>
    <w:rsid w:val="00520B00"/>
    <w:rsid w:val="00521BA3"/>
    <w:rsid w:val="00523E0D"/>
    <w:rsid w:val="00525588"/>
    <w:rsid w:val="0052710E"/>
    <w:rsid w:val="005428E6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70E6"/>
    <w:rsid w:val="0067485D"/>
    <w:rsid w:val="00677C49"/>
    <w:rsid w:val="00695096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042D2"/>
    <w:rsid w:val="00712B46"/>
    <w:rsid w:val="00715671"/>
    <w:rsid w:val="0071572D"/>
    <w:rsid w:val="007157BA"/>
    <w:rsid w:val="007169F9"/>
    <w:rsid w:val="007174A6"/>
    <w:rsid w:val="007224B3"/>
    <w:rsid w:val="00723AA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C2188"/>
    <w:rsid w:val="007E36E4"/>
    <w:rsid w:val="007F0ACE"/>
    <w:rsid w:val="00800F0E"/>
    <w:rsid w:val="00804024"/>
    <w:rsid w:val="0081753E"/>
    <w:rsid w:val="00836D0A"/>
    <w:rsid w:val="0085010E"/>
    <w:rsid w:val="0085454F"/>
    <w:rsid w:val="0087354F"/>
    <w:rsid w:val="00896985"/>
    <w:rsid w:val="008976EE"/>
    <w:rsid w:val="008A4DF1"/>
    <w:rsid w:val="008C53D0"/>
    <w:rsid w:val="008D527A"/>
    <w:rsid w:val="008D56DA"/>
    <w:rsid w:val="008D5771"/>
    <w:rsid w:val="008E2C74"/>
    <w:rsid w:val="008F472E"/>
    <w:rsid w:val="009007DC"/>
    <w:rsid w:val="00902556"/>
    <w:rsid w:val="0090338C"/>
    <w:rsid w:val="0091048E"/>
    <w:rsid w:val="00913F9C"/>
    <w:rsid w:val="00924ABC"/>
    <w:rsid w:val="00931C68"/>
    <w:rsid w:val="00931D1B"/>
    <w:rsid w:val="00940E8F"/>
    <w:rsid w:val="0095309C"/>
    <w:rsid w:val="0095451B"/>
    <w:rsid w:val="009652F2"/>
    <w:rsid w:val="009719ED"/>
    <w:rsid w:val="00986C37"/>
    <w:rsid w:val="00997528"/>
    <w:rsid w:val="0099796A"/>
    <w:rsid w:val="009C1346"/>
    <w:rsid w:val="009D05C8"/>
    <w:rsid w:val="009E3C0B"/>
    <w:rsid w:val="00A06DBA"/>
    <w:rsid w:val="00A13244"/>
    <w:rsid w:val="00A16CBA"/>
    <w:rsid w:val="00A239AA"/>
    <w:rsid w:val="00A439E8"/>
    <w:rsid w:val="00A44D04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22863"/>
    <w:rsid w:val="00B41502"/>
    <w:rsid w:val="00B4634A"/>
    <w:rsid w:val="00B51024"/>
    <w:rsid w:val="00B512B5"/>
    <w:rsid w:val="00B60CD8"/>
    <w:rsid w:val="00B60F9C"/>
    <w:rsid w:val="00B6769E"/>
    <w:rsid w:val="00B73F22"/>
    <w:rsid w:val="00B76F9A"/>
    <w:rsid w:val="00B810B2"/>
    <w:rsid w:val="00B9237D"/>
    <w:rsid w:val="00BA26F7"/>
    <w:rsid w:val="00BA79F0"/>
    <w:rsid w:val="00BA7A3A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7FF8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E586B"/>
    <w:rsid w:val="00CF11F7"/>
    <w:rsid w:val="00D1323F"/>
    <w:rsid w:val="00D202BA"/>
    <w:rsid w:val="00D251AC"/>
    <w:rsid w:val="00D41224"/>
    <w:rsid w:val="00D43766"/>
    <w:rsid w:val="00D471D6"/>
    <w:rsid w:val="00D47CCF"/>
    <w:rsid w:val="00D6457B"/>
    <w:rsid w:val="00D66DEC"/>
    <w:rsid w:val="00D71A41"/>
    <w:rsid w:val="00D768A4"/>
    <w:rsid w:val="00D83A00"/>
    <w:rsid w:val="00D92F52"/>
    <w:rsid w:val="00D956C1"/>
    <w:rsid w:val="00DA753F"/>
    <w:rsid w:val="00DB1953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73F9"/>
    <w:rsid w:val="00E24825"/>
    <w:rsid w:val="00E42093"/>
    <w:rsid w:val="00E522AD"/>
    <w:rsid w:val="00E551A2"/>
    <w:rsid w:val="00E64103"/>
    <w:rsid w:val="00E74B86"/>
    <w:rsid w:val="00E76CD1"/>
    <w:rsid w:val="00E87CB3"/>
    <w:rsid w:val="00E91F73"/>
    <w:rsid w:val="00EC75C9"/>
    <w:rsid w:val="00EE4AD8"/>
    <w:rsid w:val="00EF502D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D7D7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F64C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FF8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F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FF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670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67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policz_i_nie_przelicz_sie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3</cp:revision>
  <cp:lastPrinted>2019-03-06T14:11:00Z</cp:lastPrinted>
  <dcterms:created xsi:type="dcterms:W3CDTF">2021-11-05T13:50:00Z</dcterms:created>
  <dcterms:modified xsi:type="dcterms:W3CDTF">2021-11-05T13:51:00Z</dcterms:modified>
</cp:coreProperties>
</file>