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A1FFC" w14:textId="53F6F716" w:rsidR="004516CB" w:rsidRDefault="00653140" w:rsidP="00653140">
      <w:pPr>
        <w:pStyle w:val="Pagedecouverture"/>
        <w:rPr>
          <w:noProof/>
        </w:rPr>
      </w:pPr>
      <w:bookmarkStart w:id="0" w:name="LW_BM_COVERPAGE"/>
      <w:r>
        <w:rPr>
          <w:noProof/>
        </w:rPr>
        <w:pict w14:anchorId="69AD9A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0DD95F0C-69D6-4D3D-9111-26CC26086EBB" style="width:455.25pt;height:453.75pt">
            <v:imagedata r:id="rId11" o:title=""/>
          </v:shape>
        </w:pict>
      </w:r>
    </w:p>
    <w:bookmarkEnd w:id="0"/>
    <w:p w14:paraId="0B3EC94A" w14:textId="77777777" w:rsidR="009D10B6" w:rsidRPr="009D10B6" w:rsidRDefault="009D10B6" w:rsidP="009D10B6">
      <w:pPr>
        <w:pStyle w:val="Pagedecouverture"/>
        <w:rPr>
          <w:noProof/>
        </w:rPr>
        <w:sectPr w:rsidR="009D10B6" w:rsidRPr="009D10B6" w:rsidSect="0065314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5C3B5C" w:rsidRPr="0000636F" w14:paraId="752CADB6" w14:textId="77777777" w:rsidTr="3678BB74">
        <w:tc>
          <w:tcPr>
            <w:tcW w:w="10490" w:type="dxa"/>
            <w:tcBorders>
              <w:bottom w:val="single" w:sz="4" w:space="0" w:color="auto"/>
            </w:tcBorders>
            <w:shd w:val="clear" w:color="auto" w:fill="CCCCCC"/>
          </w:tcPr>
          <w:p w14:paraId="2FE4BCD3" w14:textId="77777777" w:rsidR="005C3B5C" w:rsidRPr="00D45A5C" w:rsidRDefault="005C3B5C" w:rsidP="00346839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b/>
                <w:noProof/>
                <w:sz w:val="24"/>
              </w:rPr>
              <w:lastRenderedPageBreak/>
              <w:t xml:space="preserve">Streszczenie oceny skutków </w:t>
            </w:r>
          </w:p>
        </w:tc>
      </w:tr>
      <w:tr w:rsidR="005C3B5C" w:rsidRPr="009D10B6" w14:paraId="7F701B30" w14:textId="77777777" w:rsidTr="3678BB74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4E110EC3" w14:textId="77777777" w:rsidR="005C3B5C" w:rsidRPr="004516CB" w:rsidRDefault="005C3B5C" w:rsidP="0034683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 xml:space="preserve">Ocena skutków dotycząca inicjatywy „Zrównoważone zużycie towarów – promowanie naprawy i ponownego użycia” </w:t>
            </w:r>
          </w:p>
        </w:tc>
      </w:tr>
      <w:tr w:rsidR="00664E5A" w:rsidRPr="00664E5A" w14:paraId="693C7F52" w14:textId="77777777" w:rsidTr="3678BB74">
        <w:tc>
          <w:tcPr>
            <w:tcW w:w="10490" w:type="dxa"/>
            <w:tcBorders>
              <w:bottom w:val="single" w:sz="4" w:space="0" w:color="auto"/>
            </w:tcBorders>
            <w:shd w:val="clear" w:color="auto" w:fill="CCCCCC"/>
          </w:tcPr>
          <w:p w14:paraId="0AD0042A" w14:textId="77777777" w:rsidR="00664E5A" w:rsidRPr="00664E5A" w:rsidRDefault="00664E5A" w:rsidP="003468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A. Zasadność działań</w:t>
            </w:r>
          </w:p>
        </w:tc>
      </w:tr>
      <w:tr w:rsidR="00664E5A" w:rsidRPr="009D10B6" w14:paraId="3B78EC1D" w14:textId="77777777" w:rsidTr="3678BB74">
        <w:tc>
          <w:tcPr>
            <w:tcW w:w="10490" w:type="dxa"/>
            <w:tcBorders>
              <w:bottom w:val="single" w:sz="4" w:space="0" w:color="auto"/>
            </w:tcBorders>
            <w:shd w:val="clear" w:color="auto" w:fill="E0E0E0"/>
          </w:tcPr>
          <w:p w14:paraId="50ED523E" w14:textId="77777777" w:rsidR="00664E5A" w:rsidRPr="004516CB" w:rsidRDefault="005C3B5C" w:rsidP="003468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b/>
                <w:noProof/>
                <w:sz w:val="24"/>
                <w:lang w:val="pl-PL"/>
              </w:rPr>
              <w:t xml:space="preserve">Na czym polega problem i dlaczego jest to problem na szczeblu UE? </w:t>
            </w:r>
          </w:p>
        </w:tc>
      </w:tr>
      <w:tr w:rsidR="00664E5A" w:rsidRPr="009D10B6" w14:paraId="5F9715E8" w14:textId="77777777" w:rsidTr="3678BB74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14:paraId="69782555" w14:textId="1C77ED7D" w:rsidR="0049165C" w:rsidRPr="004516CB" w:rsidRDefault="008F6EDF" w:rsidP="00346839">
            <w:pPr>
              <w:spacing w:after="24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>Inicjatywa stanowi realizację priorytetu Komisji, jakim jest transformacja ekologiczna, a w szczególności Europejski Zielony Ład i jego cel polegający na zrównoważonej konsumpcji. W przypadku wystąpienia wady w produktach konsumpcyjnych konsumenci często nie dążą do ich naprawy ani ponownego użycia, lecz przedwcześnie się ich pozbywają, chociaż produkty te mogłyby zostać naprawione i być ponownie używane. Dzieje się tak na przykład wówczas, gdy konsumenci wybierają wymianę zamiast naprawy w ramach gwarancji prawnej określonej w dyrektywie w sprawie sprzedaży towarów, oraz poza gwarancją prawną – gdy konsumenci nie decydują się na naprawę. Prowadzi to do zwiększenia ilości wytwarzanych odpadów i niepotrzebnych emisji CO</w:t>
            </w:r>
            <w:r w:rsidRPr="004516CB">
              <w:rPr>
                <w:rFonts w:ascii="Times New Roman" w:hAnsi="Times New Roman"/>
                <w:noProof/>
                <w:sz w:val="24"/>
                <w:vertAlign w:val="subscript"/>
                <w:lang w:val="pl-PL"/>
              </w:rPr>
              <w:t>2</w:t>
            </w: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>, a także do marnowania cennych zasobów.</w:t>
            </w:r>
          </w:p>
          <w:p w14:paraId="413D168E" w14:textId="767CC9CB" w:rsidR="008F6EDF" w:rsidRPr="004516CB" w:rsidRDefault="00123329" w:rsidP="003468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>Problem przedwczesnego pozbywania się produktów konsumenckich nadających się do naprawy występuje w całej UE i dotyczy szerokiej gamy tych produktów. Ponad dwie trzecie respondentów biorących udział w konsultacjach publicznych (65–74 %) opowiedziało się za rozwiązaniem problemu na szczeblu UE.</w:t>
            </w:r>
          </w:p>
        </w:tc>
      </w:tr>
      <w:tr w:rsidR="00664E5A" w:rsidRPr="00664E5A" w14:paraId="54142A57" w14:textId="77777777" w:rsidTr="3678BB74"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 w14:paraId="42305AB2" w14:textId="77777777" w:rsidR="00664E5A" w:rsidRPr="00664E5A" w:rsidRDefault="005C3B5C" w:rsidP="003468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Co należy osiągnąć?</w:t>
            </w:r>
          </w:p>
        </w:tc>
      </w:tr>
      <w:tr w:rsidR="00664E5A" w:rsidRPr="00664E5A" w14:paraId="42C19B43" w14:textId="77777777" w:rsidTr="3678BB74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14:paraId="26FFFF25" w14:textId="33556863" w:rsidR="008300B1" w:rsidRPr="004516CB" w:rsidRDefault="00FA4974" w:rsidP="003468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>Aby promować zrównoważoną konsumpcję poprzez naprawę i ponowne użycie funkcjonalnych produktów konsumpcyjnych, inicjatywa ta ma na celu zwiększenie liczby napraw wadliwych produktów konsumpcyjnych oraz przypadków ponownego użycia produktów w ramach gwarancji prawnej i poza jej zakresem.</w:t>
            </w:r>
          </w:p>
          <w:p w14:paraId="33367C14" w14:textId="025E9EC8" w:rsidR="008300B1" w:rsidRPr="004516CB" w:rsidRDefault="008300B1" w:rsidP="003468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 xml:space="preserve">Komisja w sposób kompleksowy realizuje cel określony w Zielonym Ładzie, jakim jest zrównoważona konsumpcja. Po stronie podaży we wniosku dotyczącym rozporządzenia w sprawie ekoprojektu dla zrównoważonych produktów wspiera się możliwość naprawy produktów. Po stronie popytu wniosek dotyczący dyrektywy w sprawie wzmocnienia pozycji konsumentów w procesie transformacji ekologicznej umożliwia konsumentom podejmowanie świadomych decyzji o kupnie. Ponieważ wnioski te nie prowadzą same w sobie do zwiększenia liczby napraw w fazie posprzedażnej, inicjatywa ta wprowadza trzeci wymiar. Jej celem jest promowanie naprawy jako środka ochrony prawnej w czasie trwania gwarancji prawnej oraz zapewnienie konsumentom i przedsiębiorstwom nowych narzędzi promujących naprawę poza gwarancją prawną. </w:t>
            </w:r>
          </w:p>
          <w:p w14:paraId="6B735646" w14:textId="0F257F15" w:rsidR="008300B1" w:rsidRPr="008300B1" w:rsidRDefault="1E0A3069" w:rsidP="003468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 xml:space="preserve">Wszystkie te trzy środki mają na celu osiągnięcie bardziej zrównoważonej konsumpcji. Opracowano je tak, aby miały skumulowany skutek, a ich wspólny zakres obejmował cały cykl życia produktu. </w:t>
            </w:r>
            <w:r>
              <w:rPr>
                <w:rFonts w:ascii="Times New Roman" w:hAnsi="Times New Roman"/>
                <w:noProof/>
                <w:sz w:val="24"/>
              </w:rPr>
              <w:t>W związku z tym należy je postrzegać łącznie.</w:t>
            </w:r>
          </w:p>
        </w:tc>
      </w:tr>
      <w:tr w:rsidR="00664E5A" w:rsidRPr="009D10B6" w14:paraId="5885A82C" w14:textId="77777777" w:rsidTr="3678BB74"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 w14:paraId="186E3F78" w14:textId="77777777" w:rsidR="00664E5A" w:rsidRPr="004516CB" w:rsidRDefault="00664E5A" w:rsidP="003468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b/>
                <w:noProof/>
                <w:sz w:val="24"/>
                <w:lang w:val="pl-PL"/>
              </w:rPr>
              <w:t>Na czym polega wartość dodana podjęcia działań na poziomie UE (zasada pomocniczości)?</w:t>
            </w: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 xml:space="preserve"> </w:t>
            </w:r>
          </w:p>
        </w:tc>
      </w:tr>
      <w:tr w:rsidR="00664E5A" w:rsidRPr="009D10B6" w14:paraId="5C1D8CC0" w14:textId="77777777" w:rsidTr="3678BB74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14:paraId="1A918810" w14:textId="1D5120BF" w:rsidR="00664E5A" w:rsidRPr="004516CB" w:rsidRDefault="00CB0292" w:rsidP="003468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 xml:space="preserve">W ramach dyrektywy w sprawie sprzedaży towarów dokonano już pełnej harmonizacji środków ochrony prawnej dotyczących wadliwych produktów konsumpcyjnych. Jeżeli przepisy te mają zostać zmienione w celu promowania naprawy i ponownego użycia towarów w ramach gwarancji prawnej, zmiany tej należy dokonać na szczeblu UE. Ponadto krajowe środki ukierunkowane na promowanie naprawy i ponownego </w:t>
            </w: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lastRenderedPageBreak/>
              <w:t xml:space="preserve">użycia produktów konsumpcyjnych poza gwarancją prawną spowodowałyby lub zwiększyłyby rozdrobnienie na jednolitym rynku. </w:t>
            </w:r>
          </w:p>
        </w:tc>
      </w:tr>
      <w:tr w:rsidR="00664E5A" w:rsidRPr="00664E5A" w14:paraId="41BDFB3F" w14:textId="77777777" w:rsidTr="3678BB74">
        <w:tc>
          <w:tcPr>
            <w:tcW w:w="10490" w:type="dxa"/>
            <w:tcBorders>
              <w:bottom w:val="single" w:sz="4" w:space="0" w:color="auto"/>
            </w:tcBorders>
            <w:shd w:val="clear" w:color="auto" w:fill="CCCCCC"/>
          </w:tcPr>
          <w:p w14:paraId="74AD91C4" w14:textId="77777777" w:rsidR="00664E5A" w:rsidRPr="00664E5A" w:rsidRDefault="00664E5A" w:rsidP="003468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lastRenderedPageBreak/>
              <w:t>B. Rozwiązania</w:t>
            </w:r>
          </w:p>
        </w:tc>
      </w:tr>
      <w:tr w:rsidR="00664E5A" w:rsidRPr="009D10B6" w14:paraId="67D6194F" w14:textId="77777777" w:rsidTr="3678BB74"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 w14:paraId="305C8138" w14:textId="77777777" w:rsidR="00664E5A" w:rsidRPr="004516CB" w:rsidRDefault="00664E5A" w:rsidP="003468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b/>
                <w:noProof/>
                <w:sz w:val="24"/>
                <w:lang w:val="pl-PL"/>
              </w:rPr>
              <w:t>Jakie są różne warianty działań służących osiągnięciu celów?</w:t>
            </w: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 xml:space="preserve"> </w:t>
            </w:r>
            <w:r w:rsidRPr="004516CB">
              <w:rPr>
                <w:rFonts w:ascii="Times New Roman" w:hAnsi="Times New Roman"/>
                <w:b/>
                <w:noProof/>
                <w:sz w:val="24"/>
                <w:lang w:val="pl-PL"/>
              </w:rPr>
              <w:t>Czy wskazano preferowany wariant? Jeżeli nie, dlaczego?</w:t>
            </w:r>
          </w:p>
        </w:tc>
      </w:tr>
      <w:tr w:rsidR="00664E5A" w:rsidRPr="009D10B6" w14:paraId="08F29D86" w14:textId="77777777" w:rsidTr="3678BB74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14:paraId="6968867D" w14:textId="2C710DEA" w:rsidR="00F607AE" w:rsidRPr="004516CB" w:rsidRDefault="00137D95" w:rsidP="003468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 xml:space="preserve">Warianty ukierunkowane na propagowanie naprawy i ponownego użycia towarów </w:t>
            </w:r>
            <w:r w:rsidRPr="004516CB">
              <w:rPr>
                <w:rFonts w:ascii="Times New Roman" w:hAnsi="Times New Roman"/>
                <w:b/>
                <w:noProof/>
                <w:sz w:val="24"/>
                <w:lang w:val="pl-PL"/>
              </w:rPr>
              <w:t>w ramach gwarancji prawnej</w:t>
            </w: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 xml:space="preserve"> obejmują: nadanie priorytetu naprawie w ramach systemu środków ochrony prawnej określonego w dyrektywie w sprawie sprzedaży towarów w każdym przypadku, gdy jest ona tańsza niż wymiana; ustanowienie naprawy podstawowym środkiem ochrony prawnej; wydłużenie okresu odpowiedzialności w kontekście naprawy; ujednolicenie </w:t>
            </w:r>
            <w:r w:rsidRPr="004516CB">
              <w:rPr>
                <w:rStyle w:val="Heading3Char"/>
                <w:b w:val="0"/>
                <w:noProof/>
                <w:lang w:val="pl-PL"/>
              </w:rPr>
              <w:t>okresu odpowiedzialności za towary odnowione z okresem odpowiedzialności za towary nowe oraz wymianę towarów wadliwych na towary odnowione.</w:t>
            </w: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 xml:space="preserve"> </w:t>
            </w:r>
          </w:p>
          <w:p w14:paraId="5D324082" w14:textId="25EC739B" w:rsidR="00B25F30" w:rsidRPr="004516CB" w:rsidRDefault="00053EEE" w:rsidP="00346839">
            <w:pPr>
              <w:spacing w:after="240" w:line="240" w:lineRule="auto"/>
              <w:jc w:val="both"/>
              <w:rPr>
                <w:rStyle w:val="Heading3Char"/>
                <w:b w:val="0"/>
                <w:noProof/>
                <w:lang w:val="pl-PL"/>
              </w:rPr>
            </w:pP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 xml:space="preserve">Warianty ukierunkowane na ułatwianie i zachęcanie do naprawy i ponownego użycia towarów </w:t>
            </w:r>
            <w:r w:rsidRPr="004516CB">
              <w:rPr>
                <w:rFonts w:ascii="Times New Roman" w:hAnsi="Times New Roman"/>
                <w:b/>
                <w:noProof/>
                <w:sz w:val="24"/>
                <w:lang w:val="pl-PL"/>
              </w:rPr>
              <w:t>poza gwarancją prawną</w:t>
            </w: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 xml:space="preserve"> obejmują: dostarczenie informacji na temat naprawy przez producentów oraz przez platformę wymiany dotyczącą towarów naprawionych i odnowionych na szczeblu krajowym lub unijnym; poprawę przejrzystości i warunków naprawy przez dobrowolne zobowiązania; zobowiązanie podmiotów zajmujących się naprawą do wystawienia oferty naprawy obejmującej cenę i warunki naprawy oraz zobowiązanie producentów do naprawy towarów podlegających wymogom związanym z możliwością naprawy wynikającym z prawa Unii lub do naprawy wszystkich produktów za określoną cenę. </w:t>
            </w:r>
          </w:p>
          <w:p w14:paraId="6BE1A672" w14:textId="7E06CC66" w:rsidR="00B25F30" w:rsidRDefault="6ED96515" w:rsidP="003468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4516CB">
              <w:rPr>
                <w:rFonts w:ascii="Times New Roman" w:hAnsi="Times New Roman"/>
                <w:b/>
                <w:noProof/>
                <w:sz w:val="24"/>
                <w:lang w:val="pl-PL"/>
              </w:rPr>
              <w:t>Pakiet wariantów preferowanych</w:t>
            </w: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 xml:space="preserve"> obejmuje elementy z obu grup, z naciskiem na rozwiązanie kwestii naprawy wykraczającej poza zakres gwarancji prawnej, ponieważ to w tym scenariuszu pojawia się najwięcej wad, więc potencjał do zwiększenia liczby napraw jest największy. </w:t>
            </w:r>
            <w:r>
              <w:rPr>
                <w:rFonts w:ascii="Times New Roman" w:hAnsi="Times New Roman"/>
                <w:noProof/>
                <w:sz w:val="24"/>
              </w:rPr>
              <w:t xml:space="preserve">Preferowany wariant składa się z następujących elementów: </w:t>
            </w:r>
          </w:p>
          <w:p w14:paraId="4ABB60D8" w14:textId="61E5BDCD" w:rsidR="00C20830" w:rsidRPr="004516CB" w:rsidRDefault="00A11C36" w:rsidP="00346839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 xml:space="preserve">nadawanie priorytetu naprawie za każdym razem, gdy jest ona tańsza niż wymiana, w czasie trwania gwarancji prawnej; </w:t>
            </w:r>
          </w:p>
          <w:p w14:paraId="117F1B02" w14:textId="2DB7FA45" w:rsidR="00C20830" w:rsidRPr="004516CB" w:rsidRDefault="008D5BA0" w:rsidP="00346839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 xml:space="preserve">zobowiązanie producentów do informowania o tym, czy oferują oni naprawę, oraz o swoim ewentualnym obowiązku naprawy; </w:t>
            </w:r>
          </w:p>
          <w:p w14:paraId="543BDBB7" w14:textId="67865ACA" w:rsidR="00C20830" w:rsidRPr="004516CB" w:rsidRDefault="00810A5F" w:rsidP="00346839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>platforma na szczeblu krajowym, łączenie konsumentów z podmiotami zajmującymi się naprawą kluczowych produktów konsumpcyjnych i promowanie towarów odnowionych;</w:t>
            </w:r>
          </w:p>
          <w:p w14:paraId="1768D9F8" w14:textId="7DDCF42F" w:rsidR="00C20830" w:rsidRPr="004516CB" w:rsidRDefault="008D5BA0" w:rsidP="00346839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 xml:space="preserve">dobrowolne zobowiązania do stosowania unijnej normy łatwej naprawy; </w:t>
            </w:r>
          </w:p>
          <w:p w14:paraId="2C7EB472" w14:textId="08BF7E7E" w:rsidR="00C623DE" w:rsidRPr="004516CB" w:rsidRDefault="001554DC" w:rsidP="00346839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>zobowiązanie podmiotów oferujących naprawę do przedstawienia oferty dotyczącej ceny i warunków naprawy w standardowym formularzu;</w:t>
            </w:r>
          </w:p>
          <w:p w14:paraId="28F2E2C6" w14:textId="5F304710" w:rsidR="00664E5A" w:rsidRPr="004516CB" w:rsidRDefault="001554DC" w:rsidP="00346839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>zobowiązanie producentów towarów podlegających wymogom związanym z możliwością naprawy wynikającym z prawa Unii do naprawy poza gwarancją prawną, za określoną cenę.</w:t>
            </w:r>
          </w:p>
        </w:tc>
      </w:tr>
      <w:tr w:rsidR="00664E5A" w:rsidRPr="009D10B6" w14:paraId="1D0306D5" w14:textId="77777777" w:rsidTr="3678BB74">
        <w:tc>
          <w:tcPr>
            <w:tcW w:w="10490" w:type="dxa"/>
            <w:shd w:val="clear" w:color="auto" w:fill="CCCCCC"/>
          </w:tcPr>
          <w:p w14:paraId="5E91DE1E" w14:textId="0D0443E7" w:rsidR="00664E5A" w:rsidRPr="004516CB" w:rsidRDefault="100B249F" w:rsidP="3678BB7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b/>
                <w:noProof/>
                <w:sz w:val="24"/>
                <w:lang w:val="pl-PL"/>
              </w:rPr>
              <w:t xml:space="preserve">Jakie są opinie poszczególnych zainteresowanych stron? Jak kształtuje się poparcie dla poszczególnych wariantów? </w:t>
            </w:r>
          </w:p>
        </w:tc>
      </w:tr>
      <w:tr w:rsidR="00664E5A" w:rsidRPr="009D10B6" w14:paraId="18CECFF3" w14:textId="77777777" w:rsidTr="3678BB74">
        <w:tc>
          <w:tcPr>
            <w:tcW w:w="10490" w:type="dxa"/>
            <w:shd w:val="clear" w:color="auto" w:fill="auto"/>
          </w:tcPr>
          <w:p w14:paraId="1829DC5E" w14:textId="22214AF8" w:rsidR="00664E5A" w:rsidRPr="004516CB" w:rsidRDefault="008362A9" w:rsidP="003468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 xml:space="preserve">Wyraźna większość zainteresowanych stron biorących udział w konsultacjach publicznych zgodziła się ze wskazanymi problemami. </w:t>
            </w:r>
          </w:p>
          <w:p w14:paraId="66D74D36" w14:textId="4BBD2C53" w:rsidR="00C32AFF" w:rsidRPr="004516CB" w:rsidRDefault="008362A9" w:rsidP="00346839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 xml:space="preserve">Nieznaczna większość wszystkich zainteresowanych stron, w tym większość obywateli UE, zainteresowanych przedsiębiorstw i organów publicznych, którzy udzielili odpowiedzi, uznała za skuteczny wariant polegający na nadaniu priorytetu naprawie w każdym przypadku, gdy jest ona tańsza niż wymiana. </w:t>
            </w: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lastRenderedPageBreak/>
              <w:t xml:space="preserve">Większość konsumentów i organizacji środowiskowych uznała ten środek za nieskuteczny. Wariant ten poparło kilka państw członkowskich. </w:t>
            </w:r>
          </w:p>
          <w:p w14:paraId="7031B90D" w14:textId="15B164AD" w:rsidR="00E943F2" w:rsidRPr="004516CB" w:rsidRDefault="00FA0000" w:rsidP="00346839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 xml:space="preserve">Połowa wszystkich zainteresowanych stron biorących udział w konsultacjach poparła skuteczność dobrowolnych zobowiązań ukierunkowanych na promowanie naprawy. W szczególności zainteresowane przedsiębiorstwa uznały ten środek za skuteczny, natomiast większość organizacji środowiskowych i połowa organizacji konsumenckich udzielających odpowiedzi uznała go za nieskuteczny. </w:t>
            </w:r>
          </w:p>
          <w:p w14:paraId="3E3F2DDA" w14:textId="1563D04B" w:rsidR="00664E5A" w:rsidRPr="004516CB" w:rsidRDefault="3C0078C6" w:rsidP="3678BB74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 xml:space="preserve">W kwestii obowiązku producenta w zakresie naprawy za określoną cenę nieznaczna większość respondentów uznała, że powinien on mieć zastosowanie w sytuacji, gdy wady wynikają ze zużycia, a połowa z nich uznała, że powinien on mieć zastosowanie w sytuacji, gdy wady wystąpią po wygaśnięciu gwarancji prawnej. Zainteresowane przedsiębiorstwa były odmiennego zdania: jedynie mniejszość uznała, że wady wynikające ze zużycia powinny podlegać temu obowiązkowi. </w:t>
            </w:r>
          </w:p>
        </w:tc>
      </w:tr>
      <w:tr w:rsidR="00664E5A" w:rsidRPr="009D10B6" w14:paraId="642EC37E" w14:textId="77777777" w:rsidTr="3678BB74">
        <w:tc>
          <w:tcPr>
            <w:tcW w:w="10490" w:type="dxa"/>
            <w:tcBorders>
              <w:bottom w:val="single" w:sz="4" w:space="0" w:color="auto"/>
            </w:tcBorders>
            <w:shd w:val="clear" w:color="auto" w:fill="CCCCCC"/>
          </w:tcPr>
          <w:p w14:paraId="510C6941" w14:textId="77777777" w:rsidR="00664E5A" w:rsidRPr="004516CB" w:rsidRDefault="00664E5A" w:rsidP="003468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b/>
                <w:noProof/>
                <w:sz w:val="24"/>
                <w:lang w:val="pl-PL"/>
              </w:rPr>
              <w:lastRenderedPageBreak/>
              <w:t>C. Skutki wdrożenia preferowanego wariantu</w:t>
            </w:r>
          </w:p>
        </w:tc>
      </w:tr>
      <w:tr w:rsidR="00664E5A" w:rsidRPr="009D10B6" w14:paraId="5C0F09AC" w14:textId="77777777" w:rsidTr="3678BB74"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 w14:paraId="710EB3A7" w14:textId="77777777" w:rsidR="00664E5A" w:rsidRPr="004516CB" w:rsidRDefault="00664E5A" w:rsidP="003468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b/>
                <w:noProof/>
                <w:sz w:val="24"/>
                <w:lang w:val="pl-PL"/>
              </w:rPr>
              <w:t>Jakie korzyści</w:t>
            </w: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 xml:space="preserve"> </w:t>
            </w:r>
            <w:r w:rsidRPr="004516CB">
              <w:rPr>
                <w:rFonts w:ascii="Times New Roman" w:hAnsi="Times New Roman"/>
                <w:b/>
                <w:noProof/>
                <w:sz w:val="24"/>
                <w:lang w:val="pl-PL"/>
              </w:rPr>
              <w:t>przyniesie wdrożenie preferowanego wariantu lub – jeśli go nie wskazano – głównych wariantów?</w:t>
            </w: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 xml:space="preserve"> </w:t>
            </w:r>
          </w:p>
        </w:tc>
      </w:tr>
      <w:tr w:rsidR="00664E5A" w:rsidRPr="009D10B6" w14:paraId="429DEE08" w14:textId="77777777" w:rsidTr="3678BB74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14:paraId="170CC216" w14:textId="10DE8AE9" w:rsidR="00362DD8" w:rsidRPr="004516CB" w:rsidRDefault="00362DD8" w:rsidP="00346839">
            <w:pPr>
              <w:pStyle w:val="Text1"/>
              <w:spacing w:line="240" w:lineRule="auto"/>
              <w:ind w:left="0"/>
              <w:jc w:val="both"/>
              <w:rPr>
                <w:noProof/>
                <w:lang w:val="pl-PL"/>
              </w:rPr>
            </w:pPr>
            <w:r w:rsidRPr="004516CB">
              <w:rPr>
                <w:noProof/>
                <w:lang w:val="pl-PL"/>
              </w:rPr>
              <w:t>Wpływ preferowanego wariantu na środowisko należy rozpatrywać łącznie z wpływem rozporządzenia w sprawie ekoprojektu dla zrównoważonych produktów i dyrektywy w sprawie wzmocnienia pozycji konsumentów w procesie transformacji ekologicznej, ponieważ opracowano je w taki sposób, aby miały skumulowany skutek. Na przestrzeni 15 lat inicjatywa ta pozwoli zaoszczędzić 18,4 mln ton CO</w:t>
            </w:r>
            <w:r w:rsidRPr="004516CB">
              <w:rPr>
                <w:noProof/>
                <w:vertAlign w:val="subscript"/>
                <w:lang w:val="pl-PL"/>
              </w:rPr>
              <w:t>2</w:t>
            </w:r>
            <w:r w:rsidRPr="004516CB">
              <w:rPr>
                <w:noProof/>
                <w:lang w:val="pl-PL"/>
              </w:rPr>
              <w:t>, podczas gdy rozporządzenie w sprawie ekoprojektu dla zrównoważonych produktów – 471 mln ton, a dyrektywa w sprawie wzmocnienia pozycji konsumentów w procesie transformacji ekologicznej – 0,33–0,47 mln ton. Ich łączny wpływ na środowisko jest zatem bardzo znaczący. Ograniczenie emisji CO</w:t>
            </w:r>
            <w:r w:rsidRPr="004516CB">
              <w:rPr>
                <w:noProof/>
                <w:vertAlign w:val="subscript"/>
                <w:lang w:val="pl-PL"/>
              </w:rPr>
              <w:t>2</w:t>
            </w:r>
            <w:r w:rsidRPr="004516CB">
              <w:rPr>
                <w:noProof/>
                <w:lang w:val="pl-PL"/>
              </w:rPr>
              <w:t xml:space="preserve"> uzyskane dzięki rozporządzeniu w sprawie ekoprojektu dla zrównoważonych produktów jest znacznie większe, ponieważ rozporządzenie to ma na celu daleko idące zmiany w wytwarzaniu produktów, ale jednocześnie niniejsza inicjatywa zapewnia ograniczenie emisji znacznie większej ilości CO</w:t>
            </w:r>
            <w:r w:rsidRPr="004516CB">
              <w:rPr>
                <w:noProof/>
                <w:vertAlign w:val="subscript"/>
                <w:lang w:val="pl-PL"/>
              </w:rPr>
              <w:t>2</w:t>
            </w:r>
            <w:r w:rsidRPr="004516CB">
              <w:rPr>
                <w:noProof/>
                <w:lang w:val="pl-PL"/>
              </w:rPr>
              <w:t xml:space="preserve"> w porównaniu z dyrektywą w sprawie wzmocnienia pozycji konsumentów w procesie transformacji ekologicznej. Inicjatywy pomagają również sobie wzajemnie w generowaniu ich wpływu.</w:t>
            </w:r>
          </w:p>
          <w:p w14:paraId="2947CD5B" w14:textId="4432222D" w:rsidR="00D02EAD" w:rsidRPr="004516CB" w:rsidRDefault="0AA70BCF" w:rsidP="00346839">
            <w:pPr>
              <w:pStyle w:val="Text1"/>
              <w:spacing w:line="240" w:lineRule="auto"/>
              <w:ind w:left="0"/>
              <w:jc w:val="both"/>
              <w:rPr>
                <w:noProof/>
                <w:lang w:val="pl-PL"/>
              </w:rPr>
            </w:pPr>
            <w:r w:rsidRPr="004516CB">
              <w:rPr>
                <w:noProof/>
                <w:lang w:val="pl-PL"/>
              </w:rPr>
              <w:t>Przedsiębiorstwa poniosą straty z powodu rezygnacji ze sprzedaży i ograniczonej produkcji nowych towarów. Bardzo duże oszczędności dla konsumentów (176,5 mld EUR w ciągu 15 lat) przewyższają koszty ponoszone przez przedsiębiorstwa. Pakiet wariantów preferowanych przyczynia się do zmiany struktur konsumpcji konsumentów w kierunku zrównoważonego rozwoju w perspektywie długoterminowej, dzięki czemu konsumenci wydają mniej pieniędzy ze względu na mniejszą konsumpcję. Straty przedsiębiorstw odzwierciedlają zatem przekazanie przychodów przedsiębiorstw na rzecz zapewnienia dobrobytu konsumentom, a konsumenci prawdopodobnie zainwestują zaoszczędzone pieniądze w ogólną gospodarkę, co z kolei doprowadzi do wzrostu gospodarczego i inwestycji.</w:t>
            </w:r>
          </w:p>
        </w:tc>
      </w:tr>
      <w:tr w:rsidR="00664E5A" w:rsidRPr="009D10B6" w14:paraId="7C1DFDF0" w14:textId="77777777" w:rsidTr="3678BB74"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 w14:paraId="3FC177CE" w14:textId="4F0A10AD" w:rsidR="00664E5A" w:rsidRPr="004516CB" w:rsidRDefault="00664E5A" w:rsidP="003468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b/>
                <w:noProof/>
                <w:sz w:val="24"/>
                <w:lang w:val="pl-PL"/>
              </w:rPr>
              <w:t>Jakie są koszty wdrożenia preferowanego wariantu lub – jeśli go nie wskazano – głównych wariantów?</w:t>
            </w:r>
          </w:p>
        </w:tc>
      </w:tr>
      <w:tr w:rsidR="00664E5A" w:rsidRPr="009D10B6" w14:paraId="004C8562" w14:textId="77777777" w:rsidTr="3678BB74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14:paraId="6092F1A1" w14:textId="509528E0" w:rsidR="006139D5" w:rsidRPr="004516CB" w:rsidRDefault="00731D82" w:rsidP="00346839">
            <w:pPr>
              <w:pStyle w:val="Text1"/>
              <w:spacing w:line="240" w:lineRule="auto"/>
              <w:ind w:left="0"/>
              <w:jc w:val="both"/>
              <w:rPr>
                <w:noProof/>
                <w:lang w:val="pl-PL"/>
              </w:rPr>
            </w:pPr>
            <w:r w:rsidRPr="004516CB">
              <w:rPr>
                <w:noProof/>
                <w:lang w:val="pl-PL"/>
              </w:rPr>
              <w:t>Handlowcy i producenci z UE poniosą straty w wartości dodanej brutto z powodu ograniczenia sprzedaży i produkcji nowych towarów oraz z powodu konieczności spełnienia nowych wymogów informacyjnych i obowiązku naprawy. Koszty dostosowania przedsiębiorstw są wysokie, ale nie nieadekwatne, biorąc pod uwagę znaczny wpływ inicjatywy.</w:t>
            </w:r>
          </w:p>
        </w:tc>
      </w:tr>
      <w:tr w:rsidR="00664E5A" w:rsidRPr="009D10B6" w14:paraId="7A5910AB" w14:textId="77777777" w:rsidTr="3678BB74"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 w14:paraId="12A5B68E" w14:textId="77777777" w:rsidR="00664E5A" w:rsidRPr="004516CB" w:rsidRDefault="00664E5A" w:rsidP="003468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b/>
                <w:noProof/>
                <w:sz w:val="24"/>
                <w:lang w:val="pl-PL"/>
              </w:rPr>
              <w:lastRenderedPageBreak/>
              <w:t xml:space="preserve">Jakie są skutki dla MŚP i konkurencyjności? </w:t>
            </w:r>
          </w:p>
        </w:tc>
      </w:tr>
      <w:tr w:rsidR="00664E5A" w:rsidRPr="009D10B6" w14:paraId="7392E5FA" w14:textId="77777777" w:rsidTr="3678BB74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14:paraId="45E16956" w14:textId="502E8A19" w:rsidR="00664E5A" w:rsidRPr="004516CB" w:rsidRDefault="0084502A" w:rsidP="00346839">
            <w:pPr>
              <w:pStyle w:val="Text1"/>
              <w:spacing w:line="240" w:lineRule="auto"/>
              <w:ind w:left="0"/>
              <w:jc w:val="both"/>
              <w:rPr>
                <w:noProof/>
                <w:lang w:val="pl-PL"/>
              </w:rPr>
            </w:pPr>
            <w:r w:rsidRPr="004516CB">
              <w:rPr>
                <w:noProof/>
                <w:lang w:val="pl-PL"/>
              </w:rPr>
              <w:t>MŚP także poniosą koszty, o których mowa powyżej. Chociaż koszty dostosowania i koszty administracyjne w stosunku do przychodów przedsiębiorstw są nieproporcjonalnie wyższe w przypadku MŚP, oczekuje się, że ogólny bilans kosztów i korzyści w ramach preferowanego wariantu będzie nieznacznie korzystny dla MŚP w ujęciu całościowym. Wynika to z faktu, że w wyniku tej inicjatywy MŚP z sektora napraw odniosą korzyści, a sektor produkcji i handlu detalicznego, w tym MŚP z tego sektora, będzie w pewnym stopniu poszkodowany.</w:t>
            </w:r>
          </w:p>
        </w:tc>
      </w:tr>
      <w:tr w:rsidR="00664E5A" w:rsidRPr="009D10B6" w14:paraId="020A12D5" w14:textId="77777777" w:rsidTr="3678BB74"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 w14:paraId="658D8A93" w14:textId="77777777" w:rsidR="00664E5A" w:rsidRPr="004516CB" w:rsidRDefault="00664E5A" w:rsidP="003468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b/>
                <w:noProof/>
                <w:sz w:val="24"/>
                <w:lang w:val="pl-PL"/>
              </w:rPr>
              <w:t>Czy przewiduje się znaczące skutki</w:t>
            </w: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 xml:space="preserve"> </w:t>
            </w:r>
            <w:r w:rsidRPr="004516CB">
              <w:rPr>
                <w:rFonts w:ascii="Times New Roman" w:hAnsi="Times New Roman"/>
                <w:b/>
                <w:noProof/>
                <w:sz w:val="24"/>
                <w:lang w:val="pl-PL"/>
              </w:rPr>
              <w:t>dla budżetów i administracji krajowych?</w:t>
            </w: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 xml:space="preserve"> </w:t>
            </w:r>
          </w:p>
        </w:tc>
      </w:tr>
      <w:tr w:rsidR="00664E5A" w:rsidRPr="009D10B6" w14:paraId="0E8DE7D1" w14:textId="77777777" w:rsidTr="3678BB74">
        <w:tc>
          <w:tcPr>
            <w:tcW w:w="10490" w:type="dxa"/>
            <w:shd w:val="clear" w:color="auto" w:fill="auto"/>
          </w:tcPr>
          <w:p w14:paraId="5781184B" w14:textId="6773A794" w:rsidR="00664E5A" w:rsidRPr="004516CB" w:rsidRDefault="00F740C3" w:rsidP="003468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>Nie przewiduje się, aby organy publiczne poniosły znaczne koszty egzekwowania przepisów. Platforma krajowa spowoduje pewne koszty związane z rozwojem informatycznym i utrzymaniem platformy, a tak</w:t>
            </w:r>
            <w:r w:rsidR="004516CB">
              <w:rPr>
                <w:rFonts w:ascii="Times New Roman" w:hAnsi="Times New Roman"/>
                <w:noProof/>
                <w:sz w:val="24"/>
                <w:lang w:val="pl-PL"/>
              </w:rPr>
              <w:t>że z podnoszeniem świadomości.</w:t>
            </w:r>
          </w:p>
        </w:tc>
      </w:tr>
      <w:tr w:rsidR="00664E5A" w:rsidRPr="009D10B6" w14:paraId="0EB05B5E" w14:textId="77777777" w:rsidTr="3678BB74"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 w14:paraId="7502FCFD" w14:textId="77777777" w:rsidR="00664E5A" w:rsidRPr="004516CB" w:rsidRDefault="00664E5A" w:rsidP="003468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b/>
                <w:noProof/>
                <w:sz w:val="24"/>
                <w:lang w:val="pl-PL"/>
              </w:rPr>
              <w:t>Czy wystąpią inne znaczące skutki?</w:t>
            </w: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 xml:space="preserve"> </w:t>
            </w:r>
          </w:p>
        </w:tc>
      </w:tr>
      <w:tr w:rsidR="00664E5A" w:rsidRPr="009D10B6" w14:paraId="0E0BC76C" w14:textId="77777777" w:rsidTr="3678BB74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14:paraId="1EADD687" w14:textId="5D34415F" w:rsidR="00664E5A" w:rsidRPr="004516CB" w:rsidRDefault="00E6283C" w:rsidP="003468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 xml:space="preserve">Producenci z państw trzecich mogą ponieść straty z powodu spadku sprzedaży nowych, przywożonych towarów. Wpływ ten może jednak mieć również bardziej długoterminowe pozytywne skutki globalne, ponieważ producenci ci mogą zyskać zachętę do przejścia na produkcję trwalszych towarów. </w:t>
            </w:r>
          </w:p>
        </w:tc>
      </w:tr>
      <w:tr w:rsidR="00664E5A" w:rsidRPr="00664E5A" w14:paraId="7056B10C" w14:textId="77777777" w:rsidTr="3678BB74">
        <w:tc>
          <w:tcPr>
            <w:tcW w:w="104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EE2D8F" w14:textId="77777777" w:rsidR="00664E5A" w:rsidRPr="00664E5A" w:rsidRDefault="00664E5A" w:rsidP="003468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Proporcjonalność?</w:t>
            </w:r>
            <w:r>
              <w:rPr>
                <w:rFonts w:ascii="Times New Roman" w:hAnsi="Times New Roman"/>
                <w:noProof/>
                <w:sz w:val="24"/>
              </w:rPr>
              <w:t xml:space="preserve"> </w:t>
            </w:r>
          </w:p>
        </w:tc>
      </w:tr>
      <w:tr w:rsidR="00664E5A" w:rsidRPr="009D10B6" w14:paraId="7FAD0B6A" w14:textId="77777777" w:rsidTr="3678BB74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14:paraId="60F3AFD3" w14:textId="42A94BDA" w:rsidR="00664E5A" w:rsidRPr="004516CB" w:rsidRDefault="000864C1" w:rsidP="003468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>W pakiecie wariantów preferowanych przedstawiono zrównoważone podejście zgodne z zasadą proporcjonalności. W celu promowania naprawy w kontekście gwarancji prawnej przepisy krajowe zmieniono wyłącznie w minimalnym zakresie niezbędnym do osiągnięcia celu. Wariant nie narusza ugruntowanych ustaleń krajowych dotyczących okresów odpowiedzialności. W przypadku czterech pozostałych wariantów poza gwarancją prawną harmonizacja na szczeblu UE ogranicza się wyłącznie do tych wariantów, zwłaszcza oferty i obowiązku naprawy, których zasięg obejmuje rynek wewnętrzny. W przypadku gdy rozwiązanie na szczeblu krajowym jest skuteczne (tj. platforma naprawcza), jest to wariant preferowany. W kontekście „normy łatwej naprawy” projekt wariantu przybiera formę dobrowolnego zobowiązania do uniknięcia daleko idącej ingerencji w przepisy krajowe regulujące usługi.</w:t>
            </w:r>
          </w:p>
        </w:tc>
      </w:tr>
      <w:tr w:rsidR="00664E5A" w:rsidRPr="00664E5A" w14:paraId="70EA2EFC" w14:textId="77777777" w:rsidTr="3678BB74">
        <w:tc>
          <w:tcPr>
            <w:tcW w:w="10490" w:type="dxa"/>
            <w:tcBorders>
              <w:bottom w:val="single" w:sz="4" w:space="0" w:color="auto"/>
            </w:tcBorders>
            <w:shd w:val="clear" w:color="auto" w:fill="C0C0C0"/>
          </w:tcPr>
          <w:p w14:paraId="2C9BD293" w14:textId="77777777" w:rsidR="00664E5A" w:rsidRPr="00664E5A" w:rsidRDefault="00664E5A" w:rsidP="003468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D. Działania następcze</w:t>
            </w:r>
          </w:p>
        </w:tc>
      </w:tr>
      <w:tr w:rsidR="00664E5A" w:rsidRPr="009D10B6" w14:paraId="629FF516" w14:textId="77777777" w:rsidTr="3678BB74"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 w14:paraId="631974BA" w14:textId="77777777" w:rsidR="00664E5A" w:rsidRPr="004516CB" w:rsidRDefault="00664E5A" w:rsidP="003468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b/>
                <w:noProof/>
                <w:sz w:val="24"/>
                <w:lang w:val="pl-PL"/>
              </w:rPr>
              <w:t xml:space="preserve">Kiedy nastąpi przegląd przyjętej polityki? </w:t>
            </w:r>
          </w:p>
        </w:tc>
      </w:tr>
      <w:tr w:rsidR="00664E5A" w:rsidRPr="009D10B6" w14:paraId="29119EC4" w14:textId="77777777" w:rsidTr="3678BB74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14:paraId="2D8A2DF3" w14:textId="5244204C" w:rsidR="00664E5A" w:rsidRPr="004516CB" w:rsidRDefault="00C72AD8" w:rsidP="00346839">
            <w:pPr>
              <w:spacing w:after="24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pl-PL"/>
              </w:rPr>
            </w:pPr>
            <w:r w:rsidRPr="004516CB">
              <w:rPr>
                <w:rFonts w:ascii="Times New Roman" w:hAnsi="Times New Roman"/>
                <w:noProof/>
                <w:sz w:val="24"/>
                <w:lang w:val="pl-PL"/>
              </w:rPr>
              <w:t xml:space="preserve">Inicjatywa zostanie poddana ocenie po 5 latach od dnia rozpoczęcia jej stosowania. </w:t>
            </w:r>
          </w:p>
        </w:tc>
      </w:tr>
    </w:tbl>
    <w:p w14:paraId="240496BA" w14:textId="77777777" w:rsidR="00664E5A" w:rsidRPr="004516CB" w:rsidRDefault="00664E5A" w:rsidP="00664E5A">
      <w:pPr>
        <w:spacing w:after="240" w:line="240" w:lineRule="auto"/>
        <w:jc w:val="both"/>
        <w:rPr>
          <w:rFonts w:ascii="Times New Roman" w:eastAsia="Times New Roman" w:hAnsi="Times New Roman" w:cs="Times New Roman"/>
          <w:noProof/>
          <w:sz w:val="24"/>
          <w:lang w:val="pl-PL"/>
        </w:rPr>
      </w:pPr>
    </w:p>
    <w:p w14:paraId="5F172906" w14:textId="77777777" w:rsidR="00F31280" w:rsidRPr="004516CB" w:rsidRDefault="00F31280" w:rsidP="00664E5A">
      <w:pPr>
        <w:rPr>
          <w:noProof/>
          <w:lang w:val="pl-PL"/>
        </w:rPr>
      </w:pPr>
    </w:p>
    <w:sectPr w:rsidR="00F31280" w:rsidRPr="004516C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35D1F2" w16cid:durableId="27444B44"/>
  <w16cid:commentId w16cid:paraId="0F963E85" w16cid:durableId="27444B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9E190" w14:textId="77777777" w:rsidR="00030A0B" w:rsidRDefault="00030A0B" w:rsidP="0026613F">
      <w:pPr>
        <w:spacing w:after="0" w:line="240" w:lineRule="auto"/>
      </w:pPr>
      <w:r>
        <w:separator/>
      </w:r>
    </w:p>
  </w:endnote>
  <w:endnote w:type="continuationSeparator" w:id="0">
    <w:p w14:paraId="3845DE1B" w14:textId="77777777" w:rsidR="00030A0B" w:rsidRDefault="00030A0B" w:rsidP="0026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2A824" w14:textId="77777777" w:rsidR="00653140" w:rsidRPr="00653140" w:rsidRDefault="00653140" w:rsidP="006531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38326" w14:textId="508A81BF" w:rsidR="009D10B6" w:rsidRPr="00653140" w:rsidRDefault="00653140" w:rsidP="00653140">
    <w:pPr>
      <w:pStyle w:val="FooterCoverPage"/>
      <w:rPr>
        <w:rFonts w:ascii="Arial" w:hAnsi="Arial" w:cs="Arial"/>
        <w:b/>
        <w:sz w:val="48"/>
      </w:rPr>
    </w:pPr>
    <w:r w:rsidRPr="00653140">
      <w:rPr>
        <w:rFonts w:ascii="Arial" w:hAnsi="Arial" w:cs="Arial"/>
        <w:b/>
        <w:sz w:val="48"/>
      </w:rPr>
      <w:t>PL</w:t>
    </w:r>
    <w:r w:rsidRPr="00653140">
      <w:rPr>
        <w:rFonts w:ascii="Arial" w:hAnsi="Arial" w:cs="Arial"/>
        <w:b/>
        <w:sz w:val="48"/>
      </w:rPr>
      <w:tab/>
    </w:r>
    <w:r w:rsidRPr="00653140">
      <w:rPr>
        <w:rFonts w:ascii="Arial" w:hAnsi="Arial" w:cs="Arial"/>
        <w:b/>
        <w:sz w:val="48"/>
      </w:rPr>
      <w:tab/>
    </w:r>
    <w:r w:rsidRPr="00653140">
      <w:tab/>
    </w:r>
    <w:r w:rsidRPr="00653140"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551BA" w14:textId="77777777" w:rsidR="00653140" w:rsidRPr="00653140" w:rsidRDefault="00653140" w:rsidP="00653140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C6A4B" w14:textId="77777777" w:rsidR="004516CB" w:rsidRDefault="004516C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59913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C13BA9" w14:textId="1CA46F36" w:rsidR="004516CB" w:rsidRPr="00EB25B7" w:rsidRDefault="004516CB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653140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F1AC871" w14:textId="77777777" w:rsidR="004516CB" w:rsidRPr="002529A1" w:rsidRDefault="004516CB" w:rsidP="002529A1">
    <w:pPr>
      <w:pStyle w:val="FooterCoverPage"/>
      <w:rPr>
        <w:rFonts w:ascii="Arial" w:hAnsi="Arial" w:cs="Arial"/>
        <w:b/>
        <w:sz w:val="4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F5C39" w14:textId="77777777" w:rsidR="004516CB" w:rsidRDefault="00451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19318" w14:textId="77777777" w:rsidR="00030A0B" w:rsidRDefault="00030A0B" w:rsidP="0026613F">
      <w:pPr>
        <w:spacing w:after="0" w:line="240" w:lineRule="auto"/>
      </w:pPr>
      <w:r>
        <w:separator/>
      </w:r>
    </w:p>
  </w:footnote>
  <w:footnote w:type="continuationSeparator" w:id="0">
    <w:p w14:paraId="6AF0E93D" w14:textId="77777777" w:rsidR="00030A0B" w:rsidRDefault="00030A0B" w:rsidP="00266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16DF9" w14:textId="77777777" w:rsidR="00653140" w:rsidRPr="00653140" w:rsidRDefault="00653140" w:rsidP="006531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E1192" w14:textId="77777777" w:rsidR="00653140" w:rsidRPr="00653140" w:rsidRDefault="00653140" w:rsidP="00653140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339E3" w14:textId="77777777" w:rsidR="00653140" w:rsidRPr="00653140" w:rsidRDefault="00653140" w:rsidP="00653140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68ED3" w14:textId="77777777" w:rsidR="004516CB" w:rsidRDefault="004516C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B7B5C" w14:textId="77777777" w:rsidR="004516CB" w:rsidRDefault="004516C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EC995" w14:textId="77777777" w:rsidR="004516CB" w:rsidRDefault="004516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5BA1"/>
    <w:multiLevelType w:val="hybridMultilevel"/>
    <w:tmpl w:val="0ED66BCA"/>
    <w:lvl w:ilvl="0" w:tplc="96DE2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B64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421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C24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FAF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0EA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DC2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5E5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7A3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301D24"/>
    <w:multiLevelType w:val="hybridMultilevel"/>
    <w:tmpl w:val="ECE80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62A97"/>
    <w:multiLevelType w:val="hybridMultilevel"/>
    <w:tmpl w:val="ECE80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A6F02"/>
    <w:multiLevelType w:val="multilevel"/>
    <w:tmpl w:val="DA709FF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DB0515"/>
    <w:multiLevelType w:val="hybridMultilevel"/>
    <w:tmpl w:val="ECE80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54A72"/>
    <w:multiLevelType w:val="hybridMultilevel"/>
    <w:tmpl w:val="4272906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E5D02"/>
    <w:multiLevelType w:val="hybridMultilevel"/>
    <w:tmpl w:val="3F146654"/>
    <w:lvl w:ilvl="0" w:tplc="675A641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75A6418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0135E"/>
    <w:multiLevelType w:val="hybridMultilevel"/>
    <w:tmpl w:val="ECE80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F2261"/>
    <w:multiLevelType w:val="hybridMultilevel"/>
    <w:tmpl w:val="4606AC0A"/>
    <w:lvl w:ilvl="0" w:tplc="675A641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66730"/>
    <w:multiLevelType w:val="hybridMultilevel"/>
    <w:tmpl w:val="97028F28"/>
    <w:lvl w:ilvl="0" w:tplc="85184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E4CAD"/>
    <w:multiLevelType w:val="hybridMultilevel"/>
    <w:tmpl w:val="A26ECE9E"/>
    <w:lvl w:ilvl="0" w:tplc="0D6C5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68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E25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505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62F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6C8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0D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D8C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60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8DB2A8C"/>
    <w:multiLevelType w:val="hybridMultilevel"/>
    <w:tmpl w:val="6A4EBC3C"/>
    <w:lvl w:ilvl="0" w:tplc="93FA60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A52B5"/>
    <w:multiLevelType w:val="hybridMultilevel"/>
    <w:tmpl w:val="7EA4DB96"/>
    <w:lvl w:ilvl="0" w:tplc="958C8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282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04A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9AA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83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7AD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D47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12D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BC4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1721FB1"/>
    <w:multiLevelType w:val="hybridMultilevel"/>
    <w:tmpl w:val="32D2FA2A"/>
    <w:lvl w:ilvl="0" w:tplc="5CFA6D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C4D79"/>
    <w:multiLevelType w:val="hybridMultilevel"/>
    <w:tmpl w:val="B64E816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76247"/>
    <w:multiLevelType w:val="hybridMultilevel"/>
    <w:tmpl w:val="1932D8B8"/>
    <w:lvl w:ilvl="0" w:tplc="B8181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2C1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8C6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9CB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76A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722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C89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60D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6"/>
  </w:num>
  <w:num w:numId="6">
    <w:abstractNumId w:val="15"/>
  </w:num>
  <w:num w:numId="7">
    <w:abstractNumId w:val="2"/>
  </w:num>
  <w:num w:numId="8">
    <w:abstractNumId w:val="0"/>
  </w:num>
  <w:num w:numId="9">
    <w:abstractNumId w:val="7"/>
  </w:num>
  <w:num w:numId="10">
    <w:abstractNumId w:val="10"/>
  </w:num>
  <w:num w:numId="11">
    <w:abstractNumId w:val="4"/>
  </w:num>
  <w:num w:numId="12">
    <w:abstractNumId w:val="12"/>
  </w:num>
  <w:num w:numId="13">
    <w:abstractNumId w:val="1"/>
  </w:num>
  <w:num w:numId="14">
    <w:abstractNumId w:val="5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markup="0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Status" w:val="Green"/>
    <w:docVar w:name="LW_ACCOMPAGNANT.CP" w:val="Towarzyszący dokumentowi:"/>
    <w:docVar w:name="LW_CORRIGENDUM" w:val="&lt;UNUSED&gt;"/>
    <w:docVar w:name="LW_COVERPAGE_EXISTS" w:val="True"/>
    <w:docVar w:name="LW_COVERPAGE_GUID" w:val="0DD95F0C-69D6-4D3D-9111-26CC26086EBB"/>
    <w:docVar w:name="LW_COVERPAGE_TYPE" w:val="1"/>
    <w:docVar w:name="LW_CROSSREFERENCE" w:val="{COM(2023) 155 final} - {SEC(2023) 137 final} - {SWD(2023) 59 final}"/>
    <w:docVar w:name="LW_DocType" w:val="NORMAL"/>
    <w:docVar w:name="LW_EMISSION" w:val="22.3.2023"/>
    <w:docVar w:name="LW_EMISSION_ISODATE" w:val="2023-03-22"/>
    <w:docVar w:name="LW_EMISSION_LOCATION" w:val="BRX"/>
    <w:docVar w:name="LW_EMISSION_PREFIX" w:val="Bruksela, dnia "/>
    <w:docVar w:name="LW_EMISSION_SUFFIX" w:val=" r."/>
    <w:docVar w:name="LW_ID_DOCTYPE_NONLW" w:val="CP-027"/>
    <w:docVar w:name="LW_LANGUE" w:val="PL"/>
    <w:docVar w:name="LW_LEVEL_OF_SENSITIVITY" w:val="Standard treatment"/>
    <w:docVar w:name="LW_NOM.INST" w:val="KOMISJA EUROPEJSKA"/>
    <w:docVar w:name="LW_NOM.INST_JOINTDOC" w:val="&lt;EMPTY&gt;"/>
    <w:docVar w:name="LW_OBJETACTEPRINCIPAL.CP" w:val="w sprawie wspólnych zasad promujących naprawę towarów, zmieniająca rozporządzenie (UE) 2017/2394 oraz dyrektywy (UE) 2019/771 i (UE) 2020/1828_x000d__x000b__x000d__x000b_w odniesieniu do inicjatywy „Zrównoważone zużycie towarów – promowanie naprawy i ponownego użycia”"/>
    <w:docVar w:name="LW_PART_NBR" w:val="1"/>
    <w:docVar w:name="LW_PART_NBR_TOTAL" w:val="1"/>
    <w:docVar w:name="LW_REF.INST.NEW" w:val="SWD"/>
    <w:docVar w:name="LW_REF.INST.NEW_ADOPTED" w:val="final"/>
    <w:docVar w:name="LW_REF.INST.NEW_TEXT" w:val="(2023) 60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&lt;UNUSED&gt;"/>
    <w:docVar w:name="LW_TYPE.DOC.CP" w:val="DOKUMENT ROBOCZY SŁUŻB KOMISJI_x000b__x000b_STRESZCZENIE SPRAWOZDANIA Z OCENY SKUTKÓW_x000b_"/>
    <w:docVar w:name="LW_TYPEACTEPRINCIPAL.CP" w:val="DYREKTYWA PARLAMENTU EUROPEJSKIEGO I RADY_x000b_"/>
    <w:docVar w:name="LwApiVersions" w:val="LW4CoDe 1.23.2.0; LW 8.0, Build 20211117"/>
  </w:docVars>
  <w:rsids>
    <w:rsidRoot w:val="0026613F"/>
    <w:rsid w:val="0000691F"/>
    <w:rsid w:val="000269BA"/>
    <w:rsid w:val="00030A0B"/>
    <w:rsid w:val="00053EEE"/>
    <w:rsid w:val="00073409"/>
    <w:rsid w:val="000864C1"/>
    <w:rsid w:val="00096ECF"/>
    <w:rsid w:val="000D68B4"/>
    <w:rsid w:val="0010709F"/>
    <w:rsid w:val="00111625"/>
    <w:rsid w:val="001123B4"/>
    <w:rsid w:val="00121DE1"/>
    <w:rsid w:val="00123329"/>
    <w:rsid w:val="00123F61"/>
    <w:rsid w:val="00137D95"/>
    <w:rsid w:val="001554DC"/>
    <w:rsid w:val="0019087E"/>
    <w:rsid w:val="001D39C3"/>
    <w:rsid w:val="0020228F"/>
    <w:rsid w:val="00234935"/>
    <w:rsid w:val="002529A1"/>
    <w:rsid w:val="0026357A"/>
    <w:rsid w:val="0026613F"/>
    <w:rsid w:val="002745A1"/>
    <w:rsid w:val="00285743"/>
    <w:rsid w:val="002865EC"/>
    <w:rsid w:val="00286A26"/>
    <w:rsid w:val="0028772B"/>
    <w:rsid w:val="0029026E"/>
    <w:rsid w:val="002C69EE"/>
    <w:rsid w:val="002D4104"/>
    <w:rsid w:val="00311752"/>
    <w:rsid w:val="00311CCF"/>
    <w:rsid w:val="00313C7F"/>
    <w:rsid w:val="00346839"/>
    <w:rsid w:val="00362DD8"/>
    <w:rsid w:val="00381A7A"/>
    <w:rsid w:val="003A6EDB"/>
    <w:rsid w:val="003E6236"/>
    <w:rsid w:val="003E62A4"/>
    <w:rsid w:val="003F6233"/>
    <w:rsid w:val="003F707D"/>
    <w:rsid w:val="004040BE"/>
    <w:rsid w:val="00404F3F"/>
    <w:rsid w:val="004076C5"/>
    <w:rsid w:val="00413409"/>
    <w:rsid w:val="0042489F"/>
    <w:rsid w:val="0043360A"/>
    <w:rsid w:val="00437A44"/>
    <w:rsid w:val="004516CB"/>
    <w:rsid w:val="00481A88"/>
    <w:rsid w:val="0049165C"/>
    <w:rsid w:val="004917CF"/>
    <w:rsid w:val="004A3979"/>
    <w:rsid w:val="004A7A82"/>
    <w:rsid w:val="004B256E"/>
    <w:rsid w:val="004C4225"/>
    <w:rsid w:val="004E3CAC"/>
    <w:rsid w:val="004F49F3"/>
    <w:rsid w:val="00501DE0"/>
    <w:rsid w:val="00506240"/>
    <w:rsid w:val="00526D5D"/>
    <w:rsid w:val="00530D39"/>
    <w:rsid w:val="005525FB"/>
    <w:rsid w:val="005663D9"/>
    <w:rsid w:val="005C3B5C"/>
    <w:rsid w:val="005E1CF0"/>
    <w:rsid w:val="005E5784"/>
    <w:rsid w:val="00611313"/>
    <w:rsid w:val="006139D5"/>
    <w:rsid w:val="00624693"/>
    <w:rsid w:val="006260B5"/>
    <w:rsid w:val="006322D8"/>
    <w:rsid w:val="00637875"/>
    <w:rsid w:val="00637BB2"/>
    <w:rsid w:val="00653140"/>
    <w:rsid w:val="00664E5A"/>
    <w:rsid w:val="00670F9B"/>
    <w:rsid w:val="006A37E6"/>
    <w:rsid w:val="006B1E49"/>
    <w:rsid w:val="006C1A73"/>
    <w:rsid w:val="006C334C"/>
    <w:rsid w:val="006C34AF"/>
    <w:rsid w:val="006C380A"/>
    <w:rsid w:val="006D4D0E"/>
    <w:rsid w:val="00731D82"/>
    <w:rsid w:val="00770C54"/>
    <w:rsid w:val="007756CE"/>
    <w:rsid w:val="007A2523"/>
    <w:rsid w:val="007B3002"/>
    <w:rsid w:val="007F2158"/>
    <w:rsid w:val="00810A5F"/>
    <w:rsid w:val="00816A82"/>
    <w:rsid w:val="008300B1"/>
    <w:rsid w:val="00834582"/>
    <w:rsid w:val="00834F41"/>
    <w:rsid w:val="008362A9"/>
    <w:rsid w:val="00840019"/>
    <w:rsid w:val="0084502A"/>
    <w:rsid w:val="00877C59"/>
    <w:rsid w:val="008B6547"/>
    <w:rsid w:val="008D5BA0"/>
    <w:rsid w:val="008F6EDF"/>
    <w:rsid w:val="009702F9"/>
    <w:rsid w:val="009B285A"/>
    <w:rsid w:val="009B5792"/>
    <w:rsid w:val="009D10B6"/>
    <w:rsid w:val="009D3E9C"/>
    <w:rsid w:val="009E0E94"/>
    <w:rsid w:val="00A108E8"/>
    <w:rsid w:val="00A11C36"/>
    <w:rsid w:val="00A11F1F"/>
    <w:rsid w:val="00A1711F"/>
    <w:rsid w:val="00A2164F"/>
    <w:rsid w:val="00A21923"/>
    <w:rsid w:val="00A36F22"/>
    <w:rsid w:val="00A428F9"/>
    <w:rsid w:val="00A71678"/>
    <w:rsid w:val="00AD0DCE"/>
    <w:rsid w:val="00AE0E6F"/>
    <w:rsid w:val="00AF099D"/>
    <w:rsid w:val="00B05E5D"/>
    <w:rsid w:val="00B1566B"/>
    <w:rsid w:val="00B22BDF"/>
    <w:rsid w:val="00B25F30"/>
    <w:rsid w:val="00B70824"/>
    <w:rsid w:val="00B7541A"/>
    <w:rsid w:val="00B85E33"/>
    <w:rsid w:val="00BB0151"/>
    <w:rsid w:val="00BB1998"/>
    <w:rsid w:val="00BC5E1F"/>
    <w:rsid w:val="00BE41CC"/>
    <w:rsid w:val="00BF1332"/>
    <w:rsid w:val="00BF4A27"/>
    <w:rsid w:val="00C20830"/>
    <w:rsid w:val="00C32AFF"/>
    <w:rsid w:val="00C623DE"/>
    <w:rsid w:val="00C70B31"/>
    <w:rsid w:val="00C72AD8"/>
    <w:rsid w:val="00C745C0"/>
    <w:rsid w:val="00C86F8E"/>
    <w:rsid w:val="00C95725"/>
    <w:rsid w:val="00CB0292"/>
    <w:rsid w:val="00CF499D"/>
    <w:rsid w:val="00D02EAD"/>
    <w:rsid w:val="00D20FD1"/>
    <w:rsid w:val="00D33419"/>
    <w:rsid w:val="00D45A5C"/>
    <w:rsid w:val="00D45B4D"/>
    <w:rsid w:val="00D83DB8"/>
    <w:rsid w:val="00D872AF"/>
    <w:rsid w:val="00D91457"/>
    <w:rsid w:val="00DF3025"/>
    <w:rsid w:val="00E069E4"/>
    <w:rsid w:val="00E12456"/>
    <w:rsid w:val="00E31D75"/>
    <w:rsid w:val="00E32C13"/>
    <w:rsid w:val="00E33B07"/>
    <w:rsid w:val="00E6283C"/>
    <w:rsid w:val="00E66096"/>
    <w:rsid w:val="00E73FCC"/>
    <w:rsid w:val="00E851DF"/>
    <w:rsid w:val="00E8532A"/>
    <w:rsid w:val="00E85B9F"/>
    <w:rsid w:val="00E8678B"/>
    <w:rsid w:val="00E906E3"/>
    <w:rsid w:val="00E918D8"/>
    <w:rsid w:val="00E943F2"/>
    <w:rsid w:val="00EB25B7"/>
    <w:rsid w:val="00F021EC"/>
    <w:rsid w:val="00F14AF3"/>
    <w:rsid w:val="00F202F8"/>
    <w:rsid w:val="00F31280"/>
    <w:rsid w:val="00F4555B"/>
    <w:rsid w:val="00F607AE"/>
    <w:rsid w:val="00F63269"/>
    <w:rsid w:val="00F6782F"/>
    <w:rsid w:val="00F740C3"/>
    <w:rsid w:val="00F96D3F"/>
    <w:rsid w:val="00FA0000"/>
    <w:rsid w:val="00FA4974"/>
    <w:rsid w:val="00FA5D3F"/>
    <w:rsid w:val="00FC6AF2"/>
    <w:rsid w:val="00FF0EE3"/>
    <w:rsid w:val="05B2353A"/>
    <w:rsid w:val="064A7478"/>
    <w:rsid w:val="0AA70BCF"/>
    <w:rsid w:val="0C7F8F25"/>
    <w:rsid w:val="100B249F"/>
    <w:rsid w:val="10AD8137"/>
    <w:rsid w:val="13260DF5"/>
    <w:rsid w:val="16096F2A"/>
    <w:rsid w:val="1CBF56DF"/>
    <w:rsid w:val="1E0A3069"/>
    <w:rsid w:val="1F8DEE9D"/>
    <w:rsid w:val="1FC94B04"/>
    <w:rsid w:val="1FEB68A0"/>
    <w:rsid w:val="26B63544"/>
    <w:rsid w:val="2E466D89"/>
    <w:rsid w:val="3678BB74"/>
    <w:rsid w:val="37F41BDF"/>
    <w:rsid w:val="3B3340E6"/>
    <w:rsid w:val="3C0078C6"/>
    <w:rsid w:val="3C2A3E7D"/>
    <w:rsid w:val="3EDA9248"/>
    <w:rsid w:val="4A123FD7"/>
    <w:rsid w:val="5A9E982F"/>
    <w:rsid w:val="5B86C994"/>
    <w:rsid w:val="5F12E56B"/>
    <w:rsid w:val="62A76A83"/>
    <w:rsid w:val="645FB80A"/>
    <w:rsid w:val="68DBCF9C"/>
    <w:rsid w:val="6A4A8592"/>
    <w:rsid w:val="6A570EA1"/>
    <w:rsid w:val="6BFEFA7B"/>
    <w:rsid w:val="6D625253"/>
    <w:rsid w:val="6ED96515"/>
    <w:rsid w:val="76313D63"/>
    <w:rsid w:val="79DFD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F471BA8"/>
  <w15:chartTrackingRefBased/>
  <w15:docId w15:val="{C06031B9-DAFF-4D24-8216-215BE15B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25F30"/>
    <w:pPr>
      <w:keepNext/>
      <w:numPr>
        <w:numId w:val="4"/>
      </w:numPr>
      <w:spacing w:before="240"/>
      <w:outlineLvl w:val="0"/>
    </w:pPr>
    <w:rPr>
      <w:rFonts w:ascii="Times New Roman" w:eastAsia="Times New Roman" w:hAnsi="Times New Roman"/>
      <w:b/>
      <w:sz w:val="24"/>
    </w:rPr>
  </w:style>
  <w:style w:type="paragraph" w:styleId="Heading2">
    <w:name w:val="heading 2"/>
    <w:basedOn w:val="Normal"/>
    <w:next w:val="Text2"/>
    <w:link w:val="Heading2Char"/>
    <w:qFormat/>
    <w:rsid w:val="00B25F30"/>
    <w:pPr>
      <w:keepNext/>
      <w:numPr>
        <w:ilvl w:val="1"/>
        <w:numId w:val="4"/>
      </w:numPr>
      <w:tabs>
        <w:tab w:val="num" w:pos="1200"/>
      </w:tabs>
      <w:outlineLvl w:val="1"/>
    </w:pPr>
    <w:rPr>
      <w:rFonts w:ascii="Times New Roman" w:eastAsia="Times New Roman" w:hAnsi="Times New Roman"/>
      <w:b/>
      <w:sz w:val="24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B25F30"/>
    <w:pPr>
      <w:keepNext/>
      <w:numPr>
        <w:ilvl w:val="2"/>
        <w:numId w:val="4"/>
      </w:numPr>
      <w:spacing w:after="240"/>
      <w:jc w:val="both"/>
      <w:outlineLvl w:val="2"/>
    </w:pPr>
    <w:rPr>
      <w:rFonts w:ascii="Times New Roman" w:eastAsiaTheme="majorEastAsia" w:hAnsi="Times New Roman" w:cs="Times New Roman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B25F30"/>
    <w:pPr>
      <w:keepNext/>
      <w:numPr>
        <w:ilvl w:val="3"/>
        <w:numId w:val="4"/>
      </w:numPr>
      <w:tabs>
        <w:tab w:val="num" w:pos="1920"/>
      </w:tabs>
      <w:outlineLvl w:val="3"/>
    </w:pPr>
    <w:rPr>
      <w:rFonts w:ascii="Times New Roman" w:eastAsia="Times New Roman" w:hAnsi="Times New Roman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5F30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F30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F30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color w:val="243F60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25F30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F30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sid w:val="0026613F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26613F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661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13F"/>
  </w:style>
  <w:style w:type="paragraph" w:styleId="Footer">
    <w:name w:val="footer"/>
    <w:basedOn w:val="Normal"/>
    <w:link w:val="FooterChar"/>
    <w:uiPriority w:val="99"/>
    <w:unhideWhenUsed/>
    <w:rsid w:val="002661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13F"/>
  </w:style>
  <w:style w:type="paragraph" w:customStyle="1" w:styleId="FooterCoverPage">
    <w:name w:val="Footer Cover Page"/>
    <w:basedOn w:val="Normal"/>
    <w:link w:val="FooterCoverPageChar"/>
    <w:rsid w:val="0026613F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26613F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2661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26613F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26613F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26613F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2661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26613F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26613F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26613F"/>
    <w:rPr>
      <w:rFonts w:ascii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923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923"/>
    <w:rPr>
      <w:rFonts w:ascii="Segoe UI" w:hAnsi="Segoe UI" w:cs="Segoe UI"/>
      <w:sz w:val="18"/>
    </w:rPr>
  </w:style>
  <w:style w:type="paragraph" w:styleId="ListParagraph">
    <w:name w:val="List Paragraph"/>
    <w:basedOn w:val="Normal"/>
    <w:uiPriority w:val="34"/>
    <w:qFormat/>
    <w:rsid w:val="00E12456"/>
    <w:pPr>
      <w:ind w:left="720"/>
      <w:contextualSpacing/>
    </w:pPr>
  </w:style>
  <w:style w:type="paragraph" w:customStyle="1" w:styleId="Text2">
    <w:name w:val="Text 2"/>
    <w:basedOn w:val="Normal"/>
    <w:rsid w:val="00E12456"/>
    <w:pPr>
      <w:tabs>
        <w:tab w:val="left" w:pos="2302"/>
      </w:tabs>
      <w:ind w:left="1202"/>
    </w:pPr>
    <w:rPr>
      <w:rFonts w:ascii="Times New Roman" w:eastAsia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B25F30"/>
    <w:rPr>
      <w:rFonts w:ascii="Times New Roman" w:eastAsia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rsid w:val="00B25F30"/>
    <w:rPr>
      <w:rFonts w:ascii="Times New Roman" w:eastAsia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B25F30"/>
    <w:rPr>
      <w:rFonts w:ascii="Times New Roman" w:eastAsiaTheme="majorEastAsia" w:hAnsi="Times New Roman" w:cs="Times New Roman"/>
      <w:b/>
      <w:sz w:val="24"/>
    </w:rPr>
  </w:style>
  <w:style w:type="character" w:customStyle="1" w:styleId="Heading4Char">
    <w:name w:val="Heading 4 Char"/>
    <w:basedOn w:val="DefaultParagraphFont"/>
    <w:link w:val="Heading4"/>
    <w:rsid w:val="00B25F30"/>
    <w:rPr>
      <w:rFonts w:ascii="Times New Roman" w:eastAsia="Times New Roman" w:hAnsi="Times New Roman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25F30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F3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F30"/>
    <w:rPr>
      <w:rFonts w:asciiTheme="majorHAnsi" w:eastAsiaTheme="majorEastAsia" w:hAnsiTheme="majorHAnsi" w:cstheme="majorBidi"/>
      <w:i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B25F30"/>
    <w:rPr>
      <w:rFonts w:asciiTheme="majorHAnsi" w:eastAsiaTheme="majorEastAsia" w:hAnsiTheme="majorHAnsi" w:cstheme="majorBidi"/>
      <w:color w:val="272727" w:themeColor="text1" w:themeTint="D8"/>
      <w:sz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F30"/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paragraph" w:customStyle="1" w:styleId="Text1">
    <w:name w:val="Text 1"/>
    <w:basedOn w:val="Normal"/>
    <w:rsid w:val="00AF099D"/>
    <w:pPr>
      <w:ind w:left="482"/>
    </w:pPr>
    <w:rPr>
      <w:rFonts w:ascii="Times New Roman" w:eastAsia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AF099D"/>
    <w:pPr>
      <w:spacing w:after="0"/>
    </w:pPr>
    <w:rPr>
      <w:rFonts w:ascii="Times New Roman" w:eastAsiaTheme="minorEastAsia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AF099D"/>
    <w:rPr>
      <w:rFonts w:ascii="Times New Roman" w:eastAsiaTheme="minorEastAsia" w:hAnsi="Times New Roman"/>
      <w:sz w:val="20"/>
    </w:rPr>
  </w:style>
  <w:style w:type="character" w:styleId="FootnoteReference">
    <w:name w:val="footnote reference"/>
    <w:basedOn w:val="DefaultParagraphFont"/>
    <w:link w:val="CharCharChar1"/>
    <w:uiPriority w:val="99"/>
    <w:unhideWhenUsed/>
    <w:qFormat/>
    <w:rsid w:val="00AF099D"/>
    <w:rPr>
      <w:vertAlign w:val="superscript"/>
    </w:rPr>
  </w:style>
  <w:style w:type="paragraph" w:customStyle="1" w:styleId="CharCharChar1">
    <w:name w:val="Char Char Char1"/>
    <w:basedOn w:val="Normal"/>
    <w:link w:val="FootnoteReference"/>
    <w:uiPriority w:val="99"/>
    <w:rsid w:val="00AF099D"/>
    <w:pPr>
      <w:spacing w:after="160" w:line="240" w:lineRule="exact"/>
    </w:pPr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3458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582"/>
    <w:pPr>
      <w:spacing w:after="160"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58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DCE"/>
    <w:pPr>
      <w:spacing w:after="200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DCE"/>
    <w:rPr>
      <w:b/>
      <w:sz w:val="20"/>
    </w:rPr>
  </w:style>
  <w:style w:type="paragraph" w:styleId="Revision">
    <w:name w:val="Revision"/>
    <w:hidden/>
    <w:uiPriority w:val="99"/>
    <w:semiHidden/>
    <w:rsid w:val="00E853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0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6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7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3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0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076C7868F6147A3EE1FFF98B9A21F" ma:contentTypeVersion="6" ma:contentTypeDescription="Create a new document." ma:contentTypeScope="" ma:versionID="14834c3769806f6af15090684ea8a5f4">
  <xsd:schema xmlns:xsd="http://www.w3.org/2001/XMLSchema" xmlns:xs="http://www.w3.org/2001/XMLSchema" xmlns:p="http://schemas.microsoft.com/office/2006/metadata/properties" xmlns:ns2="cdcee3e7-6e76-4ff7-b330-e48d0411d6e8" xmlns:ns3="d520effe-eced-43ce-a531-9dfaf2b26543" targetNamespace="http://schemas.microsoft.com/office/2006/metadata/properties" ma:root="true" ma:fieldsID="c6117056bef8e015f9099f7af589e8db" ns2:_="" ns3:_="">
    <xsd:import namespace="cdcee3e7-6e76-4ff7-b330-e48d0411d6e8"/>
    <xsd:import namespace="d520effe-eced-43ce-a531-9dfaf2b26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ee3e7-6e76-4ff7-b330-e48d0411d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0effe-eced-43ce-a531-9dfaf2b26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6916D-4614-438D-B6D4-1EACA3ED80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DBFA97-D27D-4319-AD29-B0B681BCE1D4}">
  <ds:schemaRefs>
    <ds:schemaRef ds:uri="http://purl.org/dc/elements/1.1/"/>
    <ds:schemaRef ds:uri="http://schemas.microsoft.com/office/2006/metadata/properties"/>
    <ds:schemaRef ds:uri="d520effe-eced-43ce-a531-9dfaf2b2654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dcee3e7-6e76-4ff7-b330-e48d0411d6e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BACA688-4090-45B9-9F4D-51BC19439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ee3e7-6e76-4ff7-b330-e48d0411d6e8"/>
    <ds:schemaRef ds:uri="d520effe-eced-43ce-a531-9dfaf2b26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3E1621-047C-4CD1-8F6C-EC0D119C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1526</Words>
  <Characters>10317</Characters>
  <Application>Microsoft Office Word</Application>
  <DocSecurity>0</DocSecurity>
  <Lines>151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EC CoDe</cp:lastModifiedBy>
  <cp:revision>35</cp:revision>
  <dcterms:created xsi:type="dcterms:W3CDTF">2023-02-05T19:00:00Z</dcterms:created>
  <dcterms:modified xsi:type="dcterms:W3CDTF">2023-03-30T17:29:00Z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PTemplateID">
    <vt:lpwstr>CP-027</vt:lpwstr>
  </property>
  <property fmtid="{D5CDD505-2E9C-101B-9397-08002B2CF9AE}" pid="7" name="Last edited using">
    <vt:lpwstr>LW 8.1, Build 20230124</vt:lpwstr>
  </property>
  <property fmtid="{D5CDD505-2E9C-101B-9397-08002B2CF9AE}" pid="8" name="Created using">
    <vt:lpwstr>LW 7.0.1, Build 20190916</vt:lpwstr>
  </property>
  <property fmtid="{D5CDD505-2E9C-101B-9397-08002B2CF9AE}" pid="9" name="ContentTypeId">
    <vt:lpwstr>0x0101005DB076C7868F6147A3EE1FFF98B9A21F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2022-12-14T21:16:53Z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eaf19e9c-69d9-4a23-b9df-d37668b1ea7e</vt:lpwstr>
  </property>
  <property fmtid="{D5CDD505-2E9C-101B-9397-08002B2CF9AE}" pid="16" name="MSIP_Label_6bd9ddd1-4d20-43f6-abfa-fc3c07406f94_ContentBits">
    <vt:lpwstr>0</vt:lpwstr>
  </property>
</Properties>
</file>