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A8FC9" w14:textId="29D3C8DA" w:rsidR="001353AA" w:rsidRPr="00F50517" w:rsidRDefault="00200293" w:rsidP="001353AA">
      <w:pPr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bookmarkStart w:id="0" w:name="_GoBack"/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RYNEK PALIW – WNIOSKI Z POSTĘPOWANIA WYJAŚNIAJĄCEGO </w:t>
      </w:r>
    </w:p>
    <w:bookmarkEnd w:id="0"/>
    <w:p w14:paraId="782ABF20" w14:textId="77777777" w:rsidR="001353AA" w:rsidRPr="00E337D0" w:rsidRDefault="001353AA" w:rsidP="001353A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Fonts w:cstheme="minorHAnsi"/>
          <w:b/>
          <w:color w:val="0F1419"/>
          <w:sz w:val="22"/>
          <w:shd w:val="clear" w:color="auto" w:fill="FFFFFF"/>
        </w:rPr>
      </w:pPr>
      <w:r w:rsidRPr="000B2CD6">
        <w:rPr>
          <w:rFonts w:cstheme="minorHAnsi"/>
          <w:b/>
          <w:color w:val="0F1419"/>
          <w:sz w:val="22"/>
          <w:shd w:val="clear" w:color="auto" w:fill="FFFFFF"/>
        </w:rPr>
        <w:t>Zakończyło się postępowanie wyjaśniające w sprawie</w:t>
      </w:r>
      <w:r>
        <w:rPr>
          <w:rFonts w:cstheme="minorHAnsi"/>
          <w:b/>
          <w:color w:val="0F1419"/>
          <w:sz w:val="22"/>
          <w:shd w:val="clear" w:color="auto" w:fill="FFFFFF"/>
        </w:rPr>
        <w:t xml:space="preserve"> rynku </w:t>
      </w:r>
      <w:r w:rsidRPr="000B2CD6">
        <w:rPr>
          <w:rFonts w:cstheme="minorHAnsi"/>
          <w:b/>
          <w:color w:val="0F1419"/>
          <w:sz w:val="22"/>
          <w:shd w:val="clear" w:color="auto" w:fill="FFFFFF"/>
        </w:rPr>
        <w:t>paliw. Ceny stosowane przez PKN Orlen pod koniec 202</w:t>
      </w:r>
      <w:r>
        <w:rPr>
          <w:rFonts w:cstheme="minorHAnsi"/>
          <w:b/>
          <w:color w:val="0F1419"/>
          <w:sz w:val="22"/>
          <w:shd w:val="clear" w:color="auto" w:fill="FFFFFF"/>
        </w:rPr>
        <w:t>2</w:t>
      </w:r>
      <w:r w:rsidRPr="000B2CD6">
        <w:rPr>
          <w:rFonts w:cstheme="minorHAnsi"/>
          <w:b/>
          <w:color w:val="0F1419"/>
          <w:sz w:val="22"/>
          <w:shd w:val="clear" w:color="auto" w:fill="FFFFFF"/>
        </w:rPr>
        <w:t xml:space="preserve"> r. nie </w:t>
      </w:r>
      <w:r>
        <w:rPr>
          <w:rFonts w:cstheme="minorHAnsi"/>
          <w:b/>
          <w:color w:val="0F1419"/>
          <w:sz w:val="22"/>
          <w:shd w:val="clear" w:color="auto" w:fill="FFFFFF"/>
        </w:rPr>
        <w:t>naruszały</w:t>
      </w:r>
      <w:r w:rsidRPr="000B2CD6">
        <w:rPr>
          <w:rFonts w:cstheme="minorHAnsi"/>
          <w:b/>
          <w:color w:val="0F1419"/>
          <w:sz w:val="22"/>
          <w:shd w:val="clear" w:color="auto" w:fill="FFFFFF"/>
        </w:rPr>
        <w:t xml:space="preserve"> przepisów prawa ochrony konkurencji</w:t>
      </w:r>
      <w:r>
        <w:rPr>
          <w:rFonts w:cstheme="minorHAnsi"/>
          <w:b/>
          <w:color w:val="0F1419"/>
          <w:sz w:val="22"/>
          <w:shd w:val="clear" w:color="auto" w:fill="FFFFFF"/>
        </w:rPr>
        <w:t xml:space="preserve">. </w:t>
      </w:r>
      <w:r w:rsidRPr="00E337D0">
        <w:rPr>
          <w:rFonts w:cstheme="minorHAnsi"/>
          <w:b/>
          <w:color w:val="0F1419"/>
          <w:sz w:val="22"/>
          <w:shd w:val="clear" w:color="auto" w:fill="FFFFFF"/>
        </w:rPr>
        <w:t>Sprawa była konsultowana z Komisją Europejską.</w:t>
      </w:r>
    </w:p>
    <w:p w14:paraId="1AF315CE" w14:textId="77777777" w:rsidR="001353AA" w:rsidRPr="00335DB9" w:rsidRDefault="001353AA" w:rsidP="001353A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Fonts w:cstheme="minorHAnsi"/>
          <w:b/>
          <w:color w:val="0F1419"/>
          <w:sz w:val="22"/>
          <w:shd w:val="clear" w:color="auto" w:fill="FFFFFF"/>
        </w:rPr>
      </w:pPr>
      <w:r>
        <w:rPr>
          <w:rFonts w:cstheme="minorHAnsi"/>
          <w:b/>
          <w:color w:val="0F1419"/>
          <w:sz w:val="22"/>
          <w:shd w:val="clear" w:color="auto" w:fill="FFFFFF"/>
        </w:rPr>
        <w:t>U</w:t>
      </w:r>
      <w:r w:rsidRPr="00335DB9">
        <w:rPr>
          <w:rFonts w:cstheme="minorHAnsi"/>
          <w:b/>
          <w:color w:val="0F1419"/>
          <w:sz w:val="22"/>
          <w:shd w:val="clear" w:color="auto" w:fill="FFFFFF"/>
        </w:rPr>
        <w:t xml:space="preserve">stalenia </w:t>
      </w:r>
      <w:r>
        <w:rPr>
          <w:rFonts w:cstheme="minorHAnsi"/>
          <w:b/>
          <w:color w:val="0F1419"/>
          <w:sz w:val="22"/>
          <w:shd w:val="clear" w:color="auto" w:fill="FFFFFF"/>
        </w:rPr>
        <w:t xml:space="preserve">UOKiK są </w:t>
      </w:r>
      <w:r w:rsidRPr="00335DB9">
        <w:rPr>
          <w:rFonts w:cstheme="minorHAnsi"/>
          <w:b/>
          <w:color w:val="0F1419"/>
          <w:sz w:val="22"/>
          <w:shd w:val="clear" w:color="auto" w:fill="FFFFFF"/>
        </w:rPr>
        <w:t>poprzedzone analizami ekonomicznymi i zgodne z orzecznictwem Komisji Europejskiej, Trybunału Sprawiedliwości Unii Europejskiej oraz europejskich urzędów antymonopolowych.</w:t>
      </w:r>
    </w:p>
    <w:p w14:paraId="7A9837F4" w14:textId="4B0C8FDF" w:rsidR="001353AA" w:rsidRPr="004B223C" w:rsidRDefault="001353AA" w:rsidP="001353AA">
      <w:pPr>
        <w:spacing w:after="240" w:line="360" w:lineRule="auto"/>
        <w:jc w:val="both"/>
        <w:rPr>
          <w:rFonts w:cs="Arial"/>
          <w:sz w:val="22"/>
        </w:rPr>
      </w:pPr>
      <w:r w:rsidRPr="004B223C">
        <w:rPr>
          <w:rFonts w:cstheme="minorHAnsi"/>
          <w:b/>
          <w:color w:val="0F1419"/>
          <w:sz w:val="22"/>
          <w:shd w:val="clear" w:color="auto" w:fill="FFFFFF"/>
        </w:rPr>
        <w:t xml:space="preserve">[Warszawa, </w:t>
      </w:r>
      <w:r w:rsidR="003915EC">
        <w:rPr>
          <w:rFonts w:cstheme="minorHAnsi"/>
          <w:b/>
          <w:color w:val="0F1419"/>
          <w:sz w:val="22"/>
          <w:shd w:val="clear" w:color="auto" w:fill="FFFFFF"/>
        </w:rPr>
        <w:t xml:space="preserve">07 </w:t>
      </w:r>
      <w:r>
        <w:rPr>
          <w:rFonts w:cstheme="minorHAnsi"/>
          <w:b/>
          <w:color w:val="0F1419"/>
          <w:sz w:val="22"/>
          <w:shd w:val="clear" w:color="auto" w:fill="FFFFFF"/>
        </w:rPr>
        <w:t>czerwca</w:t>
      </w:r>
      <w:r w:rsidRPr="004B223C">
        <w:rPr>
          <w:rFonts w:cstheme="minorHAnsi"/>
          <w:b/>
          <w:color w:val="0F1419"/>
          <w:sz w:val="22"/>
          <w:shd w:val="clear" w:color="auto" w:fill="FFFFFF"/>
        </w:rPr>
        <w:t xml:space="preserve"> 2023 r.]</w:t>
      </w:r>
      <w:r>
        <w:rPr>
          <w:rFonts w:cstheme="minorHAnsi"/>
          <w:color w:val="0F1419"/>
          <w:shd w:val="clear" w:color="auto" w:fill="FFFFFF"/>
        </w:rPr>
        <w:t xml:space="preserve"> </w:t>
      </w:r>
      <w:r w:rsidRPr="004B223C">
        <w:rPr>
          <w:rFonts w:cstheme="minorHAnsi"/>
          <w:color w:val="0F1419"/>
          <w:sz w:val="22"/>
          <w:shd w:val="clear" w:color="auto" w:fill="FFFFFF"/>
        </w:rPr>
        <w:t>Na początku 2023 r. duże emocje budziła kwestia cen benzyny i oleju napędowego. D</w:t>
      </w:r>
      <w:r>
        <w:rPr>
          <w:rFonts w:cstheme="minorHAnsi"/>
          <w:color w:val="0F1419"/>
          <w:sz w:val="22"/>
          <w:shd w:val="clear" w:color="auto" w:fill="FFFFFF"/>
        </w:rPr>
        <w:t>o</w:t>
      </w:r>
      <w:r w:rsidRPr="004B223C">
        <w:rPr>
          <w:rFonts w:cstheme="minorHAnsi"/>
          <w:color w:val="0F1419"/>
          <w:sz w:val="22"/>
          <w:shd w:val="clear" w:color="auto" w:fill="FFFFFF"/>
        </w:rPr>
        <w:t xml:space="preserve"> UOKiK napływały liczne skargi sugerujące, że ceny stosowane pod koniec 2022 r. przez PKN Orlen mogły stanowić nadużycie pozycji dom</w:t>
      </w:r>
      <w:r>
        <w:rPr>
          <w:rFonts w:cstheme="minorHAnsi"/>
          <w:color w:val="0F1419"/>
          <w:sz w:val="22"/>
          <w:shd w:val="clear" w:color="auto" w:fill="FFFFFF"/>
        </w:rPr>
        <w:t>i</w:t>
      </w:r>
      <w:r w:rsidRPr="004B223C">
        <w:rPr>
          <w:rFonts w:cstheme="minorHAnsi"/>
          <w:color w:val="0F1419"/>
          <w:sz w:val="22"/>
          <w:shd w:val="clear" w:color="auto" w:fill="FFFFFF"/>
        </w:rPr>
        <w:t>nującej przez spół</w:t>
      </w:r>
      <w:r>
        <w:rPr>
          <w:rFonts w:cstheme="minorHAnsi"/>
          <w:color w:val="0F1419"/>
          <w:sz w:val="22"/>
          <w:shd w:val="clear" w:color="auto" w:fill="FFFFFF"/>
        </w:rPr>
        <w:t>k</w:t>
      </w:r>
      <w:r w:rsidRPr="004B223C">
        <w:rPr>
          <w:rFonts w:cstheme="minorHAnsi"/>
          <w:color w:val="0F1419"/>
          <w:sz w:val="22"/>
          <w:shd w:val="clear" w:color="auto" w:fill="FFFFFF"/>
        </w:rPr>
        <w:t>ę. W związku</w:t>
      </w:r>
      <w:r>
        <w:rPr>
          <w:rFonts w:cstheme="minorHAnsi"/>
          <w:color w:val="0F1419"/>
          <w:sz w:val="22"/>
          <w:shd w:val="clear" w:color="auto" w:fill="FFFFFF"/>
        </w:rPr>
        <w:t xml:space="preserve"> </w:t>
      </w:r>
      <w:r w:rsidRPr="004B223C">
        <w:rPr>
          <w:rFonts w:cstheme="minorHAnsi"/>
          <w:color w:val="0F1419"/>
          <w:sz w:val="22"/>
          <w:shd w:val="clear" w:color="auto" w:fill="FFFFFF"/>
        </w:rPr>
        <w:t>z tym</w:t>
      </w:r>
      <w:r>
        <w:rPr>
          <w:rFonts w:cstheme="minorHAnsi"/>
          <w:color w:val="0F1419"/>
          <w:sz w:val="22"/>
          <w:shd w:val="clear" w:color="auto" w:fill="FFFFFF"/>
        </w:rPr>
        <w:t xml:space="preserve"> </w:t>
      </w:r>
      <w:r w:rsidRPr="004A1A00">
        <w:rPr>
          <w:rFonts w:cstheme="minorHAnsi"/>
          <w:color w:val="0F1419"/>
          <w:sz w:val="22"/>
          <w:shd w:val="clear" w:color="auto" w:fill="FFFFFF"/>
        </w:rPr>
        <w:t>oraz</w:t>
      </w:r>
      <w:r>
        <w:rPr>
          <w:rFonts w:cstheme="minorHAnsi"/>
          <w:color w:val="0F1419"/>
          <w:sz w:val="22"/>
          <w:shd w:val="clear" w:color="auto" w:fill="FFFFFF"/>
        </w:rPr>
        <w:t xml:space="preserve"> na podstawie </w:t>
      </w:r>
      <w:r w:rsidRPr="002F5A2D">
        <w:rPr>
          <w:sz w:val="22"/>
        </w:rPr>
        <w:t>własn</w:t>
      </w:r>
      <w:r>
        <w:rPr>
          <w:sz w:val="22"/>
        </w:rPr>
        <w:t>ego</w:t>
      </w:r>
      <w:r w:rsidRPr="002F5A2D">
        <w:rPr>
          <w:sz w:val="22"/>
        </w:rPr>
        <w:t xml:space="preserve"> monitoring</w:t>
      </w:r>
      <w:r>
        <w:rPr>
          <w:sz w:val="22"/>
        </w:rPr>
        <w:t>u</w:t>
      </w:r>
      <w:r w:rsidRPr="002F5A2D">
        <w:rPr>
          <w:sz w:val="22"/>
        </w:rPr>
        <w:t xml:space="preserve"> </w:t>
      </w:r>
      <w:r w:rsidRPr="004A1A00">
        <w:rPr>
          <w:rFonts w:cstheme="minorHAnsi"/>
          <w:color w:val="0F1419"/>
          <w:sz w:val="22"/>
          <w:shd w:val="clear" w:color="auto" w:fill="FFFFFF"/>
        </w:rPr>
        <w:t>Prezes</w:t>
      </w:r>
      <w:r w:rsidRPr="004B223C">
        <w:rPr>
          <w:rFonts w:cstheme="minorHAnsi"/>
          <w:color w:val="0F1419"/>
          <w:sz w:val="22"/>
          <w:shd w:val="clear" w:color="auto" w:fill="FFFFFF"/>
        </w:rPr>
        <w:t xml:space="preserve"> Urzędu wszczął postępowanie wyjaśniające dotyczące rynku paliw.</w:t>
      </w:r>
      <w:r>
        <w:rPr>
          <w:rFonts w:cs="Arial"/>
          <w:sz w:val="22"/>
        </w:rPr>
        <w:t xml:space="preserve"> </w:t>
      </w:r>
      <w:r w:rsidRPr="004B223C">
        <w:rPr>
          <w:rFonts w:cs="Arial"/>
          <w:sz w:val="22"/>
        </w:rPr>
        <w:t>Postępowanie było prowadzone na podstawie polskich</w:t>
      </w:r>
      <w:r>
        <w:rPr>
          <w:rFonts w:cs="Arial"/>
          <w:sz w:val="22"/>
        </w:rPr>
        <w:t>,</w:t>
      </w:r>
      <w:r w:rsidRPr="004B223C">
        <w:rPr>
          <w:rFonts w:cs="Arial"/>
          <w:sz w:val="22"/>
        </w:rPr>
        <w:t xml:space="preserve"> jak i unijnych przepisów. </w:t>
      </w:r>
      <w:r>
        <w:rPr>
          <w:rFonts w:cs="Arial"/>
          <w:sz w:val="22"/>
        </w:rPr>
        <w:t>UOKiK</w:t>
      </w:r>
      <w:r w:rsidRPr="004B223C">
        <w:rPr>
          <w:rFonts w:cs="Arial"/>
          <w:sz w:val="22"/>
        </w:rPr>
        <w:t xml:space="preserve"> konsultował swoje działania z Komisją Europejską</w:t>
      </w:r>
      <w:r>
        <w:rPr>
          <w:rFonts w:cs="Arial"/>
          <w:sz w:val="22"/>
        </w:rPr>
        <w:t>.</w:t>
      </w:r>
    </w:p>
    <w:p w14:paraId="3CA78DB7" w14:textId="77777777" w:rsidR="001353AA" w:rsidRDefault="001353AA" w:rsidP="001353AA">
      <w:pPr>
        <w:spacing w:after="240" w:line="360" w:lineRule="auto"/>
        <w:jc w:val="both"/>
        <w:rPr>
          <w:rFonts w:cstheme="minorHAnsi"/>
          <w:color w:val="0F1419"/>
          <w:sz w:val="22"/>
          <w:shd w:val="clear" w:color="auto" w:fill="FFFFFF"/>
        </w:rPr>
      </w:pPr>
      <w:r w:rsidRPr="004B223C">
        <w:rPr>
          <w:rFonts w:cstheme="minorHAnsi"/>
          <w:color w:val="0F1419"/>
          <w:sz w:val="22"/>
          <w:shd w:val="clear" w:color="auto" w:fill="FFFFFF"/>
        </w:rPr>
        <w:t xml:space="preserve">-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Rozumiem</w:t>
      </w:r>
      <w:r>
        <w:rPr>
          <w:rFonts w:cstheme="minorHAnsi"/>
          <w:i/>
          <w:color w:val="0F1419"/>
          <w:sz w:val="22"/>
          <w:shd w:val="clear" w:color="auto" w:fill="FFFFFF"/>
        </w:rPr>
        <w:t>y emocje i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niezadowolenie kierowców z cen paliw pod koniec roku. </w:t>
      </w:r>
      <w:r>
        <w:rPr>
          <w:rFonts w:cstheme="minorHAnsi"/>
          <w:i/>
          <w:color w:val="0F1419"/>
          <w:sz w:val="22"/>
          <w:shd w:val="clear" w:color="auto" w:fill="FFFFFF"/>
        </w:rPr>
        <w:t>Naszą rolą było przy tym rzetelne zbadanie zachowania przedsiębiorcy na gruncie prawnym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. W naszym postępowaniu, które konsultowaliśmy z Komisją Europejską</w:t>
      </w:r>
      <w:r>
        <w:rPr>
          <w:rFonts w:cstheme="minorHAnsi"/>
          <w:i/>
          <w:color w:val="0F1419"/>
          <w:sz w:val="22"/>
          <w:shd w:val="clear" w:color="auto" w:fill="FFFFFF"/>
        </w:rPr>
        <w:t>,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wnikliwie zbadaliśmy sytuację na rynku paliw</w:t>
      </w:r>
      <w:r>
        <w:rPr>
          <w:rFonts w:cstheme="minorHAnsi"/>
          <w:i/>
          <w:color w:val="0F1419"/>
          <w:sz w:val="22"/>
          <w:shd w:val="clear" w:color="auto" w:fill="FFFFFF"/>
        </w:rPr>
        <w:t>, jaka miała miejsce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</w:t>
      </w:r>
      <w:r>
        <w:rPr>
          <w:rFonts w:cstheme="minorHAnsi"/>
          <w:i/>
          <w:color w:val="0F1419"/>
          <w:sz w:val="22"/>
          <w:shd w:val="clear" w:color="auto" w:fill="FFFFFF"/>
        </w:rPr>
        <w:t>p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od koniec ubiegłego roku. Sprawdzaliśmy sposób kształtowania cen przez Orlen i przeprowadziliśmy testy ekonomiczne, które miały </w:t>
      </w:r>
      <w:r>
        <w:rPr>
          <w:rFonts w:cstheme="minorHAnsi"/>
          <w:i/>
          <w:color w:val="0F1419"/>
          <w:sz w:val="22"/>
          <w:shd w:val="clear" w:color="auto" w:fill="FFFFFF"/>
        </w:rPr>
        <w:t>zweryfikować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czy były to ceny nadmiernie wygórowane w rozumieniu przepisów antymonopolowych. Korzystaliśmy również z 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doświadczeń i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dorobku orzeczniczego innych organów antymonopolowych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 UE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, Komisji Europejskiej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 i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T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rybunału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S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prawiedliwości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UE. Postępowanie wykazało, że 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ceny paliw stosowane przez Orlen </w:t>
      </w:r>
      <w:r w:rsidRPr="002F5A2D">
        <w:rPr>
          <w:i/>
          <w:sz w:val="22"/>
        </w:rPr>
        <w:t xml:space="preserve">w grudniu 2022 r. malały </w:t>
      </w:r>
      <w:r>
        <w:rPr>
          <w:i/>
          <w:sz w:val="22"/>
        </w:rPr>
        <w:t>wolniej</w:t>
      </w:r>
      <w:r w:rsidRPr="002F5A2D">
        <w:rPr>
          <w:i/>
          <w:sz w:val="22"/>
        </w:rPr>
        <w:t xml:space="preserve"> niż notowania cen paliw na rynkach europejskich. Nie stanowiło to jednak</w:t>
      </w:r>
      <w:r w:rsidRPr="002F5A2D">
        <w:rPr>
          <w:i/>
        </w:rPr>
        <w:t xml:space="preserve"> </w:t>
      </w:r>
      <w:r w:rsidRPr="002F5A2D">
        <w:rPr>
          <w:rFonts w:cstheme="minorHAnsi"/>
          <w:i/>
          <w:color w:val="0F1419"/>
          <w:sz w:val="22"/>
          <w:shd w:val="clear" w:color="auto" w:fill="FFFFFF"/>
        </w:rPr>
        <w:t>naruszenia prawa w myśl polskich i unijnych przepisów ochrony konkurencji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. </w:t>
      </w:r>
      <w:r>
        <w:rPr>
          <w:rFonts w:cstheme="minorHAnsi"/>
          <w:i/>
          <w:color w:val="0F1419"/>
          <w:sz w:val="22"/>
          <w:shd w:val="clear" w:color="auto" w:fill="FFFFFF"/>
        </w:rPr>
        <w:t>Poziom cen stosowanych przez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Orlen pod koniec roku 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był niższy niż poziomy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uznawan</w:t>
      </w:r>
      <w:r>
        <w:rPr>
          <w:rFonts w:cstheme="minorHAnsi"/>
          <w:i/>
          <w:color w:val="0F1419"/>
          <w:sz w:val="22"/>
          <w:shd w:val="clear" w:color="auto" w:fill="FFFFFF"/>
        </w:rPr>
        <w:t>e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w orzecznictwie 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>za nadużywa</w:t>
      </w:r>
      <w:r>
        <w:rPr>
          <w:rFonts w:cstheme="minorHAnsi"/>
          <w:i/>
          <w:color w:val="0F1419"/>
          <w:sz w:val="22"/>
          <w:shd w:val="clear" w:color="auto" w:fill="FFFFFF"/>
        </w:rPr>
        <w:t>nie</w:t>
      </w:r>
      <w:r w:rsidRPr="004B223C">
        <w:rPr>
          <w:rFonts w:cstheme="minorHAnsi"/>
          <w:i/>
          <w:color w:val="0F1419"/>
          <w:sz w:val="22"/>
          <w:shd w:val="clear" w:color="auto" w:fill="FFFFFF"/>
        </w:rPr>
        <w:t xml:space="preserve"> pozycji dominującej poprzez stosowanie cen nadmiernie wygórowanych</w:t>
      </w:r>
      <w:r>
        <w:rPr>
          <w:rFonts w:cstheme="minorHAnsi"/>
          <w:i/>
          <w:color w:val="0F1419"/>
          <w:sz w:val="22"/>
          <w:shd w:val="clear" w:color="auto" w:fill="FFFFFF"/>
        </w:rPr>
        <w:t xml:space="preserve"> </w:t>
      </w:r>
      <w:r w:rsidRPr="004B223C">
        <w:rPr>
          <w:rFonts w:cstheme="minorHAnsi"/>
          <w:color w:val="0F1419"/>
          <w:sz w:val="22"/>
          <w:shd w:val="clear" w:color="auto" w:fill="FFFFFF"/>
        </w:rPr>
        <w:t>– mówi Prezes UOKiK Tomasz Chró</w:t>
      </w:r>
      <w:r>
        <w:rPr>
          <w:rFonts w:cstheme="minorHAnsi"/>
          <w:color w:val="0F1419"/>
          <w:sz w:val="22"/>
          <w:shd w:val="clear" w:color="auto" w:fill="FFFFFF"/>
        </w:rPr>
        <w:t>s</w:t>
      </w:r>
      <w:r w:rsidRPr="004B223C">
        <w:rPr>
          <w:rFonts w:cstheme="minorHAnsi"/>
          <w:color w:val="0F1419"/>
          <w:sz w:val="22"/>
          <w:shd w:val="clear" w:color="auto" w:fill="FFFFFF"/>
        </w:rPr>
        <w:t>tny.</w:t>
      </w:r>
    </w:p>
    <w:p w14:paraId="02F48BE9" w14:textId="77777777" w:rsidR="001353AA" w:rsidRPr="004B223C" w:rsidRDefault="001353AA" w:rsidP="001353AA">
      <w:pPr>
        <w:spacing w:after="240" w:line="360" w:lineRule="auto"/>
        <w:jc w:val="both"/>
        <w:rPr>
          <w:rFonts w:cstheme="minorHAnsi"/>
          <w:color w:val="0F1419"/>
          <w:sz w:val="22"/>
          <w:shd w:val="clear" w:color="auto" w:fill="FFFFFF"/>
        </w:rPr>
      </w:pPr>
    </w:p>
    <w:p w14:paraId="7AA828BB" w14:textId="77777777" w:rsidR="001353AA" w:rsidRPr="00380EFB" w:rsidRDefault="001353AA" w:rsidP="001353AA">
      <w:pPr>
        <w:spacing w:after="240" w:line="360" w:lineRule="auto"/>
        <w:rPr>
          <w:rFonts w:cstheme="minorHAnsi"/>
          <w:b/>
          <w:color w:val="0F1419"/>
          <w:sz w:val="22"/>
          <w:shd w:val="clear" w:color="auto" w:fill="FFFFFF"/>
        </w:rPr>
      </w:pPr>
      <w:r w:rsidRPr="00380EFB">
        <w:rPr>
          <w:rFonts w:cstheme="minorHAnsi"/>
          <w:b/>
          <w:color w:val="0F1419"/>
          <w:sz w:val="22"/>
          <w:shd w:val="clear" w:color="auto" w:fill="FFFFFF"/>
        </w:rPr>
        <w:lastRenderedPageBreak/>
        <w:t>Ceny stosowane przez PKN Orlen pod koniec 2022 r.</w:t>
      </w:r>
    </w:p>
    <w:p w14:paraId="202F8BE5" w14:textId="77777777" w:rsidR="001353AA" w:rsidRPr="004D6A1A" w:rsidRDefault="001353AA" w:rsidP="001353AA">
      <w:pPr>
        <w:spacing w:after="240" w:line="360" w:lineRule="auto"/>
        <w:jc w:val="both"/>
        <w:rPr>
          <w:sz w:val="22"/>
        </w:rPr>
      </w:pPr>
      <w:r w:rsidRPr="004D6A1A">
        <w:rPr>
          <w:sz w:val="22"/>
        </w:rPr>
        <w:t>W ramach postępowania</w:t>
      </w:r>
      <w:r>
        <w:rPr>
          <w:sz w:val="22"/>
        </w:rPr>
        <w:t xml:space="preserve"> wyjaśniającego</w:t>
      </w:r>
      <w:r w:rsidRPr="004D6A1A">
        <w:rPr>
          <w:sz w:val="22"/>
        </w:rPr>
        <w:t xml:space="preserve"> UOKiK</w:t>
      </w:r>
      <w:r>
        <w:rPr>
          <w:sz w:val="22"/>
        </w:rPr>
        <w:t xml:space="preserve"> </w:t>
      </w:r>
      <w:r w:rsidRPr="004D6A1A">
        <w:rPr>
          <w:sz w:val="22"/>
        </w:rPr>
        <w:t xml:space="preserve">zwracał się </w:t>
      </w:r>
      <w:r>
        <w:rPr>
          <w:sz w:val="22"/>
        </w:rPr>
        <w:t xml:space="preserve">kilkukrotnie </w:t>
      </w:r>
      <w:r w:rsidRPr="004D6A1A">
        <w:rPr>
          <w:sz w:val="22"/>
        </w:rPr>
        <w:t>do PKN Orlen z wezwani</w:t>
      </w:r>
      <w:r>
        <w:rPr>
          <w:sz w:val="22"/>
        </w:rPr>
        <w:t>ami</w:t>
      </w:r>
      <w:r w:rsidRPr="004D6A1A">
        <w:rPr>
          <w:sz w:val="22"/>
        </w:rPr>
        <w:t xml:space="preserve"> do przekazania kolejnych informacji i danych dotyczących w szczególności: kształtowania hurtowych cen paliw w drugiej połowie 2022 r., sposobu ustalania tych cen (w tym stosowanych do tego indeksach oraz formułach cenowych), wolumenów sprzedanych paliw, cen stosowanych w innych państwach, w których koncern jest obecny, polityki cenowej i rabatowej wobec poszczególnych grup nabywców, wielkości zapasów czy wielkości mocy przerobowych zakładów rafineryjnych.</w:t>
      </w:r>
    </w:p>
    <w:p w14:paraId="5B168145" w14:textId="77777777" w:rsidR="001353AA" w:rsidRPr="004D6A1A" w:rsidRDefault="001353AA" w:rsidP="001353AA">
      <w:pPr>
        <w:spacing w:after="240" w:line="360" w:lineRule="auto"/>
        <w:jc w:val="both"/>
        <w:rPr>
          <w:sz w:val="22"/>
        </w:rPr>
      </w:pPr>
      <w:r w:rsidRPr="004D6A1A">
        <w:rPr>
          <w:sz w:val="22"/>
        </w:rPr>
        <w:t>Ponadto</w:t>
      </w:r>
      <w:r>
        <w:rPr>
          <w:sz w:val="22"/>
        </w:rPr>
        <w:t>,</w:t>
      </w:r>
      <w:r w:rsidRPr="004D6A1A">
        <w:rPr>
          <w:sz w:val="22"/>
        </w:rPr>
        <w:t xml:space="preserve"> UOKiK zwracał się do </w:t>
      </w:r>
      <w:proofErr w:type="spellStart"/>
      <w:r w:rsidRPr="004D6A1A">
        <w:rPr>
          <w:sz w:val="22"/>
        </w:rPr>
        <w:t>Aramco</w:t>
      </w:r>
      <w:proofErr w:type="spellEnd"/>
      <w:r w:rsidRPr="004D6A1A">
        <w:rPr>
          <w:sz w:val="22"/>
        </w:rPr>
        <w:t xml:space="preserve"> </w:t>
      </w:r>
      <w:proofErr w:type="spellStart"/>
      <w:r w:rsidRPr="004D6A1A">
        <w:rPr>
          <w:sz w:val="22"/>
        </w:rPr>
        <w:t>Fuels</w:t>
      </w:r>
      <w:proofErr w:type="spellEnd"/>
      <w:r w:rsidRPr="004D6A1A">
        <w:rPr>
          <w:sz w:val="22"/>
        </w:rPr>
        <w:t xml:space="preserve"> Poland</w:t>
      </w:r>
      <w:r>
        <w:rPr>
          <w:sz w:val="22"/>
        </w:rPr>
        <w:t xml:space="preserve"> (dawna Lotos Paliwa sp. z o.</w:t>
      </w:r>
      <w:proofErr w:type="gramStart"/>
      <w:r>
        <w:rPr>
          <w:sz w:val="22"/>
        </w:rPr>
        <w:t>o</w:t>
      </w:r>
      <w:proofErr w:type="gramEnd"/>
      <w:r>
        <w:rPr>
          <w:sz w:val="22"/>
        </w:rPr>
        <w:t>.)</w:t>
      </w:r>
      <w:r w:rsidRPr="004D6A1A">
        <w:rPr>
          <w:sz w:val="22"/>
        </w:rPr>
        <w:t xml:space="preserve">, </w:t>
      </w:r>
      <w:proofErr w:type="gramStart"/>
      <w:r w:rsidRPr="004D6A1A">
        <w:rPr>
          <w:sz w:val="22"/>
        </w:rPr>
        <w:t>oraz</w:t>
      </w:r>
      <w:proofErr w:type="gramEnd"/>
      <w:r w:rsidRPr="004D6A1A">
        <w:rPr>
          <w:sz w:val="22"/>
        </w:rPr>
        <w:t xml:space="preserve"> do innych firm paliwowych funkcjonujących na polskim </w:t>
      </w:r>
      <w:r>
        <w:rPr>
          <w:sz w:val="22"/>
        </w:rPr>
        <w:t xml:space="preserve">rynku </w:t>
      </w:r>
      <w:r w:rsidRPr="004D6A1A">
        <w:rPr>
          <w:sz w:val="22"/>
        </w:rPr>
        <w:t xml:space="preserve">o przekazanie m.in. danych handlowych w zakresie stosowanych cen paliw. </w:t>
      </w:r>
    </w:p>
    <w:p w14:paraId="096A0CEF" w14:textId="77777777" w:rsidR="001353AA" w:rsidRDefault="001353AA" w:rsidP="001353AA">
      <w:pPr>
        <w:spacing w:after="240" w:line="360" w:lineRule="auto"/>
        <w:jc w:val="both"/>
        <w:rPr>
          <w:rFonts w:cs="Arial"/>
          <w:sz w:val="22"/>
        </w:rPr>
      </w:pPr>
      <w:r w:rsidRPr="004D6A1A">
        <w:rPr>
          <w:sz w:val="22"/>
        </w:rPr>
        <w:t xml:space="preserve">UOKiK skierował również dwa wystąpienia do sieci </w:t>
      </w:r>
      <w:proofErr w:type="spellStart"/>
      <w:r w:rsidRPr="004D6A1A">
        <w:rPr>
          <w:sz w:val="22"/>
        </w:rPr>
        <w:t>European</w:t>
      </w:r>
      <w:proofErr w:type="spellEnd"/>
      <w:r w:rsidRPr="004D6A1A">
        <w:rPr>
          <w:sz w:val="22"/>
        </w:rPr>
        <w:t xml:space="preserve"> </w:t>
      </w:r>
      <w:proofErr w:type="spellStart"/>
      <w:r w:rsidRPr="004D6A1A">
        <w:rPr>
          <w:sz w:val="22"/>
        </w:rPr>
        <w:t>Competition</w:t>
      </w:r>
      <w:proofErr w:type="spellEnd"/>
      <w:r w:rsidRPr="004D6A1A">
        <w:rPr>
          <w:sz w:val="22"/>
        </w:rPr>
        <w:t xml:space="preserve"> Network, w </w:t>
      </w:r>
      <w:proofErr w:type="gramStart"/>
      <w:r w:rsidRPr="004D6A1A">
        <w:rPr>
          <w:sz w:val="22"/>
        </w:rPr>
        <w:t>skład której</w:t>
      </w:r>
      <w:proofErr w:type="gramEnd"/>
      <w:r w:rsidRPr="004D6A1A">
        <w:rPr>
          <w:sz w:val="22"/>
        </w:rPr>
        <w:t xml:space="preserve"> wchodzą Komisja Europejska oraz organy ochrony konkurencji państw członkowskich UE z prośbą o przekazanie informacji, czy organy te zaobserwowały jakiekolwiek </w:t>
      </w:r>
      <w:proofErr w:type="gramStart"/>
      <w:r w:rsidRPr="004D6A1A">
        <w:rPr>
          <w:sz w:val="22"/>
        </w:rPr>
        <w:t>nieprawidłowości</w:t>
      </w:r>
      <w:proofErr w:type="gramEnd"/>
      <w:r w:rsidRPr="004D6A1A">
        <w:rPr>
          <w:sz w:val="22"/>
        </w:rPr>
        <w:t xml:space="preserve"> na własnych rynkach paliw w drugiej połowie ubiegłego roku oraz czy podejmowały w związku z tym działania na gruncie regulacji antymonopolowych.</w:t>
      </w:r>
    </w:p>
    <w:p w14:paraId="447EF0A2" w14:textId="77777777" w:rsidR="001353AA" w:rsidRPr="002F5A2D" w:rsidRDefault="001353AA" w:rsidP="001353AA">
      <w:pPr>
        <w:spacing w:after="240" w:line="360" w:lineRule="auto"/>
        <w:jc w:val="both"/>
        <w:rPr>
          <w:b/>
          <w:sz w:val="22"/>
        </w:rPr>
      </w:pPr>
      <w:r w:rsidRPr="002F5A2D">
        <w:rPr>
          <w:b/>
          <w:sz w:val="22"/>
        </w:rPr>
        <w:t>Ustalenia UOKiK</w:t>
      </w:r>
    </w:p>
    <w:p w14:paraId="54E25F73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Orlen wyznacza tzw. cenę SPOT paliw (oleju napędowego i benzyny). Jest ona określana przy pomocy pewnych formuł matematycznych w oparciu o różne czynniki rynkowe. Jednym z nich są </w:t>
      </w:r>
      <w:r w:rsidRPr="00F16B57">
        <w:rPr>
          <w:sz w:val="22"/>
        </w:rPr>
        <w:t>notowania danego rodzaju paliwa na międzynarodowych giełdach towarowych</w:t>
      </w:r>
      <w:r>
        <w:rPr>
          <w:sz w:val="22"/>
        </w:rPr>
        <w:t xml:space="preserve">. UOKiK pozyskał w toku postępowania szczegółowe informacje na temat sposobu kalkulowania cen SPOT przez Orlen i przeanalizował dane źródłowe stanowiące podstawę do określania tych cen w okresie od czerwca 2022 r. do końcówki stycznia 2023 r. </w:t>
      </w:r>
    </w:p>
    <w:p w14:paraId="0B74AE80" w14:textId="77777777" w:rsidR="001353AA" w:rsidRPr="00F16B57" w:rsidRDefault="001353AA" w:rsidP="001353AA">
      <w:pPr>
        <w:spacing w:after="240" w:line="360" w:lineRule="auto"/>
        <w:jc w:val="both"/>
        <w:rPr>
          <w:sz w:val="22"/>
        </w:rPr>
      </w:pPr>
      <w:r>
        <w:rPr>
          <w:sz w:val="22"/>
        </w:rPr>
        <w:t>Cena SPOT jest ceną referencyjną (ceną odniesienia). Natomiast rzeczywiste ceny transakcyjne, tzn. ceny, po których nabywcy hurtowi (np. właściciele stacji paliw) kupują paliwa od Orlenu, kształtowane są z uwzględnieniem rabatów i upustów udzielanych od ceny SPOT. N</w:t>
      </w:r>
      <w:r w:rsidRPr="00F16B57">
        <w:rPr>
          <w:sz w:val="22"/>
        </w:rPr>
        <w:t>astępnie każda</w:t>
      </w:r>
      <w:r>
        <w:rPr>
          <w:sz w:val="22"/>
        </w:rPr>
        <w:t xml:space="preserve"> </w:t>
      </w:r>
      <w:r w:rsidRPr="00F16B57">
        <w:rPr>
          <w:sz w:val="22"/>
        </w:rPr>
        <w:t xml:space="preserve">stacja </w:t>
      </w:r>
      <w:r>
        <w:rPr>
          <w:sz w:val="22"/>
        </w:rPr>
        <w:t>paliw</w:t>
      </w:r>
      <w:r w:rsidRPr="00F16B57">
        <w:rPr>
          <w:sz w:val="22"/>
        </w:rPr>
        <w:t xml:space="preserve"> określa własną cenę det</w:t>
      </w:r>
      <w:r>
        <w:rPr>
          <w:sz w:val="22"/>
        </w:rPr>
        <w:t>aliczną, którą płaci konsument.</w:t>
      </w:r>
    </w:p>
    <w:p w14:paraId="1657114F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Mniej więcej od</w:t>
      </w:r>
      <w:r w:rsidRPr="00F16B57">
        <w:rPr>
          <w:sz w:val="22"/>
        </w:rPr>
        <w:t xml:space="preserve"> </w:t>
      </w:r>
      <w:r>
        <w:rPr>
          <w:sz w:val="22"/>
        </w:rPr>
        <w:t>połowy</w:t>
      </w:r>
      <w:r w:rsidRPr="00F16B57">
        <w:rPr>
          <w:sz w:val="22"/>
        </w:rPr>
        <w:t xml:space="preserve"> listopada 2022 r. notowania paliw </w:t>
      </w:r>
      <w:r>
        <w:rPr>
          <w:sz w:val="22"/>
        </w:rPr>
        <w:t>na rynkach międzynarodowych zaczęły systematycznie spadać</w:t>
      </w:r>
      <w:r w:rsidRPr="00F16B57">
        <w:rPr>
          <w:sz w:val="22"/>
        </w:rPr>
        <w:t xml:space="preserve">. Dotyczyło to zarówno </w:t>
      </w:r>
      <w:r>
        <w:rPr>
          <w:sz w:val="22"/>
        </w:rPr>
        <w:t xml:space="preserve">notowań </w:t>
      </w:r>
      <w:r w:rsidRPr="00F16B57">
        <w:rPr>
          <w:sz w:val="22"/>
        </w:rPr>
        <w:t xml:space="preserve">cen benzyn, jak i oleju napędowego. </w:t>
      </w:r>
      <w:r>
        <w:rPr>
          <w:sz w:val="22"/>
        </w:rPr>
        <w:t xml:space="preserve">W tym samym czasie </w:t>
      </w:r>
      <w:r w:rsidRPr="00F16B57">
        <w:rPr>
          <w:sz w:val="22"/>
        </w:rPr>
        <w:t>wysokość cen SPOT stosowanych przez Orlen nie spadała tak dynamicznie</w:t>
      </w:r>
      <w:r>
        <w:rPr>
          <w:sz w:val="22"/>
        </w:rPr>
        <w:t xml:space="preserve"> i proporcjonalnie</w:t>
      </w:r>
      <w:r w:rsidRPr="00F16B57">
        <w:rPr>
          <w:sz w:val="22"/>
        </w:rPr>
        <w:t xml:space="preserve"> jak notowania</w:t>
      </w:r>
      <w:r>
        <w:rPr>
          <w:sz w:val="22"/>
        </w:rPr>
        <w:t xml:space="preserve"> wykorzystywane do wyznaczania tej ceny</w:t>
      </w:r>
      <w:r w:rsidRPr="00F16B57">
        <w:rPr>
          <w:sz w:val="22"/>
        </w:rPr>
        <w:t>.</w:t>
      </w:r>
      <w:r>
        <w:rPr>
          <w:sz w:val="22"/>
        </w:rPr>
        <w:t xml:space="preserve"> </w:t>
      </w:r>
    </w:p>
    <w:p w14:paraId="253FCF01" w14:textId="77777777" w:rsidR="001353AA" w:rsidRPr="002F5A2D" w:rsidRDefault="001353AA" w:rsidP="001353AA">
      <w:pPr>
        <w:shd w:val="clear" w:color="auto" w:fill="FFFFFF"/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 w:rsidRPr="002F5A2D">
        <w:rPr>
          <w:rFonts w:cs="Calibri"/>
          <w:color w:val="212121"/>
          <w:sz w:val="22"/>
          <w:lang w:eastAsia="pl-PL"/>
        </w:rPr>
        <w:t>Ustalając czy ceny stosowane przez Orlen były nadmiernie wygórowane</w:t>
      </w:r>
      <w:r>
        <w:rPr>
          <w:rFonts w:cs="Calibri"/>
          <w:color w:val="212121"/>
          <w:sz w:val="22"/>
          <w:lang w:eastAsia="pl-PL"/>
        </w:rPr>
        <w:t>,</w:t>
      </w:r>
      <w:r w:rsidRPr="002F5A2D">
        <w:rPr>
          <w:rFonts w:cs="Calibri"/>
          <w:color w:val="212121"/>
          <w:sz w:val="22"/>
          <w:lang w:eastAsia="pl-PL"/>
        </w:rPr>
        <w:t xml:space="preserve"> UOKiK </w:t>
      </w:r>
      <w:r>
        <w:rPr>
          <w:rFonts w:cs="Calibri"/>
          <w:color w:val="212121"/>
          <w:sz w:val="22"/>
          <w:lang w:eastAsia="pl-PL"/>
        </w:rPr>
        <w:t>przyjął</w:t>
      </w:r>
      <w:r w:rsidRPr="002F5A2D">
        <w:rPr>
          <w:rFonts w:cs="Calibri"/>
          <w:color w:val="212121"/>
          <w:sz w:val="22"/>
          <w:lang w:eastAsia="pl-PL"/>
        </w:rPr>
        <w:t xml:space="preserve"> dwa punkty odniesienia</w:t>
      </w:r>
      <w:r w:rsidRPr="008A214D">
        <w:rPr>
          <w:rFonts w:cs="Calibri"/>
          <w:color w:val="212121"/>
          <w:sz w:val="22"/>
          <w:lang w:eastAsia="pl-PL"/>
        </w:rPr>
        <w:t xml:space="preserve">. Pierwszy z nich </w:t>
      </w:r>
      <w:r w:rsidRPr="008A214D">
        <w:rPr>
          <w:rFonts w:cs="Calibri"/>
          <w:color w:val="212121"/>
          <w:sz w:val="22"/>
        </w:rPr>
        <w:t xml:space="preserve">to </w:t>
      </w:r>
      <w:r w:rsidRPr="002F5A2D">
        <w:rPr>
          <w:rFonts w:cs="Calibri"/>
          <w:color w:val="212121"/>
          <w:sz w:val="22"/>
        </w:rPr>
        <w:t xml:space="preserve">ceny, jakie byłyby stosowane, gdyby Orlen ustalał je </w:t>
      </w:r>
      <w:r>
        <w:rPr>
          <w:rFonts w:cs="Calibri"/>
          <w:color w:val="212121"/>
          <w:sz w:val="22"/>
        </w:rPr>
        <w:t>w ten sam sposób</w:t>
      </w:r>
      <w:r w:rsidRPr="002F5A2D">
        <w:rPr>
          <w:rFonts w:cs="Calibri"/>
          <w:color w:val="212121"/>
          <w:sz w:val="22"/>
        </w:rPr>
        <w:t xml:space="preserve"> jak 10 listopada 2022 r. </w:t>
      </w:r>
      <w:r>
        <w:rPr>
          <w:rFonts w:cs="Calibri"/>
          <w:color w:val="212121"/>
          <w:sz w:val="22"/>
        </w:rPr>
        <w:t>D</w:t>
      </w:r>
      <w:r w:rsidRPr="002F5A2D">
        <w:rPr>
          <w:rFonts w:cs="Calibri"/>
          <w:color w:val="212121"/>
          <w:sz w:val="22"/>
        </w:rPr>
        <w:t>rug</w:t>
      </w:r>
      <w:r>
        <w:rPr>
          <w:rFonts w:cs="Calibri"/>
          <w:color w:val="212121"/>
          <w:sz w:val="22"/>
        </w:rPr>
        <w:t>i,</w:t>
      </w:r>
      <w:r w:rsidRPr="002F5A2D">
        <w:rPr>
          <w:rFonts w:cs="Calibri"/>
          <w:color w:val="212121"/>
          <w:sz w:val="22"/>
        </w:rPr>
        <w:t xml:space="preserve"> to ceny ustalane tak</w:t>
      </w:r>
      <w:r>
        <w:rPr>
          <w:rFonts w:cs="Calibri"/>
          <w:color w:val="212121"/>
          <w:sz w:val="22"/>
        </w:rPr>
        <w:t>,</w:t>
      </w:r>
      <w:r w:rsidRPr="002F5A2D">
        <w:rPr>
          <w:rFonts w:cs="Calibri"/>
          <w:color w:val="212121"/>
          <w:sz w:val="22"/>
        </w:rPr>
        <w:t xml:space="preserve"> jak średni</w:t>
      </w:r>
      <w:r>
        <w:rPr>
          <w:rFonts w:cs="Calibri"/>
          <w:color w:val="212121"/>
          <w:sz w:val="22"/>
        </w:rPr>
        <w:t xml:space="preserve">o </w:t>
      </w:r>
      <w:r w:rsidRPr="002F5A2D">
        <w:rPr>
          <w:rFonts w:cs="Calibri"/>
          <w:color w:val="212121"/>
          <w:sz w:val="22"/>
        </w:rPr>
        <w:t xml:space="preserve">w </w:t>
      </w:r>
      <w:r>
        <w:rPr>
          <w:rFonts w:cs="Calibri"/>
          <w:color w:val="212121"/>
          <w:sz w:val="22"/>
        </w:rPr>
        <w:t xml:space="preserve">ciągu 12 miesięcy (od 1 </w:t>
      </w:r>
      <w:r w:rsidRPr="002F5A2D">
        <w:rPr>
          <w:rFonts w:cs="Calibri"/>
          <w:color w:val="212121"/>
          <w:sz w:val="22"/>
        </w:rPr>
        <w:t xml:space="preserve">października 2021 do </w:t>
      </w:r>
      <w:r>
        <w:rPr>
          <w:rFonts w:cs="Calibri"/>
          <w:color w:val="212121"/>
          <w:sz w:val="22"/>
        </w:rPr>
        <w:t xml:space="preserve">30 </w:t>
      </w:r>
      <w:r w:rsidRPr="002F5A2D">
        <w:rPr>
          <w:rFonts w:cs="Calibri"/>
          <w:color w:val="212121"/>
          <w:sz w:val="22"/>
        </w:rPr>
        <w:t>września 2022 r.</w:t>
      </w:r>
      <w:r>
        <w:rPr>
          <w:rFonts w:cs="Calibri"/>
          <w:color w:val="212121"/>
          <w:sz w:val="22"/>
        </w:rPr>
        <w:t>).</w:t>
      </w:r>
      <w:r w:rsidRPr="002F5A2D">
        <w:rPr>
          <w:rFonts w:cs="Calibri"/>
          <w:color w:val="212121"/>
          <w:sz w:val="22"/>
        </w:rPr>
        <w:t xml:space="preserve">  </w:t>
      </w:r>
    </w:p>
    <w:p w14:paraId="1BF521E5" w14:textId="77777777" w:rsidR="001353AA" w:rsidRPr="00831FA9" w:rsidRDefault="001353AA" w:rsidP="001353AA">
      <w:pPr>
        <w:shd w:val="clear" w:color="auto" w:fill="FFFFFF"/>
        <w:spacing w:after="240" w:line="360" w:lineRule="auto"/>
        <w:jc w:val="both"/>
        <w:rPr>
          <w:rFonts w:cs="Calibri"/>
          <w:b/>
          <w:color w:val="212121"/>
          <w:sz w:val="22"/>
          <w:lang w:eastAsia="pl-PL"/>
        </w:rPr>
      </w:pPr>
      <w:r w:rsidRPr="00831FA9">
        <w:rPr>
          <w:rFonts w:cs="Calibri"/>
          <w:b/>
          <w:color w:val="212121"/>
          <w:sz w:val="22"/>
          <w:lang w:eastAsia="pl-PL"/>
        </w:rPr>
        <w:t xml:space="preserve">Analiza odchyleń cen SPOT od tych punktów odniesienia wskazała, że nie były one na tyle wysokie i jednocześnie wystarczająco długotrwałe, aby mówić o cenach nadmiernie wygórowanych w myśl dotychczasowych decyzji Komisji Europejskiej, krajowych organów antymonopolowych, a także wyroków polskiego Sądu Najwyższego czy Trybunału Sprawiedliwości Unii Europejskiej.   </w:t>
      </w:r>
    </w:p>
    <w:p w14:paraId="26222170" w14:textId="77777777" w:rsidR="001353AA" w:rsidRPr="00BD5368" w:rsidRDefault="001353AA" w:rsidP="001353AA">
      <w:pPr>
        <w:shd w:val="clear" w:color="auto" w:fill="FFFFFF"/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 w:rsidRPr="00EA0DC9">
        <w:rPr>
          <w:rFonts w:cs="Calibri"/>
          <w:color w:val="212121"/>
          <w:sz w:val="22"/>
          <w:lang w:eastAsia="pl-PL"/>
        </w:rPr>
        <w:t xml:space="preserve">UOKiK przeanalizował również kształtowanie się cen </w:t>
      </w:r>
      <w:r>
        <w:rPr>
          <w:rFonts w:cs="Calibri"/>
          <w:color w:val="212121"/>
          <w:sz w:val="22"/>
          <w:lang w:eastAsia="pl-PL"/>
        </w:rPr>
        <w:t xml:space="preserve">paliw </w:t>
      </w:r>
      <w:r w:rsidRPr="00EA0DC9">
        <w:rPr>
          <w:rFonts w:cs="Calibri"/>
          <w:color w:val="212121"/>
          <w:sz w:val="22"/>
          <w:lang w:eastAsia="pl-PL"/>
        </w:rPr>
        <w:t xml:space="preserve">w Polsce na tle innych rynków krajowych. Wykorzystał do tego celu publikowane przez Komisję Europejską tygodniowe dane o cenach detalicznych bez podatków w krajach UE (dostępne pod adresem </w:t>
      </w:r>
      <w:hyperlink r:id="rId9" w:history="1">
        <w:r w:rsidRPr="00C871F0">
          <w:rPr>
            <w:rStyle w:val="Hipercze"/>
            <w:rFonts w:cs="Calibri"/>
            <w:sz w:val="22"/>
            <w:lang w:eastAsia="pl-PL"/>
          </w:rPr>
          <w:t>https://energy.ec.europa.eu/data-and-analysis/weekly-oil-bulletin_en</w:t>
        </w:r>
      </w:hyperlink>
      <w:r w:rsidRPr="00EA0DC9">
        <w:rPr>
          <w:rFonts w:cs="Calibri"/>
          <w:color w:val="212121"/>
          <w:sz w:val="22"/>
          <w:lang w:eastAsia="pl-PL"/>
        </w:rPr>
        <w:t xml:space="preserve">). Co prawda są to ceny detaliczne, nie hurtowe, jednak wyeliminowanie z nich obciążeń publicznoprawnych oraz fakt, </w:t>
      </w:r>
      <w:r>
        <w:rPr>
          <w:rFonts w:cs="Calibri"/>
          <w:color w:val="212121"/>
          <w:sz w:val="22"/>
          <w:lang w:eastAsia="pl-PL"/>
        </w:rPr>
        <w:t>że</w:t>
      </w:r>
      <w:r w:rsidRPr="00EA0DC9">
        <w:rPr>
          <w:rFonts w:cs="Calibri"/>
          <w:color w:val="212121"/>
          <w:sz w:val="22"/>
          <w:lang w:eastAsia="pl-PL"/>
        </w:rPr>
        <w:t xml:space="preserve"> cena hurtowa paliwa stanowi przeważającą część jego ceny detalicznej</w:t>
      </w:r>
      <w:r>
        <w:rPr>
          <w:rFonts w:cs="Calibri"/>
          <w:color w:val="212121"/>
          <w:sz w:val="22"/>
          <w:lang w:eastAsia="pl-PL"/>
        </w:rPr>
        <w:t>,</w:t>
      </w:r>
      <w:r w:rsidRPr="00EA0DC9">
        <w:rPr>
          <w:rFonts w:cs="Calibri"/>
          <w:color w:val="212121"/>
          <w:sz w:val="22"/>
          <w:lang w:eastAsia="pl-PL"/>
        </w:rPr>
        <w:t xml:space="preserve"> pozwalają na posłużenie się nimi do ilustracji sytuacji na rynku polskim na tle rynków </w:t>
      </w:r>
      <w:r w:rsidRPr="00831FA9">
        <w:rPr>
          <w:rFonts w:cs="Calibri"/>
          <w:color w:val="212121"/>
          <w:sz w:val="22"/>
          <w:lang w:eastAsia="pl-PL"/>
        </w:rPr>
        <w:t>pozostałych krajów UE.</w:t>
      </w:r>
      <w:r w:rsidRPr="00EA0DC9">
        <w:rPr>
          <w:rFonts w:cs="Calibri"/>
          <w:color w:val="212121"/>
          <w:sz w:val="22"/>
          <w:lang w:eastAsia="pl-PL"/>
        </w:rPr>
        <w:t xml:space="preserve"> </w:t>
      </w:r>
    </w:p>
    <w:p w14:paraId="066997F6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 w:rsidRPr="00950FE1">
        <w:rPr>
          <w:sz w:val="22"/>
        </w:rPr>
        <w:t xml:space="preserve">Analiza wykazała, że choć w grudniu 2022 r. odchylenia cen paliw w Polsce od mediany cen w krajach UE były wyższe niż normalnie, jednak nie był to poziom niespotykany wcześniej w innych państwach. W bazie KE można znaleźć znaczącą liczbę obserwacji z odchyleniami </w:t>
      </w:r>
      <w:r w:rsidRPr="00707FC5">
        <w:rPr>
          <w:sz w:val="22"/>
        </w:rPr>
        <w:t xml:space="preserve">od mediany cen w krajach UE wyższymi od najwyższego takiego odchylenia dla polskich cen – 91 przypadków dla Pb 95 oraz 258 przypadków dla ON. </w:t>
      </w:r>
    </w:p>
    <w:p w14:paraId="1BF77CC7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 w:rsidRPr="00EA0DC9">
        <w:rPr>
          <w:rFonts w:cs="Calibri"/>
          <w:color w:val="212121"/>
          <w:sz w:val="22"/>
          <w:lang w:eastAsia="pl-PL"/>
        </w:rPr>
        <w:t xml:space="preserve">Poniższy wykres przedstawia pozycję, którą w danym tygodniu zajmowała w UE cena w Polsce (pierwsza pozycja oznacza najwyższą cenę) od </w:t>
      </w:r>
      <w:r>
        <w:rPr>
          <w:rFonts w:cs="Calibri"/>
          <w:color w:val="212121"/>
          <w:sz w:val="22"/>
          <w:lang w:eastAsia="pl-PL"/>
        </w:rPr>
        <w:t>marca</w:t>
      </w:r>
      <w:r w:rsidRPr="00EA0DC9">
        <w:rPr>
          <w:rFonts w:cs="Calibri"/>
          <w:color w:val="212121"/>
          <w:sz w:val="22"/>
          <w:lang w:eastAsia="pl-PL"/>
        </w:rPr>
        <w:t xml:space="preserve"> </w:t>
      </w:r>
      <w:r>
        <w:rPr>
          <w:rFonts w:cs="Calibri"/>
          <w:color w:val="212121"/>
          <w:sz w:val="22"/>
          <w:lang w:eastAsia="pl-PL"/>
        </w:rPr>
        <w:t xml:space="preserve">2022 r. </w:t>
      </w:r>
      <w:r w:rsidRPr="00EA0DC9">
        <w:rPr>
          <w:rFonts w:cs="Calibri"/>
          <w:color w:val="212121"/>
          <w:sz w:val="22"/>
          <w:lang w:eastAsia="pl-PL"/>
        </w:rPr>
        <w:t>do końca lutego 2023</w:t>
      </w:r>
      <w:r>
        <w:rPr>
          <w:rFonts w:cs="Calibri"/>
          <w:color w:val="212121"/>
          <w:sz w:val="22"/>
          <w:lang w:eastAsia="pl-PL"/>
        </w:rPr>
        <w:t xml:space="preserve"> r</w:t>
      </w:r>
      <w:r w:rsidRPr="00EA0DC9">
        <w:rPr>
          <w:rFonts w:cs="Calibri"/>
          <w:color w:val="212121"/>
          <w:sz w:val="22"/>
          <w:lang w:eastAsia="pl-PL"/>
        </w:rPr>
        <w:t>.</w:t>
      </w:r>
    </w:p>
    <w:p w14:paraId="007AB1EB" w14:textId="77777777" w:rsidR="001353AA" w:rsidRDefault="001353AA" w:rsidP="001353AA">
      <w:pPr>
        <w:shd w:val="clear" w:color="auto" w:fill="FFFFFF"/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52B64DEC" wp14:editId="36D82F4D">
            <wp:extent cx="5760720" cy="32404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2CC1" w14:textId="77777777" w:rsidR="001353AA" w:rsidRDefault="001353AA" w:rsidP="001353AA">
      <w:pPr>
        <w:shd w:val="clear" w:color="auto" w:fill="FFFFFF"/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 w:rsidRPr="00EA0DC9">
        <w:rPr>
          <w:rFonts w:cs="Calibri"/>
          <w:color w:val="212121"/>
          <w:sz w:val="22"/>
          <w:lang w:eastAsia="pl-PL"/>
        </w:rPr>
        <w:t xml:space="preserve">Jak widać, cena w Polsce przed listopadem 2022 r. zajmowała </w:t>
      </w:r>
      <w:r>
        <w:rPr>
          <w:rFonts w:cs="Calibri"/>
          <w:color w:val="212121"/>
          <w:sz w:val="22"/>
          <w:lang w:eastAsia="pl-PL"/>
        </w:rPr>
        <w:t xml:space="preserve">w UE </w:t>
      </w:r>
      <w:proofErr w:type="gramStart"/>
      <w:r>
        <w:rPr>
          <w:rFonts w:cs="Calibri"/>
          <w:color w:val="212121"/>
          <w:sz w:val="22"/>
          <w:lang w:eastAsia="pl-PL"/>
        </w:rPr>
        <w:t xml:space="preserve">miejsce </w:t>
      </w:r>
      <w:r w:rsidRPr="00EA0DC9">
        <w:rPr>
          <w:rFonts w:cs="Calibri"/>
          <w:color w:val="212121"/>
          <w:sz w:val="22"/>
          <w:lang w:eastAsia="pl-PL"/>
        </w:rPr>
        <w:t>co</w:t>
      </w:r>
      <w:proofErr w:type="gramEnd"/>
      <w:r w:rsidRPr="00EA0DC9">
        <w:rPr>
          <w:rFonts w:cs="Calibri"/>
          <w:color w:val="212121"/>
          <w:sz w:val="22"/>
          <w:lang w:eastAsia="pl-PL"/>
        </w:rPr>
        <w:t xml:space="preserve"> do zasady niższ</w:t>
      </w:r>
      <w:r>
        <w:rPr>
          <w:rFonts w:cs="Calibri"/>
          <w:color w:val="212121"/>
          <w:sz w:val="22"/>
          <w:lang w:eastAsia="pl-PL"/>
        </w:rPr>
        <w:t>e</w:t>
      </w:r>
      <w:r w:rsidRPr="00EA0DC9">
        <w:rPr>
          <w:rFonts w:cs="Calibri"/>
          <w:color w:val="212121"/>
          <w:sz w:val="22"/>
          <w:lang w:eastAsia="pl-PL"/>
        </w:rPr>
        <w:t xml:space="preserve"> od dzie</w:t>
      </w:r>
      <w:r>
        <w:rPr>
          <w:rFonts w:cs="Calibri"/>
          <w:color w:val="212121"/>
          <w:sz w:val="22"/>
          <w:lang w:eastAsia="pl-PL"/>
        </w:rPr>
        <w:t>wiątego</w:t>
      </w:r>
      <w:r w:rsidRPr="00EA0DC9">
        <w:rPr>
          <w:rFonts w:cs="Calibri"/>
          <w:color w:val="212121"/>
          <w:sz w:val="22"/>
          <w:lang w:eastAsia="pl-PL"/>
        </w:rPr>
        <w:t xml:space="preserve">. W listopadzie pozycja ta zwiększała się, zaś przez grudzień ceny benzyny były w Polsce wyższe niż w innych krajach UE, natomiast ceny oleju napędowego znajdowały się na drugim miejscu za Szwecją. W styczniu ceny paliw w Polsce na tle pozostałych krajów UE wyraźnie spadły, </w:t>
      </w:r>
      <w:r>
        <w:rPr>
          <w:rFonts w:cs="Calibri"/>
          <w:color w:val="212121"/>
          <w:sz w:val="22"/>
          <w:lang w:eastAsia="pl-PL"/>
        </w:rPr>
        <w:t>a pozycja cen w Polsce powróciła do długoterminowego poziomu</w:t>
      </w:r>
      <w:r w:rsidRPr="00EA0DC9">
        <w:rPr>
          <w:rFonts w:cs="Calibri"/>
          <w:color w:val="212121"/>
          <w:sz w:val="22"/>
          <w:lang w:eastAsia="pl-PL"/>
        </w:rPr>
        <w:t xml:space="preserve">. </w:t>
      </w:r>
      <w:r>
        <w:rPr>
          <w:rFonts w:cs="Calibri"/>
          <w:color w:val="212121"/>
          <w:sz w:val="22"/>
          <w:lang w:eastAsia="pl-PL"/>
        </w:rPr>
        <w:t xml:space="preserve">Jasno pokazuje to, że wzrost cen paliw w Polsce na tle krajów UE miał charakter przejściowy i krótkotrwały.  </w:t>
      </w:r>
    </w:p>
    <w:p w14:paraId="1AA9E4A6" w14:textId="4B0FF5C1" w:rsidR="001353AA" w:rsidRDefault="001353AA" w:rsidP="001353AA">
      <w:pPr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 w:rsidRPr="00E74C68">
        <w:rPr>
          <w:rFonts w:cs="Calibri"/>
          <w:color w:val="212121"/>
          <w:sz w:val="22"/>
          <w:lang w:eastAsia="pl-PL"/>
        </w:rPr>
        <w:t>Kolejny wykres (poniżej) przedstawia ceny w Polsce (czerwona linia) na tle cen w pozostałych krajach UE (szare linie) oraz mediany tych cen (czarna linia).</w:t>
      </w:r>
      <w:r w:rsidRPr="00342ADC">
        <w:rPr>
          <w:rFonts w:cs="Calibri"/>
          <w:color w:val="212121"/>
          <w:sz w:val="22"/>
          <w:lang w:eastAsia="pl-PL"/>
        </w:rPr>
        <w:t xml:space="preserve"> </w:t>
      </w:r>
    </w:p>
    <w:p w14:paraId="3E53BE90" w14:textId="2DC25ECC" w:rsidR="001353AA" w:rsidRPr="004835D8" w:rsidRDefault="001353AA" w:rsidP="001353AA">
      <w:pPr>
        <w:spacing w:after="240" w:line="360" w:lineRule="auto"/>
        <w:jc w:val="both"/>
        <w:rPr>
          <w:rFonts w:cs="Calibri"/>
          <w:color w:val="212121"/>
          <w:sz w:val="22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14BB92B3" wp14:editId="475A84A5">
            <wp:extent cx="5760720" cy="288036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666A" w14:textId="77777777" w:rsidR="001353AA" w:rsidRPr="00370878" w:rsidRDefault="001353AA" w:rsidP="001353AA">
      <w:pPr>
        <w:spacing w:after="240" w:line="360" w:lineRule="auto"/>
        <w:rPr>
          <w:rFonts w:cstheme="minorHAnsi"/>
          <w:b/>
          <w:color w:val="0F1419"/>
          <w:sz w:val="22"/>
          <w:shd w:val="clear" w:color="auto" w:fill="FFFFFF"/>
        </w:rPr>
      </w:pPr>
      <w:r w:rsidRPr="00370878">
        <w:rPr>
          <w:rFonts w:cstheme="minorHAnsi"/>
          <w:b/>
          <w:color w:val="0F1419"/>
          <w:sz w:val="22"/>
          <w:shd w:val="clear" w:color="auto" w:fill="FFFFFF"/>
        </w:rPr>
        <w:t>Orzecznictwo Komisji Europejskiej i organów</w:t>
      </w:r>
      <w:r>
        <w:rPr>
          <w:rFonts w:cstheme="minorHAnsi"/>
          <w:b/>
          <w:color w:val="0F1419"/>
          <w:sz w:val="22"/>
          <w:shd w:val="clear" w:color="auto" w:fill="FFFFFF"/>
        </w:rPr>
        <w:t xml:space="preserve"> ochrony konkurencji państw UE</w:t>
      </w:r>
    </w:p>
    <w:p w14:paraId="4342ACF7" w14:textId="77777777" w:rsidR="001353AA" w:rsidRPr="00B113D2" w:rsidRDefault="001353AA" w:rsidP="001353AA">
      <w:pPr>
        <w:pStyle w:val="Tekstkomentarza"/>
        <w:spacing w:after="240" w:line="360" w:lineRule="auto"/>
        <w:jc w:val="both"/>
        <w:rPr>
          <w:rFonts w:cstheme="minorHAnsi"/>
          <w:color w:val="0F1419"/>
          <w:sz w:val="22"/>
          <w:szCs w:val="22"/>
          <w:shd w:val="clear" w:color="auto" w:fill="FFFFFF"/>
        </w:rPr>
      </w:pPr>
      <w:r w:rsidRPr="00D93660">
        <w:rPr>
          <w:rFonts w:cstheme="minorHAnsi"/>
          <w:color w:val="0F1419"/>
          <w:sz w:val="22"/>
          <w:szCs w:val="22"/>
          <w:shd w:val="clear" w:color="auto" w:fill="FFFFFF"/>
        </w:rPr>
        <w:t>W</w:t>
      </w:r>
      <w:r w:rsidRPr="00B113D2">
        <w:rPr>
          <w:rFonts w:cstheme="minorHAnsi"/>
          <w:color w:val="0F1419"/>
          <w:sz w:val="22"/>
          <w:szCs w:val="22"/>
          <w:shd w:val="clear" w:color="auto" w:fill="FFFFFF"/>
        </w:rPr>
        <w:t xml:space="preserve"> gospodarce wolnorynkowej przedsiębiorcy mają swobodę w </w:t>
      </w:r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kształtowaniu cen. </w:t>
      </w:r>
      <w:proofErr w:type="gramStart"/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>Są  one</w:t>
      </w:r>
      <w:proofErr w:type="gramEnd"/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 wynikiem gry popytu i podaży. Istnieją tylko nieliczne wyjątki, w których urzędy odpowiedzialne za ochronę konkurencji mogą </w:t>
      </w:r>
      <w:r>
        <w:rPr>
          <w:rFonts w:cstheme="minorHAnsi"/>
          <w:color w:val="0F1419"/>
          <w:sz w:val="22"/>
          <w:szCs w:val="22"/>
          <w:shd w:val="clear" w:color="auto" w:fill="FFFFFF"/>
        </w:rPr>
        <w:t xml:space="preserve">pośrednio </w:t>
      </w:r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ingerować w </w:t>
      </w:r>
      <w:r>
        <w:rPr>
          <w:rFonts w:cstheme="minorHAnsi"/>
          <w:color w:val="0F1419"/>
          <w:sz w:val="22"/>
          <w:szCs w:val="22"/>
          <w:shd w:val="clear" w:color="auto" w:fill="FFFFFF"/>
        </w:rPr>
        <w:t>kształtowanie</w:t>
      </w:r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 cen. Jednym z nich są praktyki polegające na stosowaniu cen nadmiernie wygórowanych przez p</w:t>
      </w:r>
      <w:r w:rsidRPr="00A0782A">
        <w:rPr>
          <w:rFonts w:cstheme="minorHAnsi"/>
          <w:color w:val="0F1419"/>
          <w:sz w:val="22"/>
          <w:szCs w:val="22"/>
          <w:shd w:val="clear" w:color="auto" w:fill="FFFFFF"/>
        </w:rPr>
        <w:t>odmioty posiadające pozycję dominującą na danym rynku. Co istotne, posiadanie pozycji dominującej nie jest zabronione, niedozwolone jest jej nadużywanie.</w:t>
      </w:r>
      <w:r w:rsidRPr="00A0782A">
        <w:rPr>
          <w:sz w:val="22"/>
          <w:szCs w:val="22"/>
        </w:rPr>
        <w:t xml:space="preserve"> </w:t>
      </w:r>
    </w:p>
    <w:p w14:paraId="6FF260B9" w14:textId="77777777" w:rsidR="001353AA" w:rsidRPr="00A0782A" w:rsidRDefault="001353AA" w:rsidP="001353AA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B113D2">
        <w:rPr>
          <w:rFonts w:cstheme="minorHAnsi"/>
          <w:color w:val="0F1419"/>
          <w:sz w:val="22"/>
          <w:szCs w:val="22"/>
          <w:shd w:val="clear" w:color="auto" w:fill="FFFFFF"/>
        </w:rPr>
        <w:t>N</w:t>
      </w:r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ie ma natomiast jasnej definicji ceny nadmiernie wygórowanej. Jednym ze wspólnych punktów </w:t>
      </w:r>
      <w:proofErr w:type="gramStart"/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>w  orzecznictwie</w:t>
      </w:r>
      <w:proofErr w:type="gramEnd"/>
      <w:r w:rsidRPr="00764042">
        <w:rPr>
          <w:rFonts w:cstheme="minorHAnsi"/>
          <w:color w:val="0F1419"/>
          <w:sz w:val="22"/>
          <w:szCs w:val="22"/>
          <w:shd w:val="clear" w:color="auto" w:fill="FFFFFF"/>
        </w:rPr>
        <w:t xml:space="preserve"> Trybunału Sprawiedliwości Unii Europejskiej, Komisji Europejskiej czy europejskich organów </w:t>
      </w:r>
      <w:r w:rsidRPr="00A0782A">
        <w:rPr>
          <w:rFonts w:cstheme="minorHAnsi"/>
          <w:color w:val="0F1419"/>
          <w:sz w:val="22"/>
          <w:szCs w:val="22"/>
          <w:shd w:val="clear" w:color="auto" w:fill="FFFFFF"/>
        </w:rPr>
        <w:t xml:space="preserve">antymonopolowych jest stwierdzenie, że </w:t>
      </w:r>
      <w:r>
        <w:rPr>
          <w:rFonts w:cstheme="minorHAnsi"/>
          <w:color w:val="0F1419"/>
          <w:sz w:val="22"/>
          <w:szCs w:val="22"/>
          <w:shd w:val="clear" w:color="auto" w:fill="FFFFFF"/>
        </w:rPr>
        <w:t>ceny muszą być zawyżone „znacznie” i być stosowane</w:t>
      </w:r>
      <w:r w:rsidRPr="00B113D2">
        <w:rPr>
          <w:rFonts w:cstheme="minorHAnsi"/>
          <w:color w:val="0F1419"/>
          <w:sz w:val="22"/>
          <w:szCs w:val="22"/>
          <w:shd w:val="clear" w:color="auto" w:fill="FFFFFF"/>
        </w:rPr>
        <w:t xml:space="preserve"> </w:t>
      </w:r>
      <w:r>
        <w:rPr>
          <w:rFonts w:cstheme="minorHAnsi"/>
          <w:color w:val="0F1419"/>
          <w:sz w:val="22"/>
          <w:szCs w:val="22"/>
          <w:shd w:val="clear" w:color="auto" w:fill="FFFFFF"/>
        </w:rPr>
        <w:t>„</w:t>
      </w:r>
      <w:r w:rsidRPr="00B113D2">
        <w:rPr>
          <w:rFonts w:cstheme="minorHAnsi"/>
          <w:color w:val="0F1419"/>
          <w:sz w:val="22"/>
          <w:szCs w:val="22"/>
          <w:shd w:val="clear" w:color="auto" w:fill="FFFFFF"/>
        </w:rPr>
        <w:t>trwa</w:t>
      </w:r>
      <w:r>
        <w:rPr>
          <w:rFonts w:cstheme="minorHAnsi"/>
          <w:color w:val="0F1419"/>
          <w:sz w:val="22"/>
          <w:szCs w:val="22"/>
          <w:shd w:val="clear" w:color="auto" w:fill="FFFFFF"/>
        </w:rPr>
        <w:t>le”</w:t>
      </w:r>
      <w:r w:rsidRPr="00B113D2">
        <w:rPr>
          <w:rFonts w:cstheme="minorHAnsi"/>
          <w:color w:val="0F1419"/>
          <w:sz w:val="22"/>
          <w:szCs w:val="22"/>
          <w:shd w:val="clear" w:color="auto" w:fill="FFFFFF"/>
        </w:rPr>
        <w:t>.</w:t>
      </w:r>
      <w:r w:rsidRPr="00A078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Oznacza to, że </w:t>
      </w:r>
      <w:r w:rsidRPr="00A0782A">
        <w:rPr>
          <w:sz w:val="22"/>
          <w:szCs w:val="22"/>
        </w:rPr>
        <w:t xml:space="preserve">nie każde stosowanie wysokiej ceny (ceny niesłusznej w ocenie konsumentów) stanowi naruszenie prawa antymonopolowego. Bardzo </w:t>
      </w:r>
      <w:r>
        <w:rPr>
          <w:sz w:val="22"/>
          <w:szCs w:val="22"/>
        </w:rPr>
        <w:t>sporadyczne</w:t>
      </w:r>
      <w:r w:rsidRPr="00A0782A">
        <w:rPr>
          <w:sz w:val="22"/>
          <w:szCs w:val="22"/>
        </w:rPr>
        <w:t xml:space="preserve"> są również postępowania dotyczące nadmiernie wysokich cen prowadzone przez organy antymonopolowe. Najczęściej dotyczą one cen leków</w:t>
      </w:r>
      <w:r>
        <w:rPr>
          <w:sz w:val="22"/>
          <w:szCs w:val="22"/>
        </w:rPr>
        <w:t>.</w:t>
      </w:r>
    </w:p>
    <w:p w14:paraId="40758B66" w14:textId="77777777" w:rsidR="001353AA" w:rsidRDefault="001353AA" w:rsidP="001353AA">
      <w:pPr>
        <w:spacing w:after="240" w:line="360" w:lineRule="auto"/>
        <w:jc w:val="both"/>
        <w:rPr>
          <w:bCs/>
          <w:sz w:val="22"/>
        </w:rPr>
      </w:pPr>
      <w:r>
        <w:rPr>
          <w:rFonts w:cstheme="minorHAnsi"/>
          <w:color w:val="0F1419"/>
          <w:sz w:val="22"/>
          <w:shd w:val="clear" w:color="auto" w:fill="FFFFFF"/>
        </w:rPr>
        <w:t xml:space="preserve">Przykładem jest </w:t>
      </w:r>
      <w:r w:rsidRPr="004B223C">
        <w:rPr>
          <w:rFonts w:cstheme="minorHAnsi"/>
          <w:color w:val="0F1419"/>
          <w:sz w:val="22"/>
          <w:shd w:val="clear" w:color="auto" w:fill="FFFFFF"/>
        </w:rPr>
        <w:t xml:space="preserve">decyzja </w:t>
      </w:r>
      <w:r>
        <w:rPr>
          <w:rFonts w:cstheme="minorHAnsi"/>
          <w:color w:val="0F1419"/>
          <w:sz w:val="22"/>
          <w:shd w:val="clear" w:color="auto" w:fill="FFFFFF"/>
        </w:rPr>
        <w:t xml:space="preserve">Komisji Europejskiej z </w:t>
      </w:r>
      <w:r w:rsidRPr="004B223C">
        <w:rPr>
          <w:rFonts w:cstheme="minorHAnsi"/>
          <w:color w:val="0F1419"/>
          <w:sz w:val="22"/>
          <w:shd w:val="clear" w:color="auto" w:fill="FFFFFF"/>
        </w:rPr>
        <w:t xml:space="preserve">2021 r. </w:t>
      </w:r>
      <w:r>
        <w:rPr>
          <w:rFonts w:cstheme="minorHAnsi"/>
          <w:color w:val="0F1419"/>
          <w:sz w:val="22"/>
          <w:shd w:val="clear" w:color="auto" w:fill="FFFFFF"/>
        </w:rPr>
        <w:t xml:space="preserve">dotycząca </w:t>
      </w:r>
      <w:r w:rsidRPr="004B223C">
        <w:rPr>
          <w:rFonts w:cstheme="minorHAnsi"/>
          <w:color w:val="0F1419"/>
          <w:sz w:val="22"/>
          <w:shd w:val="clear" w:color="auto" w:fill="FFFFFF"/>
        </w:rPr>
        <w:t>spółki Aspen działającej na rynku farmaceutycznym</w:t>
      </w:r>
      <w:r>
        <w:rPr>
          <w:rFonts w:cstheme="minorHAnsi"/>
          <w:color w:val="0F1419"/>
          <w:sz w:val="22"/>
          <w:shd w:val="clear" w:color="auto" w:fill="FFFFFF"/>
        </w:rPr>
        <w:t>.</w:t>
      </w:r>
      <w:r w:rsidRPr="004B223C">
        <w:rPr>
          <w:rFonts w:cstheme="minorHAnsi"/>
          <w:color w:val="0F1419"/>
          <w:sz w:val="22"/>
          <w:shd w:val="clear" w:color="auto" w:fill="FFFFFF"/>
        </w:rPr>
        <w:t xml:space="preserve"> </w:t>
      </w:r>
      <w:r w:rsidRPr="004B223C">
        <w:rPr>
          <w:bCs/>
          <w:sz w:val="22"/>
        </w:rPr>
        <w:t>Ceny stosowane przez przedsiębiorcę wzrosły ok. 200</w:t>
      </w:r>
      <w:r>
        <w:rPr>
          <w:bCs/>
          <w:sz w:val="22"/>
        </w:rPr>
        <w:t xml:space="preserve"> –</w:t>
      </w:r>
      <w:r w:rsidRPr="004B223C">
        <w:rPr>
          <w:bCs/>
          <w:sz w:val="22"/>
        </w:rPr>
        <w:t xml:space="preserve"> 600</w:t>
      </w:r>
      <w:r>
        <w:rPr>
          <w:bCs/>
          <w:sz w:val="22"/>
        </w:rPr>
        <w:t xml:space="preserve"> proc.</w:t>
      </w:r>
      <w:r w:rsidRPr="004B223C">
        <w:rPr>
          <w:bCs/>
          <w:sz w:val="22"/>
        </w:rPr>
        <w:t xml:space="preserve"> (w zależności od rodzaju leku) przy kosztach wzrastających w tym samym okresie </w:t>
      </w:r>
      <w:r w:rsidRPr="004B223C">
        <w:rPr>
          <w:bCs/>
          <w:sz w:val="22"/>
        </w:rPr>
        <w:lastRenderedPageBreak/>
        <w:t>odpowiednio o 10</w:t>
      </w:r>
      <w:r>
        <w:rPr>
          <w:bCs/>
          <w:sz w:val="22"/>
        </w:rPr>
        <w:t xml:space="preserve"> –</w:t>
      </w:r>
      <w:r w:rsidRPr="004B223C">
        <w:rPr>
          <w:bCs/>
          <w:sz w:val="22"/>
        </w:rPr>
        <w:t xml:space="preserve"> 40</w:t>
      </w:r>
      <w:r>
        <w:rPr>
          <w:bCs/>
          <w:sz w:val="22"/>
        </w:rPr>
        <w:t xml:space="preserve"> proc.</w:t>
      </w:r>
      <w:r w:rsidRPr="004B223C">
        <w:rPr>
          <w:bCs/>
          <w:sz w:val="22"/>
        </w:rPr>
        <w:t xml:space="preserve"> (a w przypadku jednego leku nawet spadających). W ocenie </w:t>
      </w:r>
      <w:r>
        <w:rPr>
          <w:bCs/>
          <w:sz w:val="22"/>
        </w:rPr>
        <w:t>K</w:t>
      </w:r>
      <w:r w:rsidRPr="004B223C">
        <w:rPr>
          <w:bCs/>
          <w:sz w:val="22"/>
        </w:rPr>
        <w:t>omisji taka dysproporcja świadczyła o tym, że ceny te pozostawały zawyżone w sposób znaczny</w:t>
      </w:r>
      <w:r>
        <w:rPr>
          <w:rStyle w:val="Odwoanieprzypisudolnego"/>
          <w:bCs/>
          <w:sz w:val="22"/>
        </w:rPr>
        <w:footnoteReference w:id="1"/>
      </w:r>
      <w:r w:rsidRPr="004B223C">
        <w:rPr>
          <w:bCs/>
          <w:sz w:val="22"/>
        </w:rPr>
        <w:t>.</w:t>
      </w:r>
    </w:p>
    <w:p w14:paraId="78719AFF" w14:textId="77777777" w:rsidR="001353AA" w:rsidRDefault="001353AA" w:rsidP="001353AA">
      <w:pPr>
        <w:spacing w:line="360" w:lineRule="auto"/>
        <w:jc w:val="both"/>
        <w:rPr>
          <w:sz w:val="22"/>
        </w:rPr>
      </w:pPr>
      <w:r w:rsidRPr="00707FC5">
        <w:rPr>
          <w:sz w:val="22"/>
        </w:rPr>
        <w:t xml:space="preserve">Sprawy </w:t>
      </w:r>
      <w:r>
        <w:rPr>
          <w:sz w:val="22"/>
        </w:rPr>
        <w:t>p</w:t>
      </w:r>
      <w:r w:rsidRPr="00707FC5">
        <w:rPr>
          <w:sz w:val="22"/>
        </w:rPr>
        <w:t>rowadzone</w:t>
      </w:r>
      <w:r>
        <w:rPr>
          <w:sz w:val="22"/>
        </w:rPr>
        <w:t xml:space="preserve"> przez europejskie organy antymonopolowe </w:t>
      </w:r>
      <w:r w:rsidRPr="00707FC5">
        <w:rPr>
          <w:sz w:val="22"/>
        </w:rPr>
        <w:t>dotyczyły</w:t>
      </w:r>
      <w:r>
        <w:rPr>
          <w:sz w:val="22"/>
        </w:rPr>
        <w:t xml:space="preserve"> w dużej mierze</w:t>
      </w:r>
      <w:r w:rsidRPr="00707FC5">
        <w:rPr>
          <w:sz w:val="22"/>
        </w:rPr>
        <w:t xml:space="preserve"> rynków, na których przedsiębiorcy korzystali z wyłączności wynikającej z posiadanej ochrony patentowej na swoje leki</w:t>
      </w:r>
      <w:r>
        <w:rPr>
          <w:sz w:val="22"/>
        </w:rPr>
        <w:t>, które nie posiadały zamienników</w:t>
      </w:r>
      <w:r w:rsidRPr="00707FC5">
        <w:rPr>
          <w:sz w:val="22"/>
        </w:rPr>
        <w:t>. Przykładowo</w:t>
      </w:r>
      <w:r>
        <w:rPr>
          <w:sz w:val="22"/>
        </w:rPr>
        <w:t>,</w:t>
      </w:r>
      <w:r w:rsidRPr="00707FC5">
        <w:rPr>
          <w:sz w:val="22"/>
        </w:rPr>
        <w:t xml:space="preserve"> we Włoszech </w:t>
      </w:r>
      <w:r>
        <w:rPr>
          <w:sz w:val="22"/>
        </w:rPr>
        <w:t xml:space="preserve">dwie sprawy </w:t>
      </w:r>
      <w:r w:rsidRPr="00707FC5">
        <w:rPr>
          <w:sz w:val="22"/>
        </w:rPr>
        <w:t>dotyczył</w:t>
      </w:r>
      <w:r>
        <w:rPr>
          <w:sz w:val="22"/>
        </w:rPr>
        <w:t>y</w:t>
      </w:r>
      <w:r w:rsidRPr="00707FC5">
        <w:rPr>
          <w:sz w:val="22"/>
        </w:rPr>
        <w:t xml:space="preserve"> znaczących wzrostów cen na leki na rzadkie choroby (wzrost</w:t>
      </w:r>
      <w:r>
        <w:rPr>
          <w:sz w:val="22"/>
        </w:rPr>
        <w:t>y</w:t>
      </w:r>
      <w:r w:rsidRPr="00707FC5">
        <w:rPr>
          <w:sz w:val="22"/>
        </w:rPr>
        <w:t xml:space="preserve"> sięga</w:t>
      </w:r>
      <w:r>
        <w:rPr>
          <w:sz w:val="22"/>
        </w:rPr>
        <w:t>ły</w:t>
      </w:r>
      <w:r w:rsidRPr="00707FC5">
        <w:rPr>
          <w:sz w:val="22"/>
        </w:rPr>
        <w:t xml:space="preserve"> od 250 do 1500</w:t>
      </w:r>
      <w:r>
        <w:rPr>
          <w:sz w:val="22"/>
        </w:rPr>
        <w:t xml:space="preserve"> proc</w:t>
      </w:r>
      <w:proofErr w:type="gramStart"/>
      <w:r>
        <w:rPr>
          <w:sz w:val="22"/>
        </w:rPr>
        <w:t>.</w:t>
      </w:r>
      <w:r w:rsidRPr="00707FC5">
        <w:rPr>
          <w:sz w:val="22"/>
        </w:rPr>
        <w:t>). Również</w:t>
      </w:r>
      <w:proofErr w:type="gramEnd"/>
      <w:r w:rsidRPr="00707FC5">
        <w:rPr>
          <w:sz w:val="22"/>
        </w:rPr>
        <w:t xml:space="preserve"> w Danii jedyna sprawa</w:t>
      </w:r>
      <w:r>
        <w:rPr>
          <w:sz w:val="22"/>
        </w:rPr>
        <w:t xml:space="preserve"> </w:t>
      </w:r>
      <w:r w:rsidRPr="00707FC5">
        <w:rPr>
          <w:sz w:val="22"/>
        </w:rPr>
        <w:t xml:space="preserve">dotyczyła wzrostu cen leku </w:t>
      </w:r>
      <w:r>
        <w:rPr>
          <w:sz w:val="22"/>
        </w:rPr>
        <w:t xml:space="preserve">- </w:t>
      </w:r>
      <w:r w:rsidRPr="00707FC5">
        <w:rPr>
          <w:sz w:val="22"/>
        </w:rPr>
        <w:t>o 2000</w:t>
      </w:r>
      <w:r>
        <w:rPr>
          <w:sz w:val="22"/>
        </w:rPr>
        <w:t xml:space="preserve"> proc</w:t>
      </w:r>
      <w:r w:rsidRPr="00707FC5">
        <w:rPr>
          <w:sz w:val="22"/>
        </w:rPr>
        <w:t>. Także</w:t>
      </w:r>
      <w:r>
        <w:rPr>
          <w:sz w:val="22"/>
        </w:rPr>
        <w:t xml:space="preserve"> urzędy</w:t>
      </w:r>
      <w:r w:rsidRPr="00707FC5">
        <w:rPr>
          <w:sz w:val="22"/>
        </w:rPr>
        <w:t xml:space="preserve"> holenderski</w:t>
      </w:r>
      <w:r>
        <w:rPr>
          <w:sz w:val="22"/>
        </w:rPr>
        <w:t xml:space="preserve">e </w:t>
      </w:r>
      <w:r w:rsidRPr="00707FC5">
        <w:rPr>
          <w:sz w:val="22"/>
        </w:rPr>
        <w:t>i hiszpański</w:t>
      </w:r>
      <w:r>
        <w:rPr>
          <w:sz w:val="22"/>
        </w:rPr>
        <w:t>e</w:t>
      </w:r>
      <w:r w:rsidRPr="00707FC5">
        <w:rPr>
          <w:sz w:val="22"/>
        </w:rPr>
        <w:t xml:space="preserve"> miał</w:t>
      </w:r>
      <w:r>
        <w:rPr>
          <w:sz w:val="22"/>
        </w:rPr>
        <w:t xml:space="preserve">y </w:t>
      </w:r>
      <w:r w:rsidRPr="00707FC5">
        <w:rPr>
          <w:sz w:val="22"/>
        </w:rPr>
        <w:t xml:space="preserve">w ciągu ostatnich 10 lat </w:t>
      </w:r>
      <w:r>
        <w:rPr>
          <w:sz w:val="22"/>
        </w:rPr>
        <w:t xml:space="preserve">po </w:t>
      </w:r>
      <w:r w:rsidRPr="00707FC5">
        <w:rPr>
          <w:sz w:val="22"/>
        </w:rPr>
        <w:t>jedn</w:t>
      </w:r>
      <w:r>
        <w:rPr>
          <w:sz w:val="22"/>
        </w:rPr>
        <w:t>ej</w:t>
      </w:r>
      <w:r w:rsidRPr="00707FC5">
        <w:rPr>
          <w:sz w:val="22"/>
        </w:rPr>
        <w:t xml:space="preserve"> spraw</w:t>
      </w:r>
      <w:r>
        <w:rPr>
          <w:sz w:val="22"/>
        </w:rPr>
        <w:t>ie</w:t>
      </w:r>
      <w:r w:rsidRPr="00707FC5">
        <w:rPr>
          <w:sz w:val="22"/>
        </w:rPr>
        <w:t xml:space="preserve"> p</w:t>
      </w:r>
      <w:r>
        <w:rPr>
          <w:sz w:val="22"/>
        </w:rPr>
        <w:t>rzeciwko</w:t>
      </w:r>
      <w:r w:rsidRPr="00707FC5">
        <w:rPr>
          <w:sz w:val="22"/>
        </w:rPr>
        <w:t xml:space="preserve"> temu samemu przedsiębiorcy </w:t>
      </w:r>
      <w:r>
        <w:rPr>
          <w:sz w:val="22"/>
        </w:rPr>
        <w:t>(</w:t>
      </w:r>
      <w:proofErr w:type="spellStart"/>
      <w:r w:rsidRPr="00707FC5">
        <w:rPr>
          <w:sz w:val="22"/>
        </w:rPr>
        <w:t>Leadiant</w:t>
      </w:r>
      <w:proofErr w:type="spellEnd"/>
      <w:r>
        <w:rPr>
          <w:sz w:val="22"/>
        </w:rPr>
        <w:t>)</w:t>
      </w:r>
      <w:r w:rsidRPr="00707FC5">
        <w:rPr>
          <w:sz w:val="22"/>
        </w:rPr>
        <w:t xml:space="preserve">, </w:t>
      </w:r>
      <w:r>
        <w:rPr>
          <w:sz w:val="22"/>
        </w:rPr>
        <w:t xml:space="preserve">dotyczące </w:t>
      </w:r>
      <w:r w:rsidRPr="00707FC5">
        <w:rPr>
          <w:sz w:val="22"/>
        </w:rPr>
        <w:t xml:space="preserve">znacznego wzrostu cen leku. </w:t>
      </w:r>
    </w:p>
    <w:p w14:paraId="39542BC3" w14:textId="77777777" w:rsidR="001353AA" w:rsidRPr="004B223C" w:rsidRDefault="001353AA" w:rsidP="001353AA">
      <w:pPr>
        <w:spacing w:line="360" w:lineRule="auto"/>
        <w:jc w:val="both"/>
        <w:rPr>
          <w:sz w:val="22"/>
        </w:rPr>
      </w:pPr>
    </w:p>
    <w:p w14:paraId="6D1FACE2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 w:rsidRPr="004B223C">
        <w:rPr>
          <w:sz w:val="22"/>
        </w:rPr>
        <w:t>Nie wszystkie decyzje w spraw</w:t>
      </w:r>
      <w:r>
        <w:rPr>
          <w:sz w:val="22"/>
        </w:rPr>
        <w:t>ach</w:t>
      </w:r>
      <w:r w:rsidRPr="004B223C">
        <w:rPr>
          <w:sz w:val="22"/>
        </w:rPr>
        <w:t xml:space="preserve"> nadużywan</w:t>
      </w:r>
      <w:r>
        <w:rPr>
          <w:sz w:val="22"/>
        </w:rPr>
        <w:t>i</w:t>
      </w:r>
      <w:r w:rsidRPr="004B223C">
        <w:rPr>
          <w:sz w:val="22"/>
        </w:rPr>
        <w:t xml:space="preserve">a pozycji dominującej poprzez stosowanie cen nadmiernie wygórowanych są utrzymywane potem przez sądy. Przykładem jest decyzja francuskiego urzędu w sprawie trwającej powyżej 4 lat systematycznej podwyżki cen usług </w:t>
      </w:r>
      <w:r>
        <w:rPr>
          <w:sz w:val="22"/>
        </w:rPr>
        <w:t>przez</w:t>
      </w:r>
      <w:r w:rsidRPr="004B223C">
        <w:rPr>
          <w:sz w:val="22"/>
        </w:rPr>
        <w:t xml:space="preserve"> jedynego odbiorcy odpadów medycznych na Korsyce</w:t>
      </w:r>
      <w:r>
        <w:rPr>
          <w:sz w:val="22"/>
        </w:rPr>
        <w:t xml:space="preserve">. Podwyżki </w:t>
      </w:r>
      <w:r w:rsidRPr="004B223C">
        <w:rPr>
          <w:sz w:val="22"/>
        </w:rPr>
        <w:t>sięga</w:t>
      </w:r>
      <w:r>
        <w:rPr>
          <w:sz w:val="22"/>
        </w:rPr>
        <w:t>ły</w:t>
      </w:r>
      <w:r w:rsidRPr="004B223C">
        <w:rPr>
          <w:sz w:val="22"/>
        </w:rPr>
        <w:t xml:space="preserve"> w latach 2011 – 2015 nawet 194</w:t>
      </w:r>
      <w:r>
        <w:rPr>
          <w:sz w:val="22"/>
        </w:rPr>
        <w:t xml:space="preserve"> proc</w:t>
      </w:r>
      <w:r w:rsidRPr="004B223C">
        <w:rPr>
          <w:sz w:val="22"/>
        </w:rPr>
        <w:t>. Francuski sąd stwierdził, że ceny te nie miały charakteru nieuczciwego</w:t>
      </w:r>
      <w:r>
        <w:rPr>
          <w:rStyle w:val="Odwoanieprzypisudolnego"/>
          <w:sz w:val="22"/>
        </w:rPr>
        <w:footnoteReference w:id="2"/>
      </w:r>
      <w:r>
        <w:rPr>
          <w:sz w:val="22"/>
        </w:rPr>
        <w:t>.</w:t>
      </w:r>
    </w:p>
    <w:p w14:paraId="73383A28" w14:textId="77777777" w:rsidR="001353AA" w:rsidRDefault="001353AA" w:rsidP="001353AA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9644A">
        <w:rPr>
          <w:color w:val="000000" w:themeColor="text1"/>
          <w:sz w:val="22"/>
        </w:rPr>
        <w:t>W tym kontekście warto przywołać również wyrok</w:t>
      </w:r>
      <w:r>
        <w:rPr>
          <w:color w:val="000000" w:themeColor="text1"/>
          <w:sz w:val="22"/>
        </w:rPr>
        <w:t>i</w:t>
      </w:r>
      <w:r w:rsidRPr="00D9644A">
        <w:rPr>
          <w:color w:val="000000" w:themeColor="text1"/>
          <w:sz w:val="22"/>
        </w:rPr>
        <w:t xml:space="preserve"> polskich s</w:t>
      </w:r>
      <w:r>
        <w:rPr>
          <w:color w:val="000000" w:themeColor="text1"/>
          <w:sz w:val="22"/>
        </w:rPr>
        <w:t>ą</w:t>
      </w:r>
      <w:r w:rsidRPr="00D9644A">
        <w:rPr>
          <w:color w:val="000000" w:themeColor="text1"/>
          <w:sz w:val="22"/>
        </w:rPr>
        <w:t>dów w sprawie decyzji z 2000 r.</w:t>
      </w:r>
      <w:r>
        <w:rPr>
          <w:color w:val="000000" w:themeColor="text1"/>
          <w:sz w:val="22"/>
        </w:rPr>
        <w:t>,</w:t>
      </w:r>
      <w:r w:rsidRPr="00D9644A">
        <w:rPr>
          <w:color w:val="000000" w:themeColor="text1"/>
          <w:sz w:val="22"/>
        </w:rPr>
        <w:t xml:space="preserve"> </w:t>
      </w:r>
      <w:r w:rsidRPr="00D9644A">
        <w:rPr>
          <w:rFonts w:cs="Tahoma"/>
          <w:color w:val="000000" w:themeColor="text1"/>
          <w:sz w:val="22"/>
          <w:shd w:val="clear" w:color="auto" w:fill="FFFFFF"/>
        </w:rPr>
        <w:t xml:space="preserve">w której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ówczesny </w:t>
      </w:r>
      <w:r w:rsidRPr="00D9644A">
        <w:rPr>
          <w:rFonts w:cs="Tahoma"/>
          <w:color w:val="000000" w:themeColor="text1"/>
          <w:sz w:val="22"/>
          <w:shd w:val="clear" w:color="auto" w:fill="FFFFFF"/>
        </w:rPr>
        <w:t>Prezes UOKiK uznał, że PKN Orlen ustalał ceny sprzedaży benzyn i olejów napędowych w sposób, który umożliwia</w:t>
      </w:r>
      <w:r>
        <w:rPr>
          <w:rFonts w:cs="Tahoma"/>
          <w:color w:val="000000" w:themeColor="text1"/>
          <w:sz w:val="22"/>
          <w:shd w:val="clear" w:color="auto" w:fill="FFFFFF"/>
        </w:rPr>
        <w:t>ł</w:t>
      </w:r>
      <w:r w:rsidRPr="00D9644A">
        <w:rPr>
          <w:rFonts w:cs="Tahoma"/>
          <w:color w:val="000000" w:themeColor="text1"/>
          <w:sz w:val="22"/>
          <w:shd w:val="clear" w:color="auto" w:fill="FFFFFF"/>
        </w:rPr>
        <w:t xml:space="preserve"> mu osiągnięcie nieuzasadnionych korzyści. </w:t>
      </w:r>
      <w:r w:rsidRPr="00D9644A">
        <w:rPr>
          <w:color w:val="000000" w:themeColor="text1"/>
          <w:sz w:val="22"/>
        </w:rPr>
        <w:t xml:space="preserve">Postępowanie administracyjne wykazało, że od 1 stycznia </w:t>
      </w:r>
      <w:r>
        <w:rPr>
          <w:color w:val="000000" w:themeColor="text1"/>
          <w:sz w:val="22"/>
        </w:rPr>
        <w:t xml:space="preserve">- </w:t>
      </w:r>
      <w:r w:rsidRPr="00D9644A">
        <w:rPr>
          <w:color w:val="000000" w:themeColor="text1"/>
          <w:sz w:val="22"/>
        </w:rPr>
        <w:t>do 28 października 1999 r. Orlen siedemnastokrotnie podwyższał ceny paliw</w:t>
      </w:r>
      <w:r>
        <w:rPr>
          <w:color w:val="000000" w:themeColor="text1"/>
          <w:sz w:val="22"/>
        </w:rPr>
        <w:t xml:space="preserve">. </w:t>
      </w:r>
      <w:r w:rsidRPr="00D9644A">
        <w:rPr>
          <w:rFonts w:cs="Tahoma"/>
          <w:color w:val="000000" w:themeColor="text1"/>
          <w:sz w:val="22"/>
          <w:shd w:val="clear" w:color="auto" w:fill="FFFFFF"/>
        </w:rPr>
        <w:t>Przedsiębiorca odwołał się do sądu, który uchylił decyzję, co ostatecznie potwierdził Sąd Najwyższy w 2003 r.</w:t>
      </w:r>
      <w:r>
        <w:rPr>
          <w:rStyle w:val="Odwoanieprzypisudolnego"/>
          <w:rFonts w:cs="Tahoma"/>
          <w:color w:val="000000" w:themeColor="text1"/>
          <w:sz w:val="22"/>
          <w:shd w:val="clear" w:color="auto" w:fill="FFFFFF"/>
        </w:rPr>
        <w:footnoteReference w:id="3"/>
      </w:r>
    </w:p>
    <w:p w14:paraId="4F1C0BA3" w14:textId="77777777" w:rsidR="001353AA" w:rsidRPr="00A1574F" w:rsidRDefault="001353AA" w:rsidP="001353AA">
      <w:pPr>
        <w:spacing w:after="240" w:line="360" w:lineRule="auto"/>
        <w:jc w:val="both"/>
        <w:rPr>
          <w:b/>
          <w:sz w:val="22"/>
        </w:rPr>
      </w:pPr>
      <w:r w:rsidRPr="00A1574F">
        <w:rPr>
          <w:b/>
          <w:sz w:val="22"/>
        </w:rPr>
        <w:t>Orzecznictwo TSUE</w:t>
      </w:r>
    </w:p>
    <w:p w14:paraId="01F756D8" w14:textId="77777777" w:rsidR="001353AA" w:rsidRPr="00A1574F" w:rsidRDefault="001353AA" w:rsidP="001353A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prowadzonym postępowaniu wyjaśniającym UOKiK wziął również pod uwagę orzecznictwo </w:t>
      </w:r>
      <w:r w:rsidRPr="00A1574F">
        <w:rPr>
          <w:sz w:val="22"/>
        </w:rPr>
        <w:t>Trybunału Sprawiedliwości Unii Europejskiej</w:t>
      </w:r>
      <w:r>
        <w:rPr>
          <w:sz w:val="22"/>
        </w:rPr>
        <w:t>.</w:t>
      </w:r>
      <w:r w:rsidRPr="00A1574F">
        <w:rPr>
          <w:sz w:val="22"/>
        </w:rPr>
        <w:t xml:space="preserve"> Zgodnie z wyrokami TSUE nie każda wysoka cena stosowana przez przedsiębiorstwo zajmujące pozycję dominującą jest nadmierna </w:t>
      </w:r>
      <w:r w:rsidRPr="00A1574F">
        <w:rPr>
          <w:sz w:val="22"/>
        </w:rPr>
        <w:lastRenderedPageBreak/>
        <w:t>i sprzeczna z prawem, lecz jedynie ta które jest „nieproporcjonalna” lub „wygórowana”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oraz </w:t>
      </w:r>
      <w:r w:rsidRPr="00A1574F" w:rsidDel="0032125F">
        <w:rPr>
          <w:sz w:val="22"/>
        </w:rPr>
        <w:t xml:space="preserve"> </w:t>
      </w:r>
      <w:r w:rsidRPr="00B113D2">
        <w:rPr>
          <w:sz w:val="22"/>
        </w:rPr>
        <w:t>„t</w:t>
      </w:r>
      <w:r w:rsidRPr="002F5A2D">
        <w:rPr>
          <w:sz w:val="22"/>
        </w:rPr>
        <w:t>rwała</w:t>
      </w:r>
      <w:proofErr w:type="gramEnd"/>
      <w:r w:rsidRPr="00A0782A">
        <w:rPr>
          <w:sz w:val="22"/>
        </w:rPr>
        <w:t>”</w:t>
      </w:r>
      <w:r w:rsidRPr="00A1574F">
        <w:rPr>
          <w:sz w:val="22"/>
        </w:rPr>
        <w:t>. Zgodnie z opinią Rzecznika Generalnego TSUE w jednej ze spraw „</w:t>
      </w:r>
      <w:r>
        <w:rPr>
          <w:sz w:val="22"/>
        </w:rPr>
        <w:t>W</w:t>
      </w:r>
      <w:r w:rsidRPr="00A1574F">
        <w:rPr>
          <w:sz w:val="22"/>
        </w:rPr>
        <w:t>ystępowanie okresowo wysokich cen równolegle do okresów charakteryzujących się niskimi cenami uważa się w literaturze ekonomicznej za zgodne z dobrze funkcjonującym konkurencyjnym rynkiem. Wobec tego cena, która stale się zmienia i jedynie od czasu do czasu przekracza poziom konkurencyjny, nie będzie w moim przekonaniu wzbudzać poważnych obaw związanych z konkurencją. Tylko w </w:t>
      </w:r>
      <w:proofErr w:type="gramStart"/>
      <w:r w:rsidRPr="00A1574F">
        <w:rPr>
          <w:sz w:val="22"/>
        </w:rPr>
        <w:t>sytuacji gdy</w:t>
      </w:r>
      <w:proofErr w:type="gramEnd"/>
      <w:r w:rsidRPr="00A1574F">
        <w:rPr>
          <w:sz w:val="22"/>
        </w:rPr>
        <w:t xml:space="preserve"> cena pozostaje na poziomie przekraczającym cenę referencyjną (lub cyklicznie ten poziom przekracza) przez znaczny okres, cenę tę można uznać za stanowiącą nadużycie w rozumieniu art. 102 Traktatu o Funkcjonowaniu Unii </w:t>
      </w:r>
      <w:r>
        <w:rPr>
          <w:sz w:val="22"/>
        </w:rPr>
        <w:t>E</w:t>
      </w:r>
      <w:r w:rsidRPr="00A1574F">
        <w:rPr>
          <w:sz w:val="22"/>
        </w:rPr>
        <w:t>uropejskiej</w:t>
      </w:r>
      <w:r>
        <w:rPr>
          <w:sz w:val="22"/>
        </w:rPr>
        <w:t>”</w:t>
      </w:r>
      <w:r w:rsidRPr="00A1574F">
        <w:rPr>
          <w:rStyle w:val="Odwoanieprzypisudolnego"/>
          <w:b/>
          <w:sz w:val="22"/>
        </w:rPr>
        <w:footnoteReference w:id="4"/>
      </w:r>
      <w:r>
        <w:rPr>
          <w:sz w:val="22"/>
        </w:rPr>
        <w:t>.</w:t>
      </w:r>
    </w:p>
    <w:p w14:paraId="08CB3BCB" w14:textId="77777777" w:rsidR="001353AA" w:rsidRPr="00707FC5" w:rsidRDefault="001353AA" w:rsidP="001353AA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Porównanie c</w:t>
      </w:r>
      <w:r w:rsidRPr="00707FC5">
        <w:rPr>
          <w:b/>
          <w:sz w:val="22"/>
        </w:rPr>
        <w:t xml:space="preserve">en PKN Orlen i </w:t>
      </w:r>
      <w:proofErr w:type="spellStart"/>
      <w:r w:rsidRPr="00707FC5">
        <w:rPr>
          <w:b/>
          <w:sz w:val="22"/>
        </w:rPr>
        <w:t>Aramco</w:t>
      </w:r>
      <w:proofErr w:type="spellEnd"/>
      <w:r w:rsidRPr="00707FC5">
        <w:rPr>
          <w:b/>
          <w:sz w:val="22"/>
        </w:rPr>
        <w:t xml:space="preserve"> </w:t>
      </w:r>
      <w:proofErr w:type="spellStart"/>
      <w:r w:rsidRPr="00707FC5">
        <w:rPr>
          <w:b/>
          <w:sz w:val="22"/>
        </w:rPr>
        <w:t>Fuels</w:t>
      </w:r>
      <w:proofErr w:type="spellEnd"/>
      <w:r w:rsidRPr="00707FC5">
        <w:rPr>
          <w:b/>
          <w:sz w:val="22"/>
        </w:rPr>
        <w:t xml:space="preserve"> </w:t>
      </w:r>
      <w:proofErr w:type="spellStart"/>
      <w:r w:rsidRPr="00707FC5">
        <w:rPr>
          <w:b/>
          <w:sz w:val="22"/>
        </w:rPr>
        <w:t>Polnad</w:t>
      </w:r>
      <w:proofErr w:type="spellEnd"/>
    </w:p>
    <w:p w14:paraId="77C18B60" w14:textId="77777777" w:rsidR="001353AA" w:rsidRDefault="001353AA" w:rsidP="001353AA">
      <w:pPr>
        <w:spacing w:after="240" w:line="360" w:lineRule="auto"/>
        <w:jc w:val="both"/>
        <w:rPr>
          <w:sz w:val="22"/>
        </w:rPr>
      </w:pPr>
      <w:r w:rsidRPr="00707FC5">
        <w:rPr>
          <w:rFonts w:cs="Calibri"/>
          <w:color w:val="212121"/>
          <w:sz w:val="22"/>
          <w:lang w:eastAsia="pl-PL"/>
        </w:rPr>
        <w:t xml:space="preserve">UOKiK </w:t>
      </w:r>
      <w:r>
        <w:rPr>
          <w:rFonts w:cs="Calibri"/>
          <w:color w:val="212121"/>
          <w:sz w:val="22"/>
          <w:lang w:eastAsia="pl-PL"/>
        </w:rPr>
        <w:t>zbadał</w:t>
      </w:r>
      <w:r w:rsidRPr="00707FC5">
        <w:rPr>
          <w:rFonts w:cs="Calibri"/>
          <w:color w:val="212121"/>
          <w:sz w:val="22"/>
          <w:lang w:eastAsia="pl-PL"/>
        </w:rPr>
        <w:t xml:space="preserve"> również kwestię podobieństwa cen SPOT paliw ogłaszanych przez PKN Orlen oraz </w:t>
      </w:r>
      <w:proofErr w:type="spellStart"/>
      <w:r w:rsidRPr="00707FC5">
        <w:rPr>
          <w:rFonts w:cs="Calibri"/>
          <w:color w:val="212121"/>
          <w:sz w:val="22"/>
          <w:lang w:eastAsia="pl-PL"/>
        </w:rPr>
        <w:t>Aramco</w:t>
      </w:r>
      <w:proofErr w:type="spellEnd"/>
      <w:r w:rsidRPr="00707FC5">
        <w:rPr>
          <w:rFonts w:cs="Calibri"/>
          <w:color w:val="212121"/>
          <w:sz w:val="22"/>
          <w:lang w:eastAsia="pl-PL"/>
        </w:rPr>
        <w:t xml:space="preserve"> </w:t>
      </w:r>
      <w:proofErr w:type="spellStart"/>
      <w:r w:rsidRPr="00707FC5">
        <w:rPr>
          <w:rFonts w:cs="Calibri"/>
          <w:color w:val="212121"/>
          <w:sz w:val="22"/>
          <w:lang w:eastAsia="pl-PL"/>
        </w:rPr>
        <w:t>Fuels</w:t>
      </w:r>
      <w:proofErr w:type="spellEnd"/>
      <w:r w:rsidRPr="00707FC5">
        <w:rPr>
          <w:rFonts w:cs="Calibri"/>
          <w:color w:val="212121"/>
          <w:sz w:val="22"/>
          <w:lang w:eastAsia="pl-PL"/>
        </w:rPr>
        <w:t xml:space="preserve"> Poland na przełomie 2022 i 2023 r.</w:t>
      </w:r>
      <w:r>
        <w:rPr>
          <w:rFonts w:cs="Calibri"/>
          <w:color w:val="212121"/>
          <w:sz w:val="22"/>
          <w:lang w:eastAsia="pl-PL"/>
        </w:rPr>
        <w:t xml:space="preserve"> Analiza nie wskazuje na koordynację pomiędzy przedsiębiorcami w zakresie stosowania cen. Spółka </w:t>
      </w:r>
      <w:proofErr w:type="spellStart"/>
      <w:r>
        <w:rPr>
          <w:rFonts w:cs="Calibri"/>
          <w:color w:val="212121"/>
          <w:sz w:val="22"/>
          <w:lang w:eastAsia="pl-PL"/>
        </w:rPr>
        <w:t>Aramco</w:t>
      </w:r>
      <w:proofErr w:type="spellEnd"/>
      <w:r>
        <w:rPr>
          <w:rFonts w:cs="Calibri"/>
          <w:color w:val="212121"/>
          <w:sz w:val="22"/>
          <w:lang w:eastAsia="pl-PL"/>
        </w:rPr>
        <w:t xml:space="preserve"> </w:t>
      </w:r>
      <w:proofErr w:type="spellStart"/>
      <w:r>
        <w:rPr>
          <w:rFonts w:cs="Calibri"/>
          <w:color w:val="212121"/>
          <w:sz w:val="22"/>
          <w:lang w:eastAsia="pl-PL"/>
        </w:rPr>
        <w:t>Fuels</w:t>
      </w:r>
      <w:proofErr w:type="spellEnd"/>
      <w:r>
        <w:rPr>
          <w:rFonts w:cs="Calibri"/>
          <w:color w:val="212121"/>
          <w:sz w:val="22"/>
          <w:lang w:eastAsia="pl-PL"/>
        </w:rPr>
        <w:t xml:space="preserve"> Poland</w:t>
      </w:r>
      <w:r w:rsidRPr="00707FC5">
        <w:rPr>
          <w:rFonts w:cs="Calibri"/>
          <w:color w:val="212121"/>
          <w:sz w:val="22"/>
          <w:lang w:eastAsia="pl-PL"/>
        </w:rPr>
        <w:t xml:space="preserve"> rozpoczęła samodzielnie publikowanie własnych cen SPOT </w:t>
      </w:r>
      <w:r>
        <w:rPr>
          <w:rFonts w:cs="Calibri"/>
          <w:color w:val="212121"/>
          <w:sz w:val="22"/>
          <w:lang w:eastAsia="pl-PL"/>
        </w:rPr>
        <w:t>na początku</w:t>
      </w:r>
      <w:r w:rsidRPr="00707FC5">
        <w:rPr>
          <w:rFonts w:cs="Calibri"/>
          <w:color w:val="212121"/>
          <w:sz w:val="22"/>
          <w:lang w:eastAsia="pl-PL"/>
        </w:rPr>
        <w:t xml:space="preserve"> grudnia 2022 r. </w:t>
      </w:r>
      <w:r>
        <w:rPr>
          <w:rFonts w:cs="Calibri"/>
          <w:color w:val="212121"/>
          <w:sz w:val="22"/>
          <w:lang w:eastAsia="pl-PL"/>
        </w:rPr>
        <w:t xml:space="preserve">Choć </w:t>
      </w:r>
      <w:proofErr w:type="gramStart"/>
      <w:r>
        <w:rPr>
          <w:rFonts w:cs="Calibri"/>
          <w:color w:val="212121"/>
          <w:sz w:val="22"/>
          <w:lang w:eastAsia="pl-PL"/>
        </w:rPr>
        <w:t xml:space="preserve">ceny </w:t>
      </w:r>
      <w:r w:rsidRPr="00707FC5">
        <w:rPr>
          <w:rFonts w:cs="Calibri"/>
          <w:color w:val="212121"/>
          <w:sz w:val="22"/>
          <w:lang w:eastAsia="pl-PL"/>
        </w:rPr>
        <w:t xml:space="preserve"> początkowo</w:t>
      </w:r>
      <w:proofErr w:type="gramEnd"/>
      <w:r w:rsidRPr="00707FC5">
        <w:rPr>
          <w:rFonts w:cs="Calibri"/>
          <w:color w:val="212121"/>
          <w:sz w:val="22"/>
          <w:lang w:eastAsia="pl-PL"/>
        </w:rPr>
        <w:t xml:space="preserve"> wykazywały zbieżność z cenami PKN Orlen, to jednak nie zawsze były identyczne, a od </w:t>
      </w:r>
      <w:r>
        <w:rPr>
          <w:rFonts w:cs="Calibri"/>
          <w:color w:val="212121"/>
          <w:sz w:val="22"/>
          <w:lang w:eastAsia="pl-PL"/>
        </w:rPr>
        <w:t>ok.</w:t>
      </w:r>
      <w:r w:rsidRPr="00707FC5">
        <w:rPr>
          <w:rFonts w:cs="Calibri"/>
          <w:color w:val="212121"/>
          <w:sz w:val="22"/>
          <w:lang w:eastAsia="pl-PL"/>
        </w:rPr>
        <w:t xml:space="preserve"> połowy stycznia 2023 r. wykazują</w:t>
      </w:r>
      <w:r>
        <w:rPr>
          <w:rFonts w:cs="Calibri"/>
          <w:color w:val="212121"/>
          <w:sz w:val="22"/>
          <w:lang w:eastAsia="pl-PL"/>
        </w:rPr>
        <w:t xml:space="preserve"> już co do zasady</w:t>
      </w:r>
      <w:r w:rsidRPr="00707FC5">
        <w:rPr>
          <w:rFonts w:cs="Calibri"/>
          <w:color w:val="212121"/>
          <w:sz w:val="22"/>
          <w:lang w:eastAsia="pl-PL"/>
        </w:rPr>
        <w:t xml:space="preserve"> stałe zróżnicowanie. Ponadto</w:t>
      </w:r>
      <w:r>
        <w:rPr>
          <w:rFonts w:cs="Calibri"/>
          <w:color w:val="212121"/>
          <w:sz w:val="22"/>
          <w:lang w:eastAsia="pl-PL"/>
        </w:rPr>
        <w:t>,</w:t>
      </w:r>
      <w:r w:rsidRPr="00707FC5">
        <w:rPr>
          <w:rFonts w:cs="Calibri"/>
          <w:color w:val="212121"/>
          <w:sz w:val="22"/>
          <w:lang w:eastAsia="pl-PL"/>
        </w:rPr>
        <w:t xml:space="preserve"> dokonując oceny sytuacji UOKiK </w:t>
      </w:r>
      <w:r>
        <w:rPr>
          <w:rFonts w:cs="Calibri"/>
          <w:color w:val="212121"/>
          <w:sz w:val="22"/>
          <w:lang w:eastAsia="pl-PL"/>
        </w:rPr>
        <w:t>wziął pod uwagę</w:t>
      </w:r>
      <w:r w:rsidRPr="00707FC5">
        <w:rPr>
          <w:rFonts w:cs="Calibri"/>
          <w:color w:val="212121"/>
          <w:sz w:val="22"/>
          <w:lang w:eastAsia="pl-PL"/>
        </w:rPr>
        <w:t xml:space="preserve">, że ceny </w:t>
      </w:r>
      <w:proofErr w:type="gramStart"/>
      <w:r w:rsidRPr="00707FC5">
        <w:rPr>
          <w:rFonts w:cs="Calibri"/>
          <w:color w:val="212121"/>
          <w:sz w:val="22"/>
          <w:lang w:eastAsia="pl-PL"/>
        </w:rPr>
        <w:t>SPOT co</w:t>
      </w:r>
      <w:proofErr w:type="gramEnd"/>
      <w:r w:rsidRPr="00707FC5">
        <w:rPr>
          <w:rFonts w:cs="Calibri"/>
          <w:color w:val="212121"/>
          <w:sz w:val="22"/>
          <w:lang w:eastAsia="pl-PL"/>
        </w:rPr>
        <w:t xml:space="preserve"> do zasady  nie są właściwymi cenami transakcyjnymi lecz cenami referencyjnymi, od których PKN Orlen i </w:t>
      </w:r>
      <w:proofErr w:type="spellStart"/>
      <w:r w:rsidRPr="00707FC5">
        <w:rPr>
          <w:rFonts w:cs="Calibri"/>
          <w:color w:val="212121"/>
          <w:sz w:val="22"/>
          <w:lang w:eastAsia="pl-PL"/>
        </w:rPr>
        <w:t>Aramco</w:t>
      </w:r>
      <w:proofErr w:type="spellEnd"/>
      <w:r w:rsidRPr="00707FC5">
        <w:rPr>
          <w:rFonts w:cs="Calibri"/>
          <w:color w:val="212121"/>
          <w:sz w:val="22"/>
          <w:lang w:eastAsia="pl-PL"/>
        </w:rPr>
        <w:t xml:space="preserve"> przyznają </w:t>
      </w:r>
      <w:r>
        <w:rPr>
          <w:rFonts w:cs="Calibri"/>
          <w:color w:val="212121"/>
          <w:sz w:val="22"/>
          <w:lang w:eastAsia="pl-PL"/>
        </w:rPr>
        <w:t>u</w:t>
      </w:r>
      <w:r w:rsidRPr="00707FC5">
        <w:rPr>
          <w:rFonts w:cs="Calibri"/>
          <w:color w:val="212121"/>
          <w:sz w:val="22"/>
          <w:lang w:eastAsia="pl-PL"/>
        </w:rPr>
        <w:t>pusty i rabaty na podstawie ich indywidualnych polityk cenowych.</w:t>
      </w:r>
    </w:p>
    <w:p w14:paraId="570CCE49" w14:textId="77777777" w:rsidR="001353AA" w:rsidRPr="00A1574F" w:rsidRDefault="001353AA" w:rsidP="001353AA">
      <w:pPr>
        <w:spacing w:after="240" w:line="360" w:lineRule="auto"/>
        <w:jc w:val="both"/>
        <w:rPr>
          <w:b/>
          <w:sz w:val="22"/>
        </w:rPr>
      </w:pPr>
      <w:r w:rsidRPr="00A1574F">
        <w:rPr>
          <w:b/>
          <w:sz w:val="22"/>
        </w:rPr>
        <w:t>Dalszy monitoring rynku paliw</w:t>
      </w:r>
    </w:p>
    <w:p w14:paraId="2152B125" w14:textId="77777777" w:rsidR="001353AA" w:rsidRPr="00A1574F" w:rsidRDefault="001353AA" w:rsidP="001353AA">
      <w:pPr>
        <w:spacing w:after="240" w:line="360" w:lineRule="auto"/>
        <w:jc w:val="both"/>
        <w:rPr>
          <w:rFonts w:cstheme="minorHAnsi"/>
          <w:color w:val="0F1419"/>
          <w:sz w:val="22"/>
          <w:shd w:val="clear" w:color="auto" w:fill="FFFFFF"/>
        </w:rPr>
      </w:pPr>
      <w:r w:rsidRPr="00A1574F">
        <w:rPr>
          <w:rFonts w:cstheme="minorHAnsi"/>
          <w:color w:val="0F1419"/>
          <w:sz w:val="22"/>
          <w:shd w:val="clear" w:color="auto" w:fill="FFFFFF"/>
        </w:rPr>
        <w:t xml:space="preserve">Postępowanie wyjaśniające w sprawie cen paliw zostało zakończone. </w:t>
      </w:r>
      <w:r>
        <w:rPr>
          <w:rFonts w:cstheme="minorHAnsi"/>
          <w:color w:val="0F1419"/>
          <w:sz w:val="22"/>
          <w:shd w:val="clear" w:color="auto" w:fill="FFFFFF"/>
        </w:rPr>
        <w:t xml:space="preserve">UOKiK </w:t>
      </w:r>
      <w:r w:rsidRPr="00A1574F">
        <w:rPr>
          <w:rFonts w:cstheme="minorHAnsi"/>
          <w:color w:val="0F1419"/>
          <w:sz w:val="22"/>
          <w:shd w:val="clear" w:color="auto" w:fill="FFFFFF"/>
        </w:rPr>
        <w:t>będzie nadal przyglądał się sytuacji na rynku</w:t>
      </w:r>
      <w:r>
        <w:rPr>
          <w:rFonts w:cstheme="minorHAnsi"/>
          <w:color w:val="0F1419"/>
          <w:sz w:val="22"/>
          <w:shd w:val="clear" w:color="auto" w:fill="FFFFFF"/>
        </w:rPr>
        <w:t xml:space="preserve"> </w:t>
      </w:r>
      <w:r w:rsidRPr="00A1574F">
        <w:rPr>
          <w:rFonts w:cstheme="minorHAnsi"/>
          <w:color w:val="0F1419"/>
          <w:sz w:val="22"/>
          <w:shd w:val="clear" w:color="auto" w:fill="FFFFFF"/>
        </w:rPr>
        <w:t>i nie wyklucza kolejnych działań w przyszłości, jeśli zaistnieje podejrzenie naruszenia przepisów</w:t>
      </w:r>
      <w:r>
        <w:rPr>
          <w:rFonts w:cstheme="minorHAnsi"/>
          <w:color w:val="0F1419"/>
          <w:sz w:val="22"/>
          <w:shd w:val="clear" w:color="auto" w:fill="FFFFFF"/>
        </w:rPr>
        <w:t xml:space="preserve"> prawa</w:t>
      </w:r>
      <w:r w:rsidRPr="00A1574F">
        <w:rPr>
          <w:rFonts w:cstheme="minorHAnsi"/>
          <w:color w:val="0F1419"/>
          <w:sz w:val="22"/>
          <w:shd w:val="clear" w:color="auto" w:fill="FFFFFF"/>
        </w:rPr>
        <w:t>.</w:t>
      </w:r>
    </w:p>
    <w:p w14:paraId="7C629E1F" w14:textId="77777777" w:rsidR="001353AA" w:rsidRDefault="001353AA" w:rsidP="001353AA">
      <w:pPr>
        <w:rPr>
          <w:rFonts w:cstheme="minorHAnsi"/>
          <w:color w:val="0F1419"/>
          <w:shd w:val="clear" w:color="auto" w:fill="FFFFFF"/>
        </w:rPr>
      </w:pPr>
    </w:p>
    <w:p w14:paraId="6E59089D" w14:textId="77777777" w:rsidR="001353AA" w:rsidRDefault="001353AA" w:rsidP="001353AA">
      <w:pPr>
        <w:rPr>
          <w:rFonts w:cstheme="minorHAnsi"/>
          <w:color w:val="0F1419"/>
          <w:shd w:val="clear" w:color="auto" w:fill="FFFFFF"/>
        </w:rPr>
      </w:pPr>
    </w:p>
    <w:p w14:paraId="68AC6AE4" w14:textId="77777777" w:rsidR="001353AA" w:rsidRDefault="001353AA" w:rsidP="001353AA">
      <w:pPr>
        <w:rPr>
          <w:rFonts w:cstheme="minorHAnsi"/>
          <w:color w:val="0F1419"/>
          <w:shd w:val="clear" w:color="auto" w:fill="FFFFFF"/>
        </w:rPr>
      </w:pPr>
    </w:p>
    <w:p w14:paraId="398D9069" w14:textId="77777777" w:rsidR="001353AA" w:rsidRDefault="001353AA" w:rsidP="001353AA">
      <w:pPr>
        <w:rPr>
          <w:rFonts w:cstheme="minorHAnsi"/>
          <w:color w:val="0F1419"/>
          <w:shd w:val="clear" w:color="auto" w:fill="FFFFFF"/>
        </w:rPr>
      </w:pPr>
    </w:p>
    <w:p w14:paraId="06E9CEFC" w14:textId="77777777" w:rsidR="001353AA" w:rsidRDefault="001353AA" w:rsidP="001353AA">
      <w:pPr>
        <w:rPr>
          <w:rFonts w:cstheme="minorHAnsi"/>
          <w:color w:val="0F1419"/>
          <w:shd w:val="clear" w:color="auto" w:fill="FFFFFF"/>
        </w:rPr>
      </w:pPr>
    </w:p>
    <w:p w14:paraId="17800240" w14:textId="7BECE4C4" w:rsidR="00B075C5" w:rsidRPr="001353AA" w:rsidRDefault="00B075C5" w:rsidP="001353AA"/>
    <w:sectPr w:rsidR="00B075C5" w:rsidRPr="001353AA" w:rsidSect="00D069A9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8C83" w14:textId="77777777" w:rsidR="00F05958" w:rsidRDefault="00F05958">
      <w:r>
        <w:separator/>
      </w:r>
    </w:p>
  </w:endnote>
  <w:endnote w:type="continuationSeparator" w:id="0">
    <w:p w14:paraId="3AE34E23" w14:textId="77777777" w:rsidR="00F05958" w:rsidRDefault="00F0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</w:t>
    </w:r>
    <w:proofErr w:type="gramStart"/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PL   TELEFON</w:t>
    </w:r>
    <w:proofErr w:type="gramEnd"/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</w:t>
    </w:r>
    <w:proofErr w:type="gramStart"/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</w:t>
    </w:r>
    <w:proofErr w:type="gramEnd"/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</w:t>
    </w:r>
    <w:proofErr w:type="gramStart"/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gov</w:t>
    </w:r>
    <w:proofErr w:type="gramEnd"/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.pl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</w:t>
    </w:r>
    <w:proofErr w:type="gramStart"/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: @uokikgovpl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876A9" w14:textId="77777777" w:rsidR="00F05958" w:rsidRDefault="00F05958">
      <w:r>
        <w:separator/>
      </w:r>
    </w:p>
  </w:footnote>
  <w:footnote w:type="continuationSeparator" w:id="0">
    <w:p w14:paraId="2F837EB1" w14:textId="77777777" w:rsidR="00F05958" w:rsidRDefault="00F05958">
      <w:r>
        <w:continuationSeparator/>
      </w:r>
    </w:p>
  </w:footnote>
  <w:footnote w:id="1">
    <w:p w14:paraId="0370B307" w14:textId="77777777" w:rsidR="001353AA" w:rsidRDefault="001353AA" w:rsidP="001353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782A">
        <w:t>Sprawa Aspen nr AT.40394.</w:t>
      </w:r>
    </w:p>
  </w:footnote>
  <w:footnote w:id="2">
    <w:p w14:paraId="1590CE71" w14:textId="77777777" w:rsidR="001353AA" w:rsidRDefault="001353AA" w:rsidP="001353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216D">
        <w:t>Decyzja 18-D-17 z 20 września 2018 r</w:t>
      </w:r>
      <w:r>
        <w:t>.</w:t>
      </w:r>
    </w:p>
  </w:footnote>
  <w:footnote w:id="3">
    <w:p w14:paraId="6F4C6FAF" w14:textId="77777777" w:rsidR="001353AA" w:rsidRPr="00A0782A" w:rsidRDefault="001353AA" w:rsidP="001353AA">
      <w:pPr>
        <w:pStyle w:val="Tekstprzypisudolnego"/>
        <w:rPr>
          <w:rFonts w:ascii="Calibri" w:hAnsi="Calibri" w:cs="Calibri"/>
          <w:szCs w:val="18"/>
        </w:rPr>
      </w:pPr>
      <w:r>
        <w:rPr>
          <w:rStyle w:val="Odwoanieprzypisudolnego"/>
        </w:rPr>
        <w:footnoteRef/>
      </w:r>
      <w:r w:rsidRPr="00A72F62">
        <w:t xml:space="preserve"> </w:t>
      </w:r>
      <w:r w:rsidRPr="00A0782A">
        <w:rPr>
          <w:rFonts w:ascii="Calibri" w:hAnsi="Calibri" w:cs="Calibri"/>
          <w:szCs w:val="18"/>
        </w:rPr>
        <w:t xml:space="preserve">Wyrok Sądu Antymonopolowego z 11.10.2000 </w:t>
      </w:r>
      <w:proofErr w:type="gramStart"/>
      <w:r w:rsidRPr="00A0782A">
        <w:rPr>
          <w:rFonts w:ascii="Calibri" w:hAnsi="Calibri" w:cs="Calibri"/>
          <w:szCs w:val="18"/>
        </w:rPr>
        <w:t>r</w:t>
      </w:r>
      <w:proofErr w:type="gramEnd"/>
      <w:r w:rsidRPr="00A0782A">
        <w:rPr>
          <w:rFonts w:ascii="Calibri" w:hAnsi="Calibri" w:cs="Calibri"/>
          <w:szCs w:val="18"/>
        </w:rPr>
        <w:t xml:space="preserve">. w sprawie XVII </w:t>
      </w:r>
      <w:proofErr w:type="spellStart"/>
      <w:r w:rsidRPr="00A0782A">
        <w:rPr>
          <w:rFonts w:ascii="Calibri" w:hAnsi="Calibri" w:cs="Calibri"/>
          <w:szCs w:val="18"/>
        </w:rPr>
        <w:t>AmA</w:t>
      </w:r>
      <w:proofErr w:type="spellEnd"/>
      <w:r w:rsidRPr="00A0782A">
        <w:rPr>
          <w:rFonts w:ascii="Calibri" w:hAnsi="Calibri" w:cs="Calibri"/>
          <w:szCs w:val="18"/>
        </w:rPr>
        <w:t xml:space="preserve"> 65/00, wyrok Sądu Najwyższego z 16.05.2003 </w:t>
      </w:r>
      <w:proofErr w:type="gramStart"/>
      <w:r w:rsidRPr="00A0782A">
        <w:rPr>
          <w:rFonts w:ascii="Calibri" w:hAnsi="Calibri" w:cs="Calibri"/>
          <w:szCs w:val="18"/>
        </w:rPr>
        <w:t>r</w:t>
      </w:r>
      <w:proofErr w:type="gramEnd"/>
      <w:r w:rsidRPr="00A0782A">
        <w:rPr>
          <w:rFonts w:ascii="Calibri" w:hAnsi="Calibri" w:cs="Calibri"/>
          <w:szCs w:val="18"/>
        </w:rPr>
        <w:t xml:space="preserve">. w sprawie </w:t>
      </w:r>
      <w:r w:rsidRPr="00A0782A">
        <w:rPr>
          <w:rFonts w:ascii="Calibri" w:hAnsi="Calibri" w:cs="Calibri"/>
          <w:color w:val="000000"/>
          <w:szCs w:val="18"/>
        </w:rPr>
        <w:t>I CKN 337/01</w:t>
      </w:r>
    </w:p>
  </w:footnote>
  <w:footnote w:id="4">
    <w:p w14:paraId="626573F9" w14:textId="77777777" w:rsidR="001353AA" w:rsidRPr="00965229" w:rsidRDefault="001353AA" w:rsidP="001353AA">
      <w:pPr>
        <w:pStyle w:val="Nagwek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 w:val="0"/>
          <w:sz w:val="18"/>
          <w:szCs w:val="18"/>
        </w:rPr>
      </w:pPr>
      <w:r w:rsidRPr="00965229">
        <w:rPr>
          <w:rStyle w:val="Odwoanieprzypisudolnego"/>
          <w:rFonts w:ascii="Times New Roman" w:hAnsi="Times New Roman" w:cs="Times New Roman"/>
          <w:b w:val="0"/>
          <w:sz w:val="18"/>
          <w:szCs w:val="18"/>
        </w:rPr>
        <w:footnoteRef/>
      </w:r>
      <w:r w:rsidRPr="00965229">
        <w:rPr>
          <w:rFonts w:ascii="Times New Roman" w:hAnsi="Times New Roman" w:cs="Times New Roman"/>
          <w:b w:val="0"/>
          <w:sz w:val="18"/>
          <w:szCs w:val="18"/>
        </w:rPr>
        <w:t xml:space="preserve"> Opinia </w:t>
      </w:r>
      <w:r>
        <w:rPr>
          <w:rFonts w:ascii="Times New Roman" w:hAnsi="Times New Roman" w:cs="Times New Roman"/>
          <w:b w:val="0"/>
          <w:sz w:val="18"/>
          <w:szCs w:val="18"/>
        </w:rPr>
        <w:t>R</w:t>
      </w:r>
      <w:r w:rsidRPr="00965229">
        <w:rPr>
          <w:rFonts w:ascii="Times New Roman" w:hAnsi="Times New Roman" w:cs="Times New Roman"/>
          <w:b w:val="0"/>
          <w:sz w:val="18"/>
          <w:szCs w:val="18"/>
        </w:rPr>
        <w:t xml:space="preserve">zecznika </w:t>
      </w:r>
      <w:r>
        <w:rPr>
          <w:rFonts w:ascii="Times New Roman" w:hAnsi="Times New Roman" w:cs="Times New Roman"/>
          <w:b w:val="0"/>
          <w:sz w:val="18"/>
          <w:szCs w:val="18"/>
        </w:rPr>
        <w:t>G</w:t>
      </w:r>
      <w:r w:rsidRPr="00965229">
        <w:rPr>
          <w:rFonts w:ascii="Times New Roman" w:hAnsi="Times New Roman" w:cs="Times New Roman"/>
          <w:b w:val="0"/>
          <w:sz w:val="18"/>
          <w:szCs w:val="18"/>
        </w:rPr>
        <w:t xml:space="preserve">eneralnego i wyrok TSUE z 14.09.2017 </w:t>
      </w:r>
      <w:proofErr w:type="gramStart"/>
      <w:r w:rsidRPr="00965229">
        <w:rPr>
          <w:rFonts w:ascii="Times New Roman" w:hAnsi="Times New Roman" w:cs="Times New Roman"/>
          <w:b w:val="0"/>
          <w:sz w:val="18"/>
          <w:szCs w:val="18"/>
        </w:rPr>
        <w:t>r</w:t>
      </w:r>
      <w:proofErr w:type="gramEnd"/>
      <w:r w:rsidRPr="00965229">
        <w:rPr>
          <w:rFonts w:ascii="Times New Roman" w:hAnsi="Times New Roman" w:cs="Times New Roman"/>
          <w:b w:val="0"/>
          <w:sz w:val="18"/>
          <w:szCs w:val="18"/>
        </w:rPr>
        <w:t>. – AKKA/LAA (C-177/16)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34C1E11"/>
    <w:multiLevelType w:val="multilevel"/>
    <w:tmpl w:val="3FC244F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851" w:hanging="85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0F7659D4"/>
    <w:multiLevelType w:val="hybridMultilevel"/>
    <w:tmpl w:val="D1E27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1" w15:restartNumberingAfterBreak="0">
    <w:nsid w:val="6EE92871"/>
    <w:multiLevelType w:val="hybridMultilevel"/>
    <w:tmpl w:val="877E7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53E0"/>
    <w:rsid w:val="00023634"/>
    <w:rsid w:val="0002523D"/>
    <w:rsid w:val="00042F96"/>
    <w:rsid w:val="00056AF4"/>
    <w:rsid w:val="00057CA6"/>
    <w:rsid w:val="00061749"/>
    <w:rsid w:val="000651E9"/>
    <w:rsid w:val="00073AA7"/>
    <w:rsid w:val="00094613"/>
    <w:rsid w:val="000A74FA"/>
    <w:rsid w:val="000B149D"/>
    <w:rsid w:val="000B1AC5"/>
    <w:rsid w:val="000B3CAE"/>
    <w:rsid w:val="000B7247"/>
    <w:rsid w:val="000C0542"/>
    <w:rsid w:val="000D4A1F"/>
    <w:rsid w:val="0010559C"/>
    <w:rsid w:val="00107844"/>
    <w:rsid w:val="00111422"/>
    <w:rsid w:val="00120FBD"/>
    <w:rsid w:val="00121949"/>
    <w:rsid w:val="0012424D"/>
    <w:rsid w:val="0013159A"/>
    <w:rsid w:val="00133470"/>
    <w:rsid w:val="001353AA"/>
    <w:rsid w:val="00135455"/>
    <w:rsid w:val="001413C7"/>
    <w:rsid w:val="00143310"/>
    <w:rsid w:val="00144E9C"/>
    <w:rsid w:val="00161094"/>
    <w:rsid w:val="0016325D"/>
    <w:rsid w:val="00163DF9"/>
    <w:rsid w:val="001666D6"/>
    <w:rsid w:val="00166B5D"/>
    <w:rsid w:val="001675EF"/>
    <w:rsid w:val="0017028A"/>
    <w:rsid w:val="00190D5A"/>
    <w:rsid w:val="00190EE4"/>
    <w:rsid w:val="00196736"/>
    <w:rsid w:val="001979B5"/>
    <w:rsid w:val="001A084E"/>
    <w:rsid w:val="001A5F7C"/>
    <w:rsid w:val="001A6E5B"/>
    <w:rsid w:val="001A7451"/>
    <w:rsid w:val="001B0740"/>
    <w:rsid w:val="001C1FAD"/>
    <w:rsid w:val="001C598B"/>
    <w:rsid w:val="001D0091"/>
    <w:rsid w:val="001D1E10"/>
    <w:rsid w:val="001D5E17"/>
    <w:rsid w:val="001E188E"/>
    <w:rsid w:val="001E4F92"/>
    <w:rsid w:val="001E6159"/>
    <w:rsid w:val="001F4A73"/>
    <w:rsid w:val="001F57B4"/>
    <w:rsid w:val="001F63E4"/>
    <w:rsid w:val="00200293"/>
    <w:rsid w:val="00205580"/>
    <w:rsid w:val="00210493"/>
    <w:rsid w:val="002157BB"/>
    <w:rsid w:val="002166FA"/>
    <w:rsid w:val="002262B5"/>
    <w:rsid w:val="002300F7"/>
    <w:rsid w:val="0023138D"/>
    <w:rsid w:val="00240013"/>
    <w:rsid w:val="0024118E"/>
    <w:rsid w:val="00241BAC"/>
    <w:rsid w:val="00251E26"/>
    <w:rsid w:val="00252ECE"/>
    <w:rsid w:val="00260382"/>
    <w:rsid w:val="00266417"/>
    <w:rsid w:val="00266CB4"/>
    <w:rsid w:val="00267DD1"/>
    <w:rsid w:val="002801AA"/>
    <w:rsid w:val="00280A7A"/>
    <w:rsid w:val="002864BE"/>
    <w:rsid w:val="00293525"/>
    <w:rsid w:val="00295B34"/>
    <w:rsid w:val="002A5D69"/>
    <w:rsid w:val="002B1DBF"/>
    <w:rsid w:val="002B4C6B"/>
    <w:rsid w:val="002C0D5D"/>
    <w:rsid w:val="002C53CB"/>
    <w:rsid w:val="002C692D"/>
    <w:rsid w:val="002C6ABE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11B14"/>
    <w:rsid w:val="00313EBF"/>
    <w:rsid w:val="0032426F"/>
    <w:rsid w:val="00324306"/>
    <w:rsid w:val="003278D6"/>
    <w:rsid w:val="003303F0"/>
    <w:rsid w:val="003307D3"/>
    <w:rsid w:val="003348EF"/>
    <w:rsid w:val="0034059B"/>
    <w:rsid w:val="0035019C"/>
    <w:rsid w:val="00360248"/>
    <w:rsid w:val="00360C66"/>
    <w:rsid w:val="003633F5"/>
    <w:rsid w:val="00365C1F"/>
    <w:rsid w:val="00366A46"/>
    <w:rsid w:val="00377A0D"/>
    <w:rsid w:val="003854CA"/>
    <w:rsid w:val="0038677D"/>
    <w:rsid w:val="0039154A"/>
    <w:rsid w:val="003915EC"/>
    <w:rsid w:val="00391F20"/>
    <w:rsid w:val="003A3042"/>
    <w:rsid w:val="003A5566"/>
    <w:rsid w:val="003A73BE"/>
    <w:rsid w:val="003D0369"/>
    <w:rsid w:val="003D1479"/>
    <w:rsid w:val="003D3FF4"/>
    <w:rsid w:val="003D7161"/>
    <w:rsid w:val="003E357F"/>
    <w:rsid w:val="003E3F9D"/>
    <w:rsid w:val="003E69E5"/>
    <w:rsid w:val="003E6CE9"/>
    <w:rsid w:val="003F2C04"/>
    <w:rsid w:val="003F76BB"/>
    <w:rsid w:val="00401C23"/>
    <w:rsid w:val="0040748E"/>
    <w:rsid w:val="00412206"/>
    <w:rsid w:val="00413B92"/>
    <w:rsid w:val="00427E08"/>
    <w:rsid w:val="00431AF3"/>
    <w:rsid w:val="004349BA"/>
    <w:rsid w:val="0043575C"/>
    <w:rsid w:val="004365C7"/>
    <w:rsid w:val="004425B7"/>
    <w:rsid w:val="00444A85"/>
    <w:rsid w:val="00444D11"/>
    <w:rsid w:val="004450C8"/>
    <w:rsid w:val="00445594"/>
    <w:rsid w:val="00462CFA"/>
    <w:rsid w:val="00464F9B"/>
    <w:rsid w:val="00471131"/>
    <w:rsid w:val="00471F59"/>
    <w:rsid w:val="00486D03"/>
    <w:rsid w:val="00486DB1"/>
    <w:rsid w:val="00493E10"/>
    <w:rsid w:val="004972E8"/>
    <w:rsid w:val="004976C8"/>
    <w:rsid w:val="004A262D"/>
    <w:rsid w:val="004A6139"/>
    <w:rsid w:val="004B1B9B"/>
    <w:rsid w:val="004B5A4D"/>
    <w:rsid w:val="004C0F9E"/>
    <w:rsid w:val="004C1243"/>
    <w:rsid w:val="004C5C26"/>
    <w:rsid w:val="004C6885"/>
    <w:rsid w:val="004F7E99"/>
    <w:rsid w:val="005003F9"/>
    <w:rsid w:val="00502A08"/>
    <w:rsid w:val="0050417B"/>
    <w:rsid w:val="0050777B"/>
    <w:rsid w:val="00511612"/>
    <w:rsid w:val="005133CE"/>
    <w:rsid w:val="00521BA3"/>
    <w:rsid w:val="00523E0D"/>
    <w:rsid w:val="005244E2"/>
    <w:rsid w:val="00525588"/>
    <w:rsid w:val="0052710E"/>
    <w:rsid w:val="00527B7A"/>
    <w:rsid w:val="00541A48"/>
    <w:rsid w:val="005442FC"/>
    <w:rsid w:val="0055631D"/>
    <w:rsid w:val="00593935"/>
    <w:rsid w:val="005973FD"/>
    <w:rsid w:val="00597C68"/>
    <w:rsid w:val="005A37E7"/>
    <w:rsid w:val="005A382B"/>
    <w:rsid w:val="005A4047"/>
    <w:rsid w:val="005B076A"/>
    <w:rsid w:val="005B6FE6"/>
    <w:rsid w:val="005C0D39"/>
    <w:rsid w:val="005C226F"/>
    <w:rsid w:val="005C6232"/>
    <w:rsid w:val="005D6F7A"/>
    <w:rsid w:val="005E5B88"/>
    <w:rsid w:val="005E6B1A"/>
    <w:rsid w:val="005E78EE"/>
    <w:rsid w:val="005F139F"/>
    <w:rsid w:val="005F1EBD"/>
    <w:rsid w:val="00602A1B"/>
    <w:rsid w:val="0060516B"/>
    <w:rsid w:val="006063D0"/>
    <w:rsid w:val="00611B70"/>
    <w:rsid w:val="00613C45"/>
    <w:rsid w:val="00633D4E"/>
    <w:rsid w:val="00633F31"/>
    <w:rsid w:val="0063526F"/>
    <w:rsid w:val="00637E86"/>
    <w:rsid w:val="00641AB6"/>
    <w:rsid w:val="006422DE"/>
    <w:rsid w:val="006439FA"/>
    <w:rsid w:val="006458F2"/>
    <w:rsid w:val="00647A4B"/>
    <w:rsid w:val="00654E55"/>
    <w:rsid w:val="0065736E"/>
    <w:rsid w:val="00672A15"/>
    <w:rsid w:val="0067485D"/>
    <w:rsid w:val="0068439B"/>
    <w:rsid w:val="0068740C"/>
    <w:rsid w:val="006878AF"/>
    <w:rsid w:val="006A2065"/>
    <w:rsid w:val="006A3D88"/>
    <w:rsid w:val="006A4A7A"/>
    <w:rsid w:val="006B0848"/>
    <w:rsid w:val="006B733D"/>
    <w:rsid w:val="006C34AE"/>
    <w:rsid w:val="006C67AF"/>
    <w:rsid w:val="006D3DC5"/>
    <w:rsid w:val="006E38D6"/>
    <w:rsid w:val="006F143B"/>
    <w:rsid w:val="007039EC"/>
    <w:rsid w:val="007067CE"/>
    <w:rsid w:val="0071572D"/>
    <w:rsid w:val="007157BA"/>
    <w:rsid w:val="007169F9"/>
    <w:rsid w:val="007174A6"/>
    <w:rsid w:val="007224B3"/>
    <w:rsid w:val="0072734A"/>
    <w:rsid w:val="00731303"/>
    <w:rsid w:val="00737BBC"/>
    <w:rsid w:val="007402E0"/>
    <w:rsid w:val="0074489D"/>
    <w:rsid w:val="00746549"/>
    <w:rsid w:val="007514AD"/>
    <w:rsid w:val="007527F1"/>
    <w:rsid w:val="0075524D"/>
    <w:rsid w:val="007560B0"/>
    <w:rsid w:val="007627D7"/>
    <w:rsid w:val="00773E0F"/>
    <w:rsid w:val="0077414D"/>
    <w:rsid w:val="00776C4F"/>
    <w:rsid w:val="007838E4"/>
    <w:rsid w:val="007846DC"/>
    <w:rsid w:val="00790C32"/>
    <w:rsid w:val="0079108F"/>
    <w:rsid w:val="007A19D8"/>
    <w:rsid w:val="007B18E7"/>
    <w:rsid w:val="007D15E3"/>
    <w:rsid w:val="007E109D"/>
    <w:rsid w:val="007E36E4"/>
    <w:rsid w:val="007F0ACE"/>
    <w:rsid w:val="00800F0E"/>
    <w:rsid w:val="00804024"/>
    <w:rsid w:val="0081013A"/>
    <w:rsid w:val="00813C2C"/>
    <w:rsid w:val="00815F48"/>
    <w:rsid w:val="0081753E"/>
    <w:rsid w:val="0082248B"/>
    <w:rsid w:val="0082343F"/>
    <w:rsid w:val="008249A8"/>
    <w:rsid w:val="008442F8"/>
    <w:rsid w:val="0085010E"/>
    <w:rsid w:val="0085454F"/>
    <w:rsid w:val="0087354F"/>
    <w:rsid w:val="00896985"/>
    <w:rsid w:val="008A1CFB"/>
    <w:rsid w:val="008B22C8"/>
    <w:rsid w:val="008C2E4D"/>
    <w:rsid w:val="008C53D0"/>
    <w:rsid w:val="008C70D3"/>
    <w:rsid w:val="008D0DD4"/>
    <w:rsid w:val="008D527A"/>
    <w:rsid w:val="008D56DA"/>
    <w:rsid w:val="008D5771"/>
    <w:rsid w:val="008D6467"/>
    <w:rsid w:val="008E7693"/>
    <w:rsid w:val="008F472E"/>
    <w:rsid w:val="008F5AF1"/>
    <w:rsid w:val="008F7562"/>
    <w:rsid w:val="00902556"/>
    <w:rsid w:val="0090338C"/>
    <w:rsid w:val="00910076"/>
    <w:rsid w:val="0091048E"/>
    <w:rsid w:val="00920076"/>
    <w:rsid w:val="00924ABC"/>
    <w:rsid w:val="009302B8"/>
    <w:rsid w:val="00940E8F"/>
    <w:rsid w:val="0094300F"/>
    <w:rsid w:val="0095309C"/>
    <w:rsid w:val="009652F2"/>
    <w:rsid w:val="00966C98"/>
    <w:rsid w:val="009700D7"/>
    <w:rsid w:val="009719ED"/>
    <w:rsid w:val="009749C6"/>
    <w:rsid w:val="00986C37"/>
    <w:rsid w:val="00987D1C"/>
    <w:rsid w:val="00992D84"/>
    <w:rsid w:val="00997528"/>
    <w:rsid w:val="0099796A"/>
    <w:rsid w:val="009A34CA"/>
    <w:rsid w:val="009C1346"/>
    <w:rsid w:val="009D05C8"/>
    <w:rsid w:val="009D596A"/>
    <w:rsid w:val="009E3C0B"/>
    <w:rsid w:val="009F0DA7"/>
    <w:rsid w:val="00A03921"/>
    <w:rsid w:val="00A116C6"/>
    <w:rsid w:val="00A13244"/>
    <w:rsid w:val="00A219BC"/>
    <w:rsid w:val="00A239AA"/>
    <w:rsid w:val="00A25513"/>
    <w:rsid w:val="00A31DB2"/>
    <w:rsid w:val="00A35329"/>
    <w:rsid w:val="00A439E8"/>
    <w:rsid w:val="00A45753"/>
    <w:rsid w:val="00A51CBE"/>
    <w:rsid w:val="00A526E5"/>
    <w:rsid w:val="00A53423"/>
    <w:rsid w:val="00A560C5"/>
    <w:rsid w:val="00A62659"/>
    <w:rsid w:val="00A6532D"/>
    <w:rsid w:val="00A65F20"/>
    <w:rsid w:val="00A76293"/>
    <w:rsid w:val="00A77DA2"/>
    <w:rsid w:val="00A84763"/>
    <w:rsid w:val="00A85D9D"/>
    <w:rsid w:val="00A87DA3"/>
    <w:rsid w:val="00A909BC"/>
    <w:rsid w:val="00A90B9D"/>
    <w:rsid w:val="00A92C4C"/>
    <w:rsid w:val="00AA0410"/>
    <w:rsid w:val="00AA602D"/>
    <w:rsid w:val="00AB1E95"/>
    <w:rsid w:val="00AB572D"/>
    <w:rsid w:val="00AB6D7A"/>
    <w:rsid w:val="00AC21A3"/>
    <w:rsid w:val="00AC2764"/>
    <w:rsid w:val="00AD5AE2"/>
    <w:rsid w:val="00AE2923"/>
    <w:rsid w:val="00AE3136"/>
    <w:rsid w:val="00AE7F9D"/>
    <w:rsid w:val="00AF1794"/>
    <w:rsid w:val="00B0043A"/>
    <w:rsid w:val="00B00BE0"/>
    <w:rsid w:val="00B028F7"/>
    <w:rsid w:val="00B05A3A"/>
    <w:rsid w:val="00B075C5"/>
    <w:rsid w:val="00B12CD3"/>
    <w:rsid w:val="00B17717"/>
    <w:rsid w:val="00B218B9"/>
    <w:rsid w:val="00B22863"/>
    <w:rsid w:val="00B30A5B"/>
    <w:rsid w:val="00B37E36"/>
    <w:rsid w:val="00B40A86"/>
    <w:rsid w:val="00B41502"/>
    <w:rsid w:val="00B51024"/>
    <w:rsid w:val="00B512B5"/>
    <w:rsid w:val="00B540C9"/>
    <w:rsid w:val="00B60CD8"/>
    <w:rsid w:val="00B60F9C"/>
    <w:rsid w:val="00B6769E"/>
    <w:rsid w:val="00B71974"/>
    <w:rsid w:val="00B7214A"/>
    <w:rsid w:val="00B73F22"/>
    <w:rsid w:val="00B76F0D"/>
    <w:rsid w:val="00B76F9A"/>
    <w:rsid w:val="00B774D3"/>
    <w:rsid w:val="00B810B2"/>
    <w:rsid w:val="00BA26F7"/>
    <w:rsid w:val="00BA79F0"/>
    <w:rsid w:val="00BB5068"/>
    <w:rsid w:val="00BB7AE8"/>
    <w:rsid w:val="00BC3DDD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7EA7"/>
    <w:rsid w:val="00C123B1"/>
    <w:rsid w:val="00C158D4"/>
    <w:rsid w:val="00C204A7"/>
    <w:rsid w:val="00C21071"/>
    <w:rsid w:val="00C2398C"/>
    <w:rsid w:val="00C25569"/>
    <w:rsid w:val="00C27366"/>
    <w:rsid w:val="00C27F0F"/>
    <w:rsid w:val="00C3619D"/>
    <w:rsid w:val="00C36419"/>
    <w:rsid w:val="00C56BFE"/>
    <w:rsid w:val="00C63AA8"/>
    <w:rsid w:val="00C655F4"/>
    <w:rsid w:val="00C7783C"/>
    <w:rsid w:val="00C81210"/>
    <w:rsid w:val="00CA6B58"/>
    <w:rsid w:val="00CB1AE6"/>
    <w:rsid w:val="00CB3ED4"/>
    <w:rsid w:val="00CB3F86"/>
    <w:rsid w:val="00CB4090"/>
    <w:rsid w:val="00CC17D5"/>
    <w:rsid w:val="00CD039E"/>
    <w:rsid w:val="00CD34F0"/>
    <w:rsid w:val="00CD421A"/>
    <w:rsid w:val="00CE0954"/>
    <w:rsid w:val="00CE2CFB"/>
    <w:rsid w:val="00CF11F7"/>
    <w:rsid w:val="00CF22A5"/>
    <w:rsid w:val="00CF608A"/>
    <w:rsid w:val="00D069A9"/>
    <w:rsid w:val="00D118BC"/>
    <w:rsid w:val="00D1323F"/>
    <w:rsid w:val="00D17225"/>
    <w:rsid w:val="00D202BA"/>
    <w:rsid w:val="00D251AC"/>
    <w:rsid w:val="00D43766"/>
    <w:rsid w:val="00D47CCF"/>
    <w:rsid w:val="00D548E0"/>
    <w:rsid w:val="00D63CE7"/>
    <w:rsid w:val="00D6457B"/>
    <w:rsid w:val="00D653EE"/>
    <w:rsid w:val="00D66DEC"/>
    <w:rsid w:val="00D71A41"/>
    <w:rsid w:val="00D768A4"/>
    <w:rsid w:val="00D927A9"/>
    <w:rsid w:val="00D92F52"/>
    <w:rsid w:val="00D978E7"/>
    <w:rsid w:val="00DA1C6B"/>
    <w:rsid w:val="00DA753F"/>
    <w:rsid w:val="00DB4009"/>
    <w:rsid w:val="00DB4D54"/>
    <w:rsid w:val="00DB4FAD"/>
    <w:rsid w:val="00DC182C"/>
    <w:rsid w:val="00DC5754"/>
    <w:rsid w:val="00DC6846"/>
    <w:rsid w:val="00DD2D57"/>
    <w:rsid w:val="00DD34A3"/>
    <w:rsid w:val="00DD6056"/>
    <w:rsid w:val="00DE2E93"/>
    <w:rsid w:val="00DE7C6A"/>
    <w:rsid w:val="00DF2857"/>
    <w:rsid w:val="00DF782B"/>
    <w:rsid w:val="00E03AEF"/>
    <w:rsid w:val="00E102DE"/>
    <w:rsid w:val="00E22D24"/>
    <w:rsid w:val="00E24825"/>
    <w:rsid w:val="00E42093"/>
    <w:rsid w:val="00E45D44"/>
    <w:rsid w:val="00E46EC2"/>
    <w:rsid w:val="00E522AD"/>
    <w:rsid w:val="00E56F53"/>
    <w:rsid w:val="00E64103"/>
    <w:rsid w:val="00E74C68"/>
    <w:rsid w:val="00E76CD1"/>
    <w:rsid w:val="00E80D6C"/>
    <w:rsid w:val="00E83D25"/>
    <w:rsid w:val="00E97015"/>
    <w:rsid w:val="00ED7FEA"/>
    <w:rsid w:val="00EE4AD8"/>
    <w:rsid w:val="00EF40D4"/>
    <w:rsid w:val="00EF4900"/>
    <w:rsid w:val="00EF713A"/>
    <w:rsid w:val="00F05958"/>
    <w:rsid w:val="00F1196A"/>
    <w:rsid w:val="00F139AC"/>
    <w:rsid w:val="00F14778"/>
    <w:rsid w:val="00F16179"/>
    <w:rsid w:val="00F21642"/>
    <w:rsid w:val="00F21EAC"/>
    <w:rsid w:val="00F267B8"/>
    <w:rsid w:val="00F3243D"/>
    <w:rsid w:val="00F44CA2"/>
    <w:rsid w:val="00F46D0D"/>
    <w:rsid w:val="00F753F5"/>
    <w:rsid w:val="00F7591A"/>
    <w:rsid w:val="00F76E8F"/>
    <w:rsid w:val="00F83244"/>
    <w:rsid w:val="00F92986"/>
    <w:rsid w:val="00F92B59"/>
    <w:rsid w:val="00F93642"/>
    <w:rsid w:val="00F948BC"/>
    <w:rsid w:val="00F960CF"/>
    <w:rsid w:val="00FA10A3"/>
    <w:rsid w:val="00FA1226"/>
    <w:rsid w:val="00FB01B4"/>
    <w:rsid w:val="00FC18A4"/>
    <w:rsid w:val="00FD09D8"/>
    <w:rsid w:val="00FD1963"/>
    <w:rsid w:val="00FD27A8"/>
    <w:rsid w:val="00FE225F"/>
    <w:rsid w:val="00FE3C6D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nhideWhenUsed/>
    <w:qFormat/>
    <w:rsid w:val="001353AA"/>
    <w:pPr>
      <w:keepNext/>
      <w:keepLines/>
      <w:numPr>
        <w:ilvl w:val="1"/>
        <w:numId w:val="16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, Znak"/>
    <w:basedOn w:val="Normalny"/>
    <w:link w:val="TekstprzypisudolnegoZnak"/>
    <w:uiPriority w:val="99"/>
    <w:qFormat/>
    <w:rsid w:val="008A1CFB"/>
    <w:pPr>
      <w:jc w:val="both"/>
    </w:pPr>
    <w:rPr>
      <w:rFonts w:ascii="Times New Roman" w:hAnsi="Times New Roman"/>
      <w:szCs w:val="20"/>
      <w:lang w:eastAsia="pl-PL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, Znak Znak"/>
    <w:basedOn w:val="Domylnaczcionkaakapitu"/>
    <w:link w:val="Tekstprzypisudolnego"/>
    <w:uiPriority w:val="99"/>
    <w:rsid w:val="008A1CFB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353AA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53AA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9028-B7BA-4A8C-A58F-573A79E926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ED4EB9-0803-43D0-90FA-8BCC0A5C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1783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2022-05-10T16:20:00Z</cp:lastPrinted>
  <dcterms:created xsi:type="dcterms:W3CDTF">2023-06-06T09:43:00Z</dcterms:created>
  <dcterms:modified xsi:type="dcterms:W3CDTF">2023-06-06T14:30:00Z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d2ea51bc-b37a-4f68-9c62-db84cd067614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