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55127" w14:textId="43393945" w:rsidR="005C71E2" w:rsidRDefault="00577945" w:rsidP="005C71E2">
      <w:pPr>
        <w:spacing w:after="240" w:line="360" w:lineRule="auto"/>
        <w:jc w:val="both"/>
      </w:pPr>
      <w:r>
        <w:rPr>
          <w:color w:val="000000"/>
          <w:sz w:val="32"/>
          <w:szCs w:val="32"/>
          <w:lang w:val="en"/>
        </w:rPr>
        <w:t>Collusions on the labor market – stop! It is illegal!</w:t>
      </w:r>
    </w:p>
    <w:p w14:paraId="731F69E9" w14:textId="44DA1E69" w:rsidR="003D0547" w:rsidRDefault="003D0547" w:rsidP="003850E7">
      <w:pPr>
        <w:pStyle w:val="Akapitzlist"/>
        <w:numPr>
          <w:ilvl w:val="0"/>
          <w:numId w:val="16"/>
        </w:numPr>
        <w:spacing w:after="240" w:line="360" w:lineRule="auto"/>
        <w:jc w:val="both"/>
        <w:rPr>
          <w:b/>
          <w:sz w:val="22"/>
        </w:rPr>
      </w:pPr>
      <w:r>
        <w:rPr>
          <w:b/>
          <w:bCs/>
          <w:sz w:val="22"/>
          <w:lang w:val="en"/>
        </w:rPr>
        <w:t xml:space="preserve">Did Dino and Biedronka chains, along with transport companies, illegally agree not to “poach” each other’s drivers? </w:t>
      </w:r>
    </w:p>
    <w:p w14:paraId="172F12FF" w14:textId="76CCF3E2" w:rsidR="003D0547" w:rsidRPr="00D15AE4" w:rsidRDefault="003D0547" w:rsidP="003850E7">
      <w:pPr>
        <w:pStyle w:val="Akapitzlist"/>
        <w:numPr>
          <w:ilvl w:val="0"/>
          <w:numId w:val="16"/>
        </w:numPr>
        <w:spacing w:after="240" w:line="360" w:lineRule="auto"/>
        <w:jc w:val="both"/>
        <w:rPr>
          <w:b/>
          <w:sz w:val="22"/>
        </w:rPr>
      </w:pPr>
      <w:r>
        <w:rPr>
          <w:b/>
          <w:bCs/>
          <w:sz w:val="22"/>
          <w:lang w:val="en"/>
        </w:rPr>
        <w:t>The President of UOKiK has initiated preliminary investigation while the UOKiK officials, upon a consent of the court and assisted by the Police, searched the premises of the companies.</w:t>
      </w:r>
    </w:p>
    <w:p w14:paraId="03F88427" w14:textId="71D714BE" w:rsidR="003D0547" w:rsidRPr="00167367" w:rsidRDefault="003D0547" w:rsidP="003850E7">
      <w:pPr>
        <w:pStyle w:val="Akapitzlist"/>
        <w:numPr>
          <w:ilvl w:val="0"/>
          <w:numId w:val="16"/>
        </w:numPr>
        <w:spacing w:after="240" w:line="360" w:lineRule="auto"/>
        <w:jc w:val="both"/>
        <w:rPr>
          <w:sz w:val="22"/>
        </w:rPr>
      </w:pPr>
      <w:r>
        <w:rPr>
          <w:b/>
          <w:bCs/>
          <w:sz w:val="22"/>
          <w:lang w:val="en"/>
        </w:rPr>
        <w:t>Collusions on the labor market are illegal! Read more about this in the guide prepared by the Office of Competition and Consumer Protection.</w:t>
      </w:r>
    </w:p>
    <w:p w14:paraId="0CB6984D" w14:textId="2610A5C8" w:rsidR="00FB71E9" w:rsidRDefault="00BC3E31" w:rsidP="00FB71E9">
      <w:pPr>
        <w:spacing w:after="240" w:line="360" w:lineRule="auto"/>
        <w:jc w:val="both"/>
        <w:rPr>
          <w:sz w:val="22"/>
        </w:rPr>
      </w:pPr>
      <w:r>
        <w:rPr>
          <w:b/>
          <w:bCs/>
          <w:sz w:val="22"/>
          <w:lang w:val="en"/>
        </w:rPr>
        <w:t xml:space="preserve">[Warsaw, 8 July 2024] </w:t>
      </w:r>
      <w:bookmarkStart w:id="0" w:name="_Hlk171072350"/>
      <w:r>
        <w:rPr>
          <w:sz w:val="22"/>
          <w:lang w:val="en"/>
        </w:rPr>
        <w:t xml:space="preserve">Having been notified and having conducted analyses, the President of UOKiK </w:t>
      </w:r>
      <w:bookmarkEnd w:id="0"/>
      <w:r>
        <w:rPr>
          <w:sz w:val="22"/>
          <w:lang w:val="en"/>
        </w:rPr>
        <w:t xml:space="preserve">initiated an investigation procedure concerning the labor market. He examines the practices applied by retail chains Biedronka and Dino as well as the transport companies serving these businesses. In February and April 2024, with the court’ consent and police assistance, UOKiK employees searched the headquarters of Jeronimo Martins Polska, Dino Polska, and the transport companies. The evidence collected is being analyzed. </w:t>
      </w:r>
    </w:p>
    <w:p w14:paraId="69813312" w14:textId="1861CB9E" w:rsidR="00B42CA0" w:rsidRDefault="00FB71E9" w:rsidP="00B42CA0">
      <w:pPr>
        <w:spacing w:after="240" w:line="360" w:lineRule="auto"/>
        <w:jc w:val="both"/>
        <w:rPr>
          <w:sz w:val="22"/>
        </w:rPr>
      </w:pPr>
      <w:r>
        <w:rPr>
          <w:i/>
          <w:iCs/>
          <w:sz w:val="22"/>
          <w:lang w:val="en"/>
        </w:rPr>
        <w:t>“We suspect that the entrepreneurs providing services for Biedronka and Dino chains might have reached an agreement not to compete with each other for employees.</w:t>
      </w:r>
      <w:r>
        <w:rPr>
          <w:sz w:val="22"/>
          <w:lang w:val="en"/>
        </w:rPr>
        <w:t xml:space="preserve"> </w:t>
      </w:r>
      <w:r>
        <w:rPr>
          <w:i/>
          <w:iCs/>
          <w:sz w:val="22"/>
          <w:lang w:val="en"/>
        </w:rPr>
        <w:t>We are also investigating whether such arrangements could have been coordinated by the retail chains.</w:t>
      </w:r>
      <w:r>
        <w:rPr>
          <w:sz w:val="22"/>
          <w:lang w:val="en"/>
        </w:rPr>
        <w:t xml:space="preserve"> </w:t>
      </w:r>
      <w:r>
        <w:rPr>
          <w:i/>
          <w:iCs/>
          <w:sz w:val="22"/>
          <w:lang w:val="en"/>
        </w:rPr>
        <w:t>The practices analyzed would have resulted in be a lack of flexibility for drivers to change jobs and a limitation on the growth rate of their wages,”</w:t>
      </w:r>
      <w:r>
        <w:rPr>
          <w:sz w:val="22"/>
          <w:lang w:val="en"/>
        </w:rPr>
        <w:t xml:space="preserve"> said UOKiK President Tomasz Chróstny.  </w:t>
      </w:r>
    </w:p>
    <w:p w14:paraId="520BEDE0" w14:textId="2E51B7C0" w:rsidR="00B42CA0" w:rsidRPr="00B42CA0" w:rsidRDefault="00FB71E9" w:rsidP="00B42CA0">
      <w:pPr>
        <w:spacing w:after="240" w:line="360" w:lineRule="auto"/>
        <w:jc w:val="both"/>
        <w:rPr>
          <w:sz w:val="22"/>
        </w:rPr>
      </w:pPr>
      <w:r>
        <w:rPr>
          <w:sz w:val="22"/>
          <w:lang w:val="en"/>
        </w:rPr>
        <w:t xml:space="preserve">As a result of a potential agreement, transport companies may not have hired drivers working for other participants in the suspected collusion. In turn, the discount store owners might have imposed and enforced compliance with the established rules by the transport companies. This could involve a situation where an entrepreneur whose employee left without an agreement would place a “block” on that person within the network. Consequently, the driver would not be able to find employment with another carrier serving the same distribution center. </w:t>
      </w:r>
    </w:p>
    <w:p w14:paraId="2C25AB27" w14:textId="35A95247" w:rsidR="003D0547" w:rsidRPr="00FB71E9" w:rsidRDefault="009F1469" w:rsidP="00FB71E9">
      <w:pPr>
        <w:spacing w:after="240" w:line="360" w:lineRule="auto"/>
        <w:jc w:val="both"/>
        <w:rPr>
          <w:sz w:val="22"/>
        </w:rPr>
      </w:pPr>
      <w:r>
        <w:rPr>
          <w:sz w:val="22"/>
          <w:lang w:val="en"/>
        </w:rPr>
        <w:t xml:space="preserve">Agreements not to compete for employees, also known as no-poaching agreements, impact the most sensitive element of price competition between employers – the wages offered to </w:t>
      </w:r>
      <w:r>
        <w:rPr>
          <w:sz w:val="22"/>
          <w:lang w:val="en"/>
        </w:rPr>
        <w:lastRenderedPageBreak/>
        <w:t xml:space="preserve">employees. Such agreements can result in lower wages or slower wage growth compared to a situation where such collusion does not exist.  </w:t>
      </w:r>
    </w:p>
    <w:p w14:paraId="3C23CB9D" w14:textId="5F6E0390" w:rsidR="003D0547" w:rsidRDefault="003D0547" w:rsidP="003D0547">
      <w:pPr>
        <w:shd w:val="clear" w:color="auto" w:fill="FFFFFF"/>
        <w:spacing w:after="240" w:line="360" w:lineRule="auto"/>
        <w:jc w:val="both"/>
        <w:rPr>
          <w:rFonts w:cs="Tahoma"/>
          <w:color w:val="000000" w:themeColor="text1"/>
          <w:sz w:val="22"/>
          <w:shd w:val="clear" w:color="auto" w:fill="FFFFFF"/>
        </w:rPr>
      </w:pPr>
      <w:r>
        <w:rPr>
          <w:rFonts w:cs="Tahoma"/>
          <w:color w:val="000000" w:themeColor="text1"/>
          <w:sz w:val="22"/>
          <w:shd w:val="clear" w:color="auto" w:fill="FFFFFF"/>
          <w:lang w:val="en"/>
        </w:rPr>
        <w:t xml:space="preserve">The investigation procedure is conducted </w:t>
      </w:r>
      <w:r>
        <w:rPr>
          <w:rFonts w:cs="Tahoma"/>
          <w:i/>
          <w:iCs/>
          <w:color w:val="000000" w:themeColor="text1"/>
          <w:sz w:val="22"/>
          <w:shd w:val="clear" w:color="auto" w:fill="FFFFFF"/>
          <w:lang w:val="en"/>
        </w:rPr>
        <w:t>in rem</w:t>
      </w:r>
      <w:r>
        <w:rPr>
          <w:rFonts w:cs="Tahoma"/>
          <w:color w:val="000000" w:themeColor="text1"/>
          <w:sz w:val="22"/>
          <w:shd w:val="clear" w:color="auto" w:fill="FFFFFF"/>
          <w:lang w:val="en"/>
        </w:rPr>
        <w:t xml:space="preserve"> and not against specific businesses. If the evidence collected confirms the suspicions, the President of the Authority will initiate antitrust proceedings and bring charges against individual entities. An enterprise involved in a competition-restricting agreement faces a fine of up to 10% of its revenue. The managers responsible for entering into the price-fixing arrangement face a fine of up to PLN 2 million.</w:t>
      </w:r>
    </w:p>
    <w:p w14:paraId="52620BB2" w14:textId="5C98044F" w:rsidR="003D0547" w:rsidRDefault="006E16D6" w:rsidP="00DE05E7">
      <w:pPr>
        <w:spacing w:after="240" w:line="360" w:lineRule="auto"/>
        <w:jc w:val="both"/>
        <w:rPr>
          <w:b/>
          <w:sz w:val="22"/>
        </w:rPr>
      </w:pPr>
      <w:r>
        <w:rPr>
          <w:b/>
          <w:bCs/>
          <w:sz w:val="22"/>
          <w:lang w:val="en"/>
        </w:rPr>
        <w:t>Collusions on the labor market are illegal</w:t>
      </w:r>
    </w:p>
    <w:p w14:paraId="646C26B2" w14:textId="4323E056" w:rsidR="00FA254E" w:rsidRPr="00DE05E7" w:rsidRDefault="000F33D0" w:rsidP="00DE05E7">
      <w:pPr>
        <w:spacing w:after="240" w:line="360" w:lineRule="auto"/>
        <w:jc w:val="both"/>
        <w:rPr>
          <w:sz w:val="22"/>
        </w:rPr>
      </w:pPr>
      <w:r>
        <w:rPr>
          <w:sz w:val="22"/>
          <w:lang w:val="en"/>
        </w:rPr>
        <w:t xml:space="preserve">Competition law prohibits agreements that aim at or result in restricting competition. The most well-known examples of prohibited activities are price-fixing, bid-rigging, or market division schemes. Entrepreneurs themselves are not always aware that competition law also applies to markets other than those in which they sell their products. However, competition-restricting agreements </w:t>
      </w:r>
      <w:bookmarkStart w:id="1" w:name="_Hlk171072077"/>
      <w:r>
        <w:rPr>
          <w:sz w:val="22"/>
          <w:lang w:val="en"/>
        </w:rPr>
        <w:t>can also apply to the job market and arrangements concerning employees.</w:t>
      </w:r>
    </w:p>
    <w:bookmarkEnd w:id="1"/>
    <w:p w14:paraId="38204A98" w14:textId="69D6F67A" w:rsidR="00FA254E" w:rsidRDefault="00FA254E" w:rsidP="00FA254E">
      <w:pPr>
        <w:spacing w:after="240" w:line="360" w:lineRule="auto"/>
        <w:jc w:val="both"/>
        <w:rPr>
          <w:sz w:val="22"/>
        </w:rPr>
      </w:pPr>
      <w:r>
        <w:rPr>
          <w:i/>
          <w:iCs/>
          <w:sz w:val="22"/>
          <w:lang w:val="en"/>
        </w:rPr>
        <w:t>“Collusions restricting competition on the labor market negatively impact both employees’ situations and the economic growth rate.</w:t>
      </w:r>
      <w:r>
        <w:rPr>
          <w:sz w:val="22"/>
          <w:lang w:val="en"/>
        </w:rPr>
        <w:t xml:space="preserve"> </w:t>
      </w:r>
      <w:r>
        <w:rPr>
          <w:i/>
          <w:iCs/>
          <w:sz w:val="22"/>
          <w:lang w:val="en"/>
        </w:rPr>
        <w:t>Therefore, we have prepared a special guide explaining when such actions might be illegal and subject to significant financial penalties.</w:t>
      </w:r>
      <w:r>
        <w:rPr>
          <w:sz w:val="22"/>
          <w:lang w:val="en"/>
        </w:rPr>
        <w:t xml:space="preserve"> </w:t>
      </w:r>
      <w:r>
        <w:rPr>
          <w:i/>
          <w:iCs/>
          <w:sz w:val="22"/>
          <w:lang w:val="en"/>
        </w:rPr>
        <w:t>This is essential reading for every employee, HR departments as well as well as large and small entrepreneurs and trade unions,”</w:t>
      </w:r>
      <w:r>
        <w:rPr>
          <w:sz w:val="22"/>
          <w:lang w:val="en"/>
        </w:rPr>
        <w:t xml:space="preserve"> says UOKiK President Tomasz Chróstny.</w:t>
      </w:r>
    </w:p>
    <w:p w14:paraId="49DA7DF6" w14:textId="10A431B2" w:rsidR="00FA254E" w:rsidRDefault="00463062" w:rsidP="00FA254E">
      <w:pPr>
        <w:spacing w:after="240" w:line="360" w:lineRule="auto"/>
        <w:jc w:val="both"/>
        <w:rPr>
          <w:sz w:val="22"/>
        </w:rPr>
      </w:pPr>
      <w:r>
        <w:rPr>
          <w:sz w:val="22"/>
          <w:lang w:val="en"/>
        </w:rPr>
        <w:t xml:space="preserve">The guide entitled </w:t>
      </w:r>
      <w:r w:rsidRPr="004D3225">
        <w:rPr>
          <w:sz w:val="22"/>
          <w:lang w:val="en"/>
        </w:rPr>
        <w:t>“Collusion and abuses on the labor market. Competition law and employees’ matters”</w:t>
      </w:r>
      <w:r>
        <w:rPr>
          <w:sz w:val="22"/>
          <w:lang w:val="en"/>
        </w:rPr>
        <w:t xml:space="preserve"> presents practices that may be prohibited along with practical examples. The stories of Arek and Aurelia help illustrate when the law is violated. </w:t>
      </w:r>
    </w:p>
    <w:p w14:paraId="5E1F30EA" w14:textId="06133097" w:rsidR="00FA254E" w:rsidRPr="00906B19" w:rsidRDefault="00FA254E" w:rsidP="00FA254E">
      <w:pPr>
        <w:spacing w:after="240" w:line="360" w:lineRule="auto"/>
        <w:jc w:val="both"/>
        <w:rPr>
          <w:b/>
          <w:sz w:val="22"/>
        </w:rPr>
      </w:pPr>
      <w:r>
        <w:rPr>
          <w:b/>
          <w:bCs/>
          <w:sz w:val="22"/>
          <w:lang w:val="en"/>
        </w:rPr>
        <w:t>What practices can restrict competition?</w:t>
      </w:r>
    </w:p>
    <w:p w14:paraId="6DA46615" w14:textId="293BC9CD" w:rsidR="00FA254E" w:rsidRDefault="00FA254E" w:rsidP="00FA254E">
      <w:pPr>
        <w:spacing w:after="240" w:line="360" w:lineRule="auto"/>
        <w:jc w:val="both"/>
        <w:rPr>
          <w:sz w:val="22"/>
        </w:rPr>
      </w:pPr>
      <w:r>
        <w:rPr>
          <w:sz w:val="22"/>
          <w:lang w:val="en"/>
        </w:rPr>
        <w:t xml:space="preserve">Jointly setting wage levels for employees, for example lowering or setting an upper limit on salaries or not giving raises, known as </w:t>
      </w:r>
      <w:r>
        <w:rPr>
          <w:b/>
          <w:bCs/>
          <w:sz w:val="22"/>
          <w:lang w:val="en"/>
        </w:rPr>
        <w:t>wage-fixing</w:t>
      </w:r>
      <w:r>
        <w:rPr>
          <w:sz w:val="22"/>
          <w:lang w:val="en"/>
        </w:rPr>
        <w:t xml:space="preserve">, is prohibited. In such cases, colluding entrepreneurs eliminate the risk that an employee will leave after receiving a better offer from a competitor. </w:t>
      </w:r>
    </w:p>
    <w:p w14:paraId="56ED351B" w14:textId="765DEB84" w:rsidR="00FA254E" w:rsidRPr="00661E74" w:rsidRDefault="00FA254E" w:rsidP="00FA254E">
      <w:pPr>
        <w:spacing w:after="240" w:line="360" w:lineRule="auto"/>
        <w:jc w:val="both"/>
        <w:rPr>
          <w:sz w:val="22"/>
        </w:rPr>
      </w:pPr>
      <w:r>
        <w:rPr>
          <w:sz w:val="22"/>
          <w:lang w:val="en"/>
        </w:rPr>
        <w:lastRenderedPageBreak/>
        <w:t xml:space="preserve">Another example of a law violation are agreements not to compete for employees, known as </w:t>
      </w:r>
      <w:r>
        <w:rPr>
          <w:b/>
          <w:bCs/>
          <w:sz w:val="22"/>
          <w:lang w:val="en"/>
        </w:rPr>
        <w:t>no-poaching agreements</w:t>
      </w:r>
      <w:r>
        <w:rPr>
          <w:sz w:val="22"/>
          <w:lang w:val="en"/>
        </w:rPr>
        <w:t xml:space="preserve">. This way, entrepreneurs eliminate the risk of a competitor recruiting their employees. They might agree, for example, not to </w:t>
      </w:r>
      <w:r>
        <w:rPr>
          <w:b/>
          <w:bCs/>
          <w:sz w:val="22"/>
          <w:lang w:val="en"/>
        </w:rPr>
        <w:t>actively</w:t>
      </w:r>
      <w:r>
        <w:rPr>
          <w:sz w:val="22"/>
          <w:lang w:val="en"/>
        </w:rPr>
        <w:t xml:space="preserve"> seek each other’s employees. Such arrangements can also take a more </w:t>
      </w:r>
      <w:r>
        <w:rPr>
          <w:b/>
          <w:bCs/>
          <w:sz w:val="22"/>
          <w:lang w:val="en"/>
        </w:rPr>
        <w:t>passive</w:t>
      </w:r>
      <w:r>
        <w:rPr>
          <w:sz w:val="22"/>
          <w:lang w:val="en"/>
        </w:rPr>
        <w:t xml:space="preserve"> form, such as employers not pursuing a job interview if they receive a CV from an employee of the other party involved in the collusion.</w:t>
      </w:r>
    </w:p>
    <w:p w14:paraId="651B21DA" w14:textId="0C211A1F" w:rsidR="00FA254E" w:rsidRDefault="00FA254E" w:rsidP="00FA254E">
      <w:pPr>
        <w:spacing w:after="240" w:line="360" w:lineRule="auto"/>
        <w:jc w:val="both"/>
        <w:rPr>
          <w:sz w:val="22"/>
        </w:rPr>
      </w:pPr>
      <w:r>
        <w:rPr>
          <w:sz w:val="22"/>
          <w:lang w:val="en"/>
        </w:rPr>
        <w:t xml:space="preserve">Jointly setting other working conditions that affect an employer’s attractiveness, such as the number of remote work days, can also be prohibited. </w:t>
      </w:r>
    </w:p>
    <w:p w14:paraId="5CEE8840" w14:textId="77777777" w:rsidR="00FA254E" w:rsidRPr="00906B19" w:rsidRDefault="00FA254E" w:rsidP="00FA254E">
      <w:pPr>
        <w:spacing w:after="240" w:line="360" w:lineRule="auto"/>
        <w:jc w:val="both"/>
        <w:rPr>
          <w:b/>
          <w:sz w:val="22"/>
        </w:rPr>
      </w:pPr>
      <w:r>
        <w:rPr>
          <w:b/>
          <w:bCs/>
          <w:sz w:val="22"/>
          <w:lang w:val="en"/>
        </w:rPr>
        <w:t>Not just employment contracts</w:t>
      </w:r>
    </w:p>
    <w:p w14:paraId="45EDFA35" w14:textId="59D3FCC0" w:rsidR="00FA254E" w:rsidRPr="00F05422" w:rsidRDefault="00463062" w:rsidP="00F05422">
      <w:pPr>
        <w:pStyle w:val="Tekstkomentarza"/>
        <w:spacing w:after="240" w:line="360" w:lineRule="auto"/>
        <w:jc w:val="both"/>
        <w:rPr>
          <w:sz w:val="22"/>
          <w:szCs w:val="22"/>
        </w:rPr>
      </w:pPr>
      <w:r>
        <w:rPr>
          <w:sz w:val="22"/>
          <w:szCs w:val="22"/>
          <w:lang w:val="en"/>
        </w:rPr>
        <w:t xml:space="preserve">The guide, describing the stories of several characters, explains that employees within the meaning of competition protection law include not only those employed under a standard employment contract but also other individuals providing work, such as those signing contracts of mandate and those running sole proprietorships. This can include developers performing tasks for an IT company or athletes in a sports club. In 2022 and 2023, the President of UOKiK issued decisions regarding the setting of players’ wages in league </w:t>
      </w:r>
      <w:hyperlink r:id="rId9" w:history="1">
        <w:r>
          <w:rPr>
            <w:rStyle w:val="Hipercze"/>
            <w:sz w:val="22"/>
            <w:szCs w:val="22"/>
            <w:lang w:val="en"/>
          </w:rPr>
          <w:t>bask</w:t>
        </w:r>
        <w:r>
          <w:rPr>
            <w:rStyle w:val="Hipercze"/>
            <w:sz w:val="22"/>
            <w:szCs w:val="22"/>
            <w:lang w:val="en"/>
          </w:rPr>
          <w:t>e</w:t>
        </w:r>
        <w:r>
          <w:rPr>
            <w:rStyle w:val="Hipercze"/>
            <w:sz w:val="22"/>
            <w:szCs w:val="22"/>
            <w:lang w:val="en"/>
          </w:rPr>
          <w:t>tball</w:t>
        </w:r>
      </w:hyperlink>
      <w:r>
        <w:rPr>
          <w:sz w:val="22"/>
          <w:szCs w:val="22"/>
          <w:lang w:val="en"/>
        </w:rPr>
        <w:t xml:space="preserve"> and </w:t>
      </w:r>
      <w:hyperlink r:id="rId10" w:history="1">
        <w:r>
          <w:rPr>
            <w:rStyle w:val="Hipercze"/>
            <w:sz w:val="22"/>
            <w:szCs w:val="22"/>
            <w:lang w:val="en"/>
          </w:rPr>
          <w:t>spee</w:t>
        </w:r>
        <w:r>
          <w:rPr>
            <w:rStyle w:val="Hipercze"/>
            <w:sz w:val="22"/>
            <w:szCs w:val="22"/>
            <w:lang w:val="en"/>
          </w:rPr>
          <w:t>d</w:t>
        </w:r>
        <w:bookmarkStart w:id="2" w:name="_GoBack"/>
        <w:bookmarkEnd w:id="2"/>
        <w:r>
          <w:rPr>
            <w:rStyle w:val="Hipercze"/>
            <w:sz w:val="22"/>
            <w:szCs w:val="22"/>
            <w:lang w:val="en"/>
          </w:rPr>
          <w:t>way</w:t>
        </w:r>
      </w:hyperlink>
      <w:r>
        <w:rPr>
          <w:sz w:val="22"/>
          <w:szCs w:val="22"/>
          <w:lang w:val="en"/>
        </w:rPr>
        <w:t xml:space="preserve"> matches.    </w:t>
      </w:r>
    </w:p>
    <w:p w14:paraId="55A49FDD" w14:textId="77777777" w:rsidR="00FA254E" w:rsidRPr="00F05422" w:rsidRDefault="00FA254E" w:rsidP="00F05422">
      <w:pPr>
        <w:spacing w:after="240" w:line="360" w:lineRule="auto"/>
        <w:jc w:val="both"/>
        <w:rPr>
          <w:b/>
          <w:sz w:val="22"/>
        </w:rPr>
      </w:pPr>
      <w:r>
        <w:rPr>
          <w:b/>
          <w:bCs/>
          <w:sz w:val="22"/>
          <w:lang w:val="en"/>
        </w:rPr>
        <w:t>What about non-compete clause?</w:t>
      </w:r>
    </w:p>
    <w:p w14:paraId="2320B3CF" w14:textId="765644FC" w:rsidR="007651AC" w:rsidRPr="007651AC" w:rsidRDefault="00FA254E" w:rsidP="007651AC">
      <w:pPr>
        <w:spacing w:after="240" w:line="360" w:lineRule="auto"/>
        <w:jc w:val="both"/>
        <w:rPr>
          <w:color w:val="000000" w:themeColor="text1"/>
          <w:sz w:val="22"/>
        </w:rPr>
      </w:pPr>
      <w:r>
        <w:rPr>
          <w:color w:val="000000" w:themeColor="text1"/>
          <w:sz w:val="22"/>
          <w:lang w:val="en"/>
        </w:rPr>
        <w:t xml:space="preserve">Another issue clarified by the President of UOKiK is the non-compete clause. These clauses prohibit an employee from taking up employment with a competitor of their current employer after terminating their employment or from performing tasks for other entities during their employment. If such clauses are included in contracts as a result of arrangements with other entities, they may constitute a violation of competition law. </w:t>
      </w:r>
    </w:p>
    <w:p w14:paraId="3923EAAC" w14:textId="4DB14D64" w:rsidR="00FA254E" w:rsidRPr="00063817" w:rsidRDefault="00FA254E" w:rsidP="00FA254E">
      <w:pPr>
        <w:spacing w:after="240" w:line="360" w:lineRule="auto"/>
        <w:jc w:val="both"/>
        <w:rPr>
          <w:b/>
          <w:color w:val="000000" w:themeColor="text1"/>
          <w:sz w:val="22"/>
        </w:rPr>
      </w:pPr>
      <w:r>
        <w:rPr>
          <w:b/>
          <w:bCs/>
          <w:color w:val="000000" w:themeColor="text1"/>
          <w:sz w:val="22"/>
          <w:lang w:val="en"/>
        </w:rPr>
        <w:t xml:space="preserve">HR Managers, </w:t>
      </w:r>
      <w:r w:rsidR="00CA796C">
        <w:rPr>
          <w:b/>
          <w:bCs/>
          <w:color w:val="000000" w:themeColor="text1"/>
          <w:sz w:val="22"/>
          <w:lang w:val="en"/>
        </w:rPr>
        <w:t>this</w:t>
      </w:r>
      <w:r>
        <w:rPr>
          <w:b/>
          <w:bCs/>
          <w:color w:val="000000" w:themeColor="text1"/>
          <w:sz w:val="22"/>
          <w:lang w:val="en"/>
        </w:rPr>
        <w:t xml:space="preserve"> is essential reading for you!</w:t>
      </w:r>
    </w:p>
    <w:p w14:paraId="31EEA493" w14:textId="6D420A77" w:rsidR="00FA254E" w:rsidRDefault="00FA254E" w:rsidP="00FA254E">
      <w:pPr>
        <w:spacing w:after="240" w:line="360" w:lineRule="auto"/>
        <w:jc w:val="both"/>
        <w:rPr>
          <w:color w:val="000000" w:themeColor="text1"/>
          <w:sz w:val="22"/>
        </w:rPr>
      </w:pPr>
      <w:r>
        <w:rPr>
          <w:color w:val="000000" w:themeColor="text1"/>
          <w:sz w:val="22"/>
          <w:lang w:val="en"/>
        </w:rPr>
        <w:t>One group that must read the document prepared by UOK</w:t>
      </w:r>
      <w:r w:rsidR="00CA796C">
        <w:rPr>
          <w:color w:val="000000" w:themeColor="text1"/>
          <w:sz w:val="22"/>
          <w:lang w:val="en"/>
        </w:rPr>
        <w:t>i</w:t>
      </w:r>
      <w:r>
        <w:rPr>
          <w:color w:val="000000" w:themeColor="text1"/>
          <w:sz w:val="22"/>
          <w:lang w:val="en"/>
        </w:rPr>
        <w:t xml:space="preserve">K are those in charge of human resources (HR) departments. It is crucial to remember that even informal arrangements with counterparts from competing companies can be considered a competition-restricting agreement. We remind you that severe penalties are at stake – up to 10% of turnover for an </w:t>
      </w:r>
      <w:r>
        <w:rPr>
          <w:color w:val="000000" w:themeColor="text1"/>
          <w:sz w:val="22"/>
          <w:lang w:val="en"/>
        </w:rPr>
        <w:lastRenderedPageBreak/>
        <w:t>entrepreneur and up to PLN 2 million for managers who are directly responsible for the prohibited practice.</w:t>
      </w:r>
    </w:p>
    <w:p w14:paraId="7381A0E5" w14:textId="77777777" w:rsidR="0018446F" w:rsidRPr="00906B19" w:rsidRDefault="0018446F" w:rsidP="0018446F">
      <w:pPr>
        <w:spacing w:after="240" w:line="360" w:lineRule="auto"/>
        <w:jc w:val="both"/>
        <w:rPr>
          <w:b/>
          <w:color w:val="000000" w:themeColor="text1"/>
          <w:sz w:val="22"/>
        </w:rPr>
      </w:pPr>
      <w:r>
        <w:rPr>
          <w:b/>
          <w:bCs/>
          <w:color w:val="000000" w:themeColor="text1"/>
          <w:sz w:val="22"/>
          <w:lang w:val="en"/>
        </w:rPr>
        <w:t>Notify UOKiK</w:t>
      </w:r>
    </w:p>
    <w:p w14:paraId="3D32E145" w14:textId="3FD2887E" w:rsidR="00CE2563" w:rsidRDefault="0018446F" w:rsidP="0018446F">
      <w:pPr>
        <w:spacing w:after="240" w:line="360" w:lineRule="auto"/>
        <w:jc w:val="both"/>
        <w:rPr>
          <w:color w:val="000000" w:themeColor="text1"/>
          <w:sz w:val="22"/>
        </w:rPr>
      </w:pPr>
      <w:r>
        <w:rPr>
          <w:color w:val="000000" w:themeColor="text1"/>
          <w:sz w:val="22"/>
          <w:lang w:val="en"/>
        </w:rPr>
        <w:t xml:space="preserve">If you know that your current or former company has entered into one of the agreements described above or if you cannot change jobs because of them, notify UOKiK. UOKiK operates a program to acquire information from anonymous whistleblowers. Visit </w:t>
      </w:r>
      <w:hyperlink r:id="rId11" w:history="1">
        <w:r>
          <w:rPr>
            <w:rStyle w:val="Hipercze"/>
            <w:color w:val="000000" w:themeColor="text1"/>
            <w:sz w:val="22"/>
            <w:lang w:val="en"/>
          </w:rPr>
          <w:t>https://uokik.whiblo.pl/</w:t>
        </w:r>
      </w:hyperlink>
      <w:r>
        <w:rPr>
          <w:color w:val="000000" w:themeColor="text1"/>
          <w:sz w:val="22"/>
          <w:lang w:val="en"/>
        </w:rPr>
        <w:t xml:space="preserve"> or scan the QR code below. The system we use guarantees full anonymity, including from the Competition Authority.</w:t>
      </w:r>
    </w:p>
    <w:p w14:paraId="0ACB281D" w14:textId="2ECE87F3" w:rsidR="00F27A05" w:rsidRDefault="00F27A05" w:rsidP="0018446F">
      <w:pPr>
        <w:spacing w:after="240" w:line="360" w:lineRule="auto"/>
        <w:jc w:val="both"/>
        <w:rPr>
          <w:color w:val="000000" w:themeColor="text1"/>
          <w:sz w:val="22"/>
        </w:rPr>
      </w:pPr>
      <w:r>
        <w:rPr>
          <w:noProof/>
          <w:lang w:val="en"/>
        </w:rPr>
        <w:drawing>
          <wp:inline distT="0" distB="0" distL="0" distR="0" wp14:anchorId="44423D95" wp14:editId="3C4161D5">
            <wp:extent cx="2859405" cy="2859405"/>
            <wp:effectExtent l="0" t="0" r="0" b="0"/>
            <wp:docPr id="2" name="Obraz 2" descr="C28403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28403F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9405" cy="2859405"/>
                    </a:xfrm>
                    <a:prstGeom prst="rect">
                      <a:avLst/>
                    </a:prstGeom>
                    <a:noFill/>
                    <a:ln>
                      <a:noFill/>
                    </a:ln>
                  </pic:spPr>
                </pic:pic>
              </a:graphicData>
            </a:graphic>
          </wp:inline>
        </w:drawing>
      </w:r>
    </w:p>
    <w:p w14:paraId="4F065D76" w14:textId="07B4FFE3" w:rsidR="0018446F" w:rsidRPr="004539D3" w:rsidRDefault="00CE2563" w:rsidP="0018446F">
      <w:pPr>
        <w:spacing w:after="240" w:line="360" w:lineRule="auto"/>
        <w:jc w:val="both"/>
        <w:rPr>
          <w:b/>
          <w:color w:val="000000" w:themeColor="text1"/>
          <w:sz w:val="22"/>
        </w:rPr>
      </w:pPr>
      <w:r>
        <w:rPr>
          <w:b/>
          <w:bCs/>
          <w:color w:val="000000" w:themeColor="text1"/>
          <w:sz w:val="22"/>
          <w:lang w:val="en"/>
        </w:rPr>
        <w:t>Colluded? You Can avoid penalty</w:t>
      </w:r>
    </w:p>
    <w:p w14:paraId="423C63D7" w14:textId="45C9601C" w:rsidR="0018446F" w:rsidRPr="00AA64FE" w:rsidRDefault="0018446F" w:rsidP="0018446F">
      <w:pPr>
        <w:shd w:val="clear" w:color="auto" w:fill="FFFFFF"/>
        <w:spacing w:after="240" w:line="360" w:lineRule="atLeast"/>
        <w:jc w:val="both"/>
        <w:rPr>
          <w:rFonts w:cs="Arial"/>
          <w:color w:val="000000" w:themeColor="text1"/>
          <w:sz w:val="22"/>
        </w:rPr>
      </w:pPr>
      <w:r>
        <w:rPr>
          <w:color w:val="000000" w:themeColor="text1"/>
          <w:sz w:val="22"/>
          <w:lang w:val="en"/>
        </w:rPr>
        <w:t xml:space="preserve">If you have entered into an anti-competitive agreement regarding employees, you can avoid financial penalties thanks to the </w:t>
      </w:r>
      <w:hyperlink r:id="rId13" w:tgtFrame="_blank" w:history="1">
        <w:r>
          <w:rPr>
            <w:rStyle w:val="Hipercze"/>
            <w:rFonts w:cs="Arial"/>
            <w:color w:val="000000" w:themeColor="text1"/>
            <w:sz w:val="22"/>
            <w:lang w:val="en"/>
          </w:rPr>
          <w:t>leniency scheme</w:t>
        </w:r>
      </w:hyperlink>
      <w:r>
        <w:rPr>
          <w:color w:val="000000" w:themeColor="text1"/>
          <w:sz w:val="22"/>
          <w:lang w:val="en"/>
        </w:rPr>
        <w:t>. It is applicable to those who agree to cooperate with the President of UOKiK as a “crown witness” and provide any and all evidence or information on the illegal agreement. </w:t>
      </w:r>
    </w:p>
    <w:p w14:paraId="21CEFF22" w14:textId="67ACF8F2" w:rsidR="0018446F" w:rsidRDefault="0018446F" w:rsidP="0018446F">
      <w:pPr>
        <w:shd w:val="clear" w:color="auto" w:fill="FFFFFF"/>
        <w:spacing w:after="240" w:line="360" w:lineRule="atLeast"/>
        <w:jc w:val="both"/>
        <w:rPr>
          <w:rFonts w:cs="Arial"/>
          <w:color w:val="000000" w:themeColor="text1"/>
          <w:sz w:val="22"/>
        </w:rPr>
      </w:pPr>
      <w:r>
        <w:rPr>
          <w:rFonts w:cs="Arial"/>
          <w:color w:val="000000" w:themeColor="text1"/>
          <w:sz w:val="22"/>
          <w:lang w:val="en"/>
        </w:rPr>
        <w:t>Entrepreneurs and managers interested in the leniency scheme are encouraged to contact the Authority. By calling 22 55 60 555, you will be able to talk to UOKiK lawyers, who will answer all of your questions, also anonymous ones, related to leniency applications. </w:t>
      </w:r>
    </w:p>
    <w:p w14:paraId="71D75346" w14:textId="4B8083A2" w:rsidR="003850E7" w:rsidRPr="003850E7" w:rsidRDefault="003850E7" w:rsidP="0018446F">
      <w:pPr>
        <w:shd w:val="clear" w:color="auto" w:fill="FFFFFF"/>
        <w:spacing w:after="240" w:line="360" w:lineRule="atLeast"/>
        <w:jc w:val="both"/>
        <w:rPr>
          <w:rFonts w:cs="Arial"/>
          <w:b/>
          <w:color w:val="000000" w:themeColor="text1"/>
          <w:sz w:val="22"/>
        </w:rPr>
      </w:pPr>
      <w:r>
        <w:rPr>
          <w:rFonts w:cs="Arial"/>
          <w:b/>
          <w:bCs/>
          <w:color w:val="000000" w:themeColor="text1"/>
          <w:sz w:val="22"/>
          <w:lang w:val="en"/>
        </w:rPr>
        <w:lastRenderedPageBreak/>
        <w:t>Contact the National Labor Inspectorate</w:t>
      </w:r>
    </w:p>
    <w:p w14:paraId="217659D5" w14:textId="2E4AA354" w:rsidR="00B42CA0" w:rsidRPr="00B42CA0" w:rsidRDefault="00B42CA0" w:rsidP="00B42CA0">
      <w:pPr>
        <w:shd w:val="clear" w:color="auto" w:fill="FFFFFF"/>
        <w:spacing w:after="240" w:line="360" w:lineRule="auto"/>
        <w:jc w:val="both"/>
        <w:rPr>
          <w:rFonts w:cs="Arial"/>
          <w:color w:val="000000" w:themeColor="text1"/>
          <w:sz w:val="22"/>
        </w:rPr>
      </w:pPr>
      <w:r>
        <w:rPr>
          <w:color w:val="000000" w:themeColor="text1"/>
          <w:sz w:val="22"/>
          <w:lang w:val="en"/>
        </w:rPr>
        <w:t xml:space="preserve">We remind you that the President of UOKiK’s competencies on the labor market only pertain to business collusions. </w:t>
      </w:r>
      <w:r>
        <w:rPr>
          <w:color w:val="212121"/>
          <w:sz w:val="22"/>
          <w:shd w:val="clear" w:color="auto" w:fill="FFFFFF"/>
          <w:lang w:val="en"/>
        </w:rPr>
        <w:t xml:space="preserve">If you have issues such as workplace safety, legality of employment, wage payments, or working hours, report them to the </w:t>
      </w:r>
      <w:hyperlink r:id="rId14" w:tgtFrame="_blank" w:history="1">
        <w:r>
          <w:rPr>
            <w:rStyle w:val="Hipercze"/>
            <w:color w:val="0563C1"/>
            <w:sz w:val="22"/>
            <w:shd w:val="clear" w:color="auto" w:fill="FFFFFF"/>
            <w:lang w:val="en"/>
          </w:rPr>
          <w:t>National Labor Inspectorate</w:t>
        </w:r>
        <w:r>
          <w:rPr>
            <w:rStyle w:val="Hipercze"/>
            <w:color w:val="0563C1"/>
            <w:sz w:val="22"/>
            <w:u w:val="none"/>
            <w:shd w:val="clear" w:color="auto" w:fill="FFFFFF"/>
            <w:lang w:val="en"/>
          </w:rPr>
          <w:t>.</w:t>
        </w:r>
      </w:hyperlink>
      <w:r w:rsidR="003C362A">
        <w:rPr>
          <w:rStyle w:val="Hipercze"/>
          <w:color w:val="0563C1"/>
          <w:sz w:val="22"/>
          <w:u w:val="none"/>
          <w:shd w:val="clear" w:color="auto" w:fill="FFFFFF"/>
          <w:lang w:val="en"/>
        </w:rPr>
        <w:t xml:space="preserve"> </w:t>
      </w:r>
      <w:r>
        <w:rPr>
          <w:color w:val="212121"/>
          <w:sz w:val="22"/>
          <w:shd w:val="clear" w:color="auto" w:fill="FFFFFF"/>
          <w:lang w:val="en"/>
        </w:rPr>
        <w:t xml:space="preserve">You can get advice on employees’ rights violations at: </w:t>
      </w:r>
      <w:hyperlink r:id="rId15" w:tgtFrame="_blank" w:history="1">
        <w:r>
          <w:rPr>
            <w:rStyle w:val="Hipercze"/>
            <w:rFonts w:cs="Arial"/>
            <w:sz w:val="22"/>
            <w:shd w:val="clear" w:color="auto" w:fill="FFFFFF"/>
            <w:lang w:val="en"/>
          </w:rPr>
          <w:t>https://www.pip.gov.pl/kontakt/uzyskaj-porade</w:t>
        </w:r>
        <w:r>
          <w:rPr>
            <w:rStyle w:val="Hipercze"/>
            <w:rFonts w:cs="Arial"/>
            <w:sz w:val="22"/>
            <w:u w:val="none"/>
            <w:shd w:val="clear" w:color="auto" w:fill="FFFFFF"/>
            <w:lang w:val="en"/>
          </w:rPr>
          <w:t>.</w:t>
        </w:r>
      </w:hyperlink>
    </w:p>
    <w:p w14:paraId="086E059C" w14:textId="38965461" w:rsidR="00CE2563" w:rsidRPr="003850E7" w:rsidRDefault="00CE2563" w:rsidP="00AA64FE">
      <w:pPr>
        <w:shd w:val="clear" w:color="auto" w:fill="FFFFFF"/>
        <w:spacing w:after="240" w:line="360" w:lineRule="auto"/>
        <w:jc w:val="both"/>
        <w:rPr>
          <w:rFonts w:cs="Tahoma"/>
          <w:color w:val="000000" w:themeColor="text1"/>
          <w:sz w:val="22"/>
          <w:shd w:val="clear" w:color="auto" w:fill="FFFFFF"/>
        </w:rPr>
      </w:pPr>
    </w:p>
    <w:sectPr w:rsidR="00CE2563" w:rsidRPr="003850E7" w:rsidSect="00240013">
      <w:headerReference w:type="default" r:id="rId16"/>
      <w:footerReference w:type="default" r:id="rId17"/>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5E26E" w14:textId="77777777" w:rsidR="000D4549" w:rsidRDefault="000D4549">
      <w:r>
        <w:separator/>
      </w:r>
    </w:p>
  </w:endnote>
  <w:endnote w:type="continuationSeparator" w:id="0">
    <w:p w14:paraId="170E471C" w14:textId="77777777" w:rsidR="000D4549" w:rsidRDefault="000D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E346" w14:textId="77777777" w:rsidR="00F02FF6"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22 55 60 246    MOBILE: +48 695 902 088</w:t>
    </w:r>
  </w:p>
  <w:p w14:paraId="24ACC102" w14:textId="77777777" w:rsidR="00F02FF6"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E5B92" w14:textId="77777777" w:rsidR="000D4549" w:rsidRDefault="000D4549">
      <w:r>
        <w:separator/>
      </w:r>
    </w:p>
  </w:footnote>
  <w:footnote w:type="continuationSeparator" w:id="0">
    <w:p w14:paraId="7B438739" w14:textId="77777777" w:rsidR="000D4549" w:rsidRDefault="000D4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D42E" w14:textId="77777777" w:rsidR="00F02FF6" w:rsidRDefault="00C81210" w:rsidP="0041396E">
    <w:pPr>
      <w:pStyle w:val="Nagwek"/>
      <w:tabs>
        <w:tab w:val="clear" w:pos="9072"/>
      </w:tabs>
    </w:pPr>
    <w:r>
      <w:rPr>
        <w:noProof/>
        <w:lang w:val="en"/>
      </w:rPr>
      <w:drawing>
        <wp:inline distT="0" distB="0" distL="0" distR="0" wp14:anchorId="05CEB710" wp14:editId="66518FB7">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BDB"/>
    <w:multiLevelType w:val="hybridMultilevel"/>
    <w:tmpl w:val="4FC6A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7165652"/>
    <w:multiLevelType w:val="hybridMultilevel"/>
    <w:tmpl w:val="099024C8"/>
    <w:lvl w:ilvl="0" w:tplc="BFA00D72">
      <w:start w:val="1"/>
      <w:numFmt w:val="decimal"/>
      <w:lvlText w:val="%1."/>
      <w:lvlJc w:val="right"/>
      <w:pPr>
        <w:ind w:left="624" w:hanging="264"/>
      </w:pPr>
      <w:rPr>
        <w:rFonts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25070F"/>
    <w:multiLevelType w:val="hybridMultilevel"/>
    <w:tmpl w:val="CCD24C9A"/>
    <w:lvl w:ilvl="0" w:tplc="08DE82A0">
      <w:start w:val="1"/>
      <w:numFmt w:val="lowerRoman"/>
      <w:lvlText w:val="(%1)"/>
      <w:lvlJc w:val="right"/>
      <w:pPr>
        <w:ind w:left="1985" w:hanging="284"/>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AC58BB"/>
    <w:multiLevelType w:val="hybridMultilevel"/>
    <w:tmpl w:val="74C4EF72"/>
    <w:styleLink w:val="WasnyStyl1"/>
    <w:lvl w:ilvl="0" w:tplc="B2D29BD4">
      <w:start w:val="1"/>
      <w:numFmt w:val="upperRoman"/>
      <w:pStyle w:val="Sentencja"/>
      <w:lvlText w:val="%1."/>
      <w:lvlJc w:val="right"/>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684D301D"/>
    <w:multiLevelType w:val="hybridMultilevel"/>
    <w:tmpl w:val="27740E38"/>
    <w:lvl w:ilvl="0" w:tplc="5562F7DA">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A0871A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A4639E"/>
    <w:multiLevelType w:val="hybridMultilevel"/>
    <w:tmpl w:val="C04E2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ECE1DE1"/>
    <w:multiLevelType w:val="hybridMultilevel"/>
    <w:tmpl w:val="730643D0"/>
    <w:lvl w:ilvl="0" w:tplc="07080D14">
      <w:start w:val="1"/>
      <w:numFmt w:val="decimal"/>
      <w:lvlText w:val="(%1)"/>
      <w:lvlJc w:val="left"/>
      <w:pPr>
        <w:ind w:left="851" w:hanging="851"/>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7C2809"/>
    <w:multiLevelType w:val="multilevel"/>
    <w:tmpl w:val="51048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1BB71CB"/>
    <w:multiLevelType w:val="hybridMultilevel"/>
    <w:tmpl w:val="A5BED532"/>
    <w:lvl w:ilvl="0" w:tplc="9CE80FE4">
      <w:start w:val="1"/>
      <w:numFmt w:val="decimal"/>
      <w:pStyle w:val="TekstNB2"/>
      <w:lvlText w:val="(%1)"/>
      <w:lvlJc w:val="left"/>
      <w:pPr>
        <w:ind w:left="851" w:hanging="851"/>
      </w:pPr>
      <w:rPr>
        <w:rFonts w:ascii="Times New Roman" w:hAnsi="Times New Roman"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B505B2"/>
    <w:multiLevelType w:val="multilevel"/>
    <w:tmpl w:val="BE88E71A"/>
    <w:lvl w:ilvl="0">
      <w:start w:val="1"/>
      <w:numFmt w:val="decimal"/>
      <w:pStyle w:val="Nagwek1"/>
      <w:lvlText w:val="%1."/>
      <w:lvlJc w:val="left"/>
      <w:pPr>
        <w:ind w:left="863" w:hanging="432"/>
      </w:pPr>
    </w:lvl>
    <w:lvl w:ilvl="1">
      <w:start w:val="1"/>
      <w:numFmt w:val="decimal"/>
      <w:pStyle w:val="Nagwek2"/>
      <w:lvlText w:val="%1.%2."/>
      <w:lvlJc w:val="left"/>
      <w:pPr>
        <w:ind w:left="1007" w:hanging="576"/>
      </w:pPr>
    </w:lvl>
    <w:lvl w:ilvl="2">
      <w:start w:val="1"/>
      <w:numFmt w:val="decimal"/>
      <w:pStyle w:val="Nagwek3"/>
      <w:lvlText w:val="%1.%2.%3"/>
      <w:lvlJc w:val="left"/>
      <w:pPr>
        <w:ind w:left="1151" w:hanging="720"/>
      </w:pPr>
    </w:lvl>
    <w:lvl w:ilvl="3">
      <w:start w:val="1"/>
      <w:numFmt w:val="decimal"/>
      <w:pStyle w:val="Nagwek4"/>
      <w:lvlText w:val="%1.%2.%3.%4"/>
      <w:lvlJc w:val="left"/>
      <w:pPr>
        <w:ind w:left="1295" w:hanging="864"/>
      </w:pPr>
    </w:lvl>
    <w:lvl w:ilvl="4">
      <w:start w:val="1"/>
      <w:numFmt w:val="decimal"/>
      <w:pStyle w:val="Nagwek5"/>
      <w:lvlText w:val="%1.%2.%3.%4.%5"/>
      <w:lvlJc w:val="left"/>
      <w:pPr>
        <w:ind w:left="1439" w:hanging="1008"/>
      </w:pPr>
    </w:lvl>
    <w:lvl w:ilvl="5">
      <w:start w:val="1"/>
      <w:numFmt w:val="decimal"/>
      <w:pStyle w:val="Nagwek6"/>
      <w:lvlText w:val="%1.%2.%3.%4.%5.%6"/>
      <w:lvlJc w:val="left"/>
      <w:pPr>
        <w:ind w:left="1583" w:hanging="1152"/>
      </w:pPr>
    </w:lvl>
    <w:lvl w:ilvl="6">
      <w:start w:val="1"/>
      <w:numFmt w:val="decimal"/>
      <w:pStyle w:val="Nagwek7"/>
      <w:lvlText w:val="%1.%2.%3.%4.%5.%6.%7"/>
      <w:lvlJc w:val="left"/>
      <w:pPr>
        <w:ind w:left="1727" w:hanging="1296"/>
      </w:pPr>
    </w:lvl>
    <w:lvl w:ilvl="7">
      <w:start w:val="1"/>
      <w:numFmt w:val="decimal"/>
      <w:pStyle w:val="Nagwek8"/>
      <w:lvlText w:val="%1.%2.%3.%4.%5.%6.%7.%8"/>
      <w:lvlJc w:val="left"/>
      <w:pPr>
        <w:ind w:left="1871" w:hanging="1440"/>
      </w:pPr>
    </w:lvl>
    <w:lvl w:ilvl="8">
      <w:start w:val="1"/>
      <w:numFmt w:val="decimal"/>
      <w:pStyle w:val="Nagwek9"/>
      <w:lvlText w:val="%1.%2.%3.%4.%5.%6.%7.%8.%9"/>
      <w:lvlJc w:val="left"/>
      <w:pPr>
        <w:ind w:left="2015" w:hanging="1584"/>
      </w:pPr>
    </w:lvl>
  </w:abstractNum>
  <w:num w:numId="1">
    <w:abstractNumId w:val="5"/>
  </w:num>
  <w:num w:numId="2">
    <w:abstractNumId w:val="8"/>
  </w:num>
  <w:num w:numId="3">
    <w:abstractNumId w:val="1"/>
  </w:num>
  <w:num w:numId="4">
    <w:abstractNumId w:val="19"/>
  </w:num>
  <w:num w:numId="5">
    <w:abstractNumId w:val="2"/>
  </w:num>
  <w:num w:numId="6">
    <w:abstractNumId w:val="9"/>
  </w:num>
  <w:num w:numId="7">
    <w:abstractNumId w:val="3"/>
  </w:num>
  <w:num w:numId="8">
    <w:abstractNumId w:val="13"/>
  </w:num>
  <w:num w:numId="9">
    <w:abstractNumId w:val="17"/>
  </w:num>
  <w:num w:numId="10">
    <w:abstractNumId w:val="4"/>
  </w:num>
  <w:num w:numId="11">
    <w:abstractNumId w:val="14"/>
  </w:num>
  <w:num w:numId="12">
    <w:abstractNumId w:val="1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16627"/>
    <w:rsid w:val="00022E00"/>
    <w:rsid w:val="00023634"/>
    <w:rsid w:val="0002523D"/>
    <w:rsid w:val="00035F7B"/>
    <w:rsid w:val="00042F96"/>
    <w:rsid w:val="00047EA2"/>
    <w:rsid w:val="00052B28"/>
    <w:rsid w:val="0005495A"/>
    <w:rsid w:val="00054ACD"/>
    <w:rsid w:val="00063817"/>
    <w:rsid w:val="000651E9"/>
    <w:rsid w:val="00073AA7"/>
    <w:rsid w:val="00074322"/>
    <w:rsid w:val="000838C2"/>
    <w:rsid w:val="000906A1"/>
    <w:rsid w:val="000913F7"/>
    <w:rsid w:val="000A6415"/>
    <w:rsid w:val="000A74FA"/>
    <w:rsid w:val="000B149D"/>
    <w:rsid w:val="000B1AC5"/>
    <w:rsid w:val="000B1C12"/>
    <w:rsid w:val="000B7247"/>
    <w:rsid w:val="000D4549"/>
    <w:rsid w:val="000E3577"/>
    <w:rsid w:val="000F063C"/>
    <w:rsid w:val="000F33D0"/>
    <w:rsid w:val="000F50EE"/>
    <w:rsid w:val="0010559C"/>
    <w:rsid w:val="0010609F"/>
    <w:rsid w:val="00106D3E"/>
    <w:rsid w:val="00107844"/>
    <w:rsid w:val="00114D63"/>
    <w:rsid w:val="00116102"/>
    <w:rsid w:val="00120FBD"/>
    <w:rsid w:val="00121479"/>
    <w:rsid w:val="00121664"/>
    <w:rsid w:val="0012424D"/>
    <w:rsid w:val="0013159A"/>
    <w:rsid w:val="00131D75"/>
    <w:rsid w:val="00135455"/>
    <w:rsid w:val="001418F9"/>
    <w:rsid w:val="00143029"/>
    <w:rsid w:val="00143310"/>
    <w:rsid w:val="00144E9C"/>
    <w:rsid w:val="0016078E"/>
    <w:rsid w:val="00161094"/>
    <w:rsid w:val="00163DF9"/>
    <w:rsid w:val="00164AF6"/>
    <w:rsid w:val="001666D6"/>
    <w:rsid w:val="00166B5D"/>
    <w:rsid w:val="001675EF"/>
    <w:rsid w:val="0017028A"/>
    <w:rsid w:val="001717C7"/>
    <w:rsid w:val="00173900"/>
    <w:rsid w:val="001826F4"/>
    <w:rsid w:val="0018446F"/>
    <w:rsid w:val="00186D0E"/>
    <w:rsid w:val="00190D5A"/>
    <w:rsid w:val="00191F49"/>
    <w:rsid w:val="001979B5"/>
    <w:rsid w:val="001A3689"/>
    <w:rsid w:val="001A5F7C"/>
    <w:rsid w:val="001A6E5B"/>
    <w:rsid w:val="001A7451"/>
    <w:rsid w:val="001C0EFA"/>
    <w:rsid w:val="001C1FAD"/>
    <w:rsid w:val="001C6E51"/>
    <w:rsid w:val="001E188E"/>
    <w:rsid w:val="001E1D2D"/>
    <w:rsid w:val="001E4F92"/>
    <w:rsid w:val="001F4A73"/>
    <w:rsid w:val="0020105E"/>
    <w:rsid w:val="00205580"/>
    <w:rsid w:val="002157BB"/>
    <w:rsid w:val="00221024"/>
    <w:rsid w:val="0022375C"/>
    <w:rsid w:val="002262B5"/>
    <w:rsid w:val="0023138D"/>
    <w:rsid w:val="002379B9"/>
    <w:rsid w:val="00240013"/>
    <w:rsid w:val="0024118E"/>
    <w:rsid w:val="00241BAC"/>
    <w:rsid w:val="00243FA6"/>
    <w:rsid w:val="002502C3"/>
    <w:rsid w:val="00251D9A"/>
    <w:rsid w:val="00253E62"/>
    <w:rsid w:val="0025532A"/>
    <w:rsid w:val="00260382"/>
    <w:rsid w:val="00262362"/>
    <w:rsid w:val="00266CB4"/>
    <w:rsid w:val="00267DD1"/>
    <w:rsid w:val="00272E71"/>
    <w:rsid w:val="002760D2"/>
    <w:rsid w:val="002801AA"/>
    <w:rsid w:val="002817D5"/>
    <w:rsid w:val="00286B4F"/>
    <w:rsid w:val="00295B34"/>
    <w:rsid w:val="002A5D69"/>
    <w:rsid w:val="002B1DBF"/>
    <w:rsid w:val="002B69C0"/>
    <w:rsid w:val="002C0BC1"/>
    <w:rsid w:val="002C0D29"/>
    <w:rsid w:val="002C0D5D"/>
    <w:rsid w:val="002C1818"/>
    <w:rsid w:val="002C5AF4"/>
    <w:rsid w:val="002C692D"/>
    <w:rsid w:val="002C6ABE"/>
    <w:rsid w:val="002D19F7"/>
    <w:rsid w:val="002D50A0"/>
    <w:rsid w:val="002D5EED"/>
    <w:rsid w:val="002E2796"/>
    <w:rsid w:val="002E388C"/>
    <w:rsid w:val="002E7EEE"/>
    <w:rsid w:val="002F1BF3"/>
    <w:rsid w:val="002F30D4"/>
    <w:rsid w:val="002F362A"/>
    <w:rsid w:val="002F4D43"/>
    <w:rsid w:val="002F5C56"/>
    <w:rsid w:val="002F6315"/>
    <w:rsid w:val="00300DF6"/>
    <w:rsid w:val="0030487A"/>
    <w:rsid w:val="003048F7"/>
    <w:rsid w:val="003056C6"/>
    <w:rsid w:val="00310436"/>
    <w:rsid w:val="00310A95"/>
    <w:rsid w:val="00311B14"/>
    <w:rsid w:val="00314318"/>
    <w:rsid w:val="0031763C"/>
    <w:rsid w:val="00324306"/>
    <w:rsid w:val="003278D6"/>
    <w:rsid w:val="003303F0"/>
    <w:rsid w:val="003366FB"/>
    <w:rsid w:val="00337174"/>
    <w:rsid w:val="0034059B"/>
    <w:rsid w:val="003422D4"/>
    <w:rsid w:val="0035019C"/>
    <w:rsid w:val="00350891"/>
    <w:rsid w:val="0035753A"/>
    <w:rsid w:val="00360248"/>
    <w:rsid w:val="00360C66"/>
    <w:rsid w:val="00361ECC"/>
    <w:rsid w:val="00363029"/>
    <w:rsid w:val="00366A46"/>
    <w:rsid w:val="00377810"/>
    <w:rsid w:val="00377A0D"/>
    <w:rsid w:val="00380C34"/>
    <w:rsid w:val="003850E7"/>
    <w:rsid w:val="0038677D"/>
    <w:rsid w:val="00386B53"/>
    <w:rsid w:val="00387C87"/>
    <w:rsid w:val="00390405"/>
    <w:rsid w:val="0039636E"/>
    <w:rsid w:val="0039637D"/>
    <w:rsid w:val="003976C4"/>
    <w:rsid w:val="003A47D6"/>
    <w:rsid w:val="003B50D9"/>
    <w:rsid w:val="003B5487"/>
    <w:rsid w:val="003B5CDF"/>
    <w:rsid w:val="003B7C19"/>
    <w:rsid w:val="003C06A8"/>
    <w:rsid w:val="003C362A"/>
    <w:rsid w:val="003C5D07"/>
    <w:rsid w:val="003D0547"/>
    <w:rsid w:val="003D3FF4"/>
    <w:rsid w:val="003D5577"/>
    <w:rsid w:val="003D5DCC"/>
    <w:rsid w:val="003D7161"/>
    <w:rsid w:val="003E10F0"/>
    <w:rsid w:val="003E2C25"/>
    <w:rsid w:val="003E3F9D"/>
    <w:rsid w:val="003E60E2"/>
    <w:rsid w:val="003E69E5"/>
    <w:rsid w:val="003F347F"/>
    <w:rsid w:val="003F6AF2"/>
    <w:rsid w:val="0040075F"/>
    <w:rsid w:val="00400CFB"/>
    <w:rsid w:val="0040748E"/>
    <w:rsid w:val="00412206"/>
    <w:rsid w:val="00427E08"/>
    <w:rsid w:val="00430491"/>
    <w:rsid w:val="00431168"/>
    <w:rsid w:val="00432A3D"/>
    <w:rsid w:val="004349BA"/>
    <w:rsid w:val="0043575C"/>
    <w:rsid w:val="004365C7"/>
    <w:rsid w:val="004423FA"/>
    <w:rsid w:val="004425B7"/>
    <w:rsid w:val="00444715"/>
    <w:rsid w:val="00444A85"/>
    <w:rsid w:val="00450331"/>
    <w:rsid w:val="004539D3"/>
    <w:rsid w:val="0046012B"/>
    <w:rsid w:val="004620D2"/>
    <w:rsid w:val="00462CFA"/>
    <w:rsid w:val="00463062"/>
    <w:rsid w:val="00465296"/>
    <w:rsid w:val="00485168"/>
    <w:rsid w:val="00486DB1"/>
    <w:rsid w:val="004872FF"/>
    <w:rsid w:val="00487364"/>
    <w:rsid w:val="00493E10"/>
    <w:rsid w:val="004972E8"/>
    <w:rsid w:val="004A5353"/>
    <w:rsid w:val="004B36E3"/>
    <w:rsid w:val="004C0F9E"/>
    <w:rsid w:val="004C1243"/>
    <w:rsid w:val="004C1475"/>
    <w:rsid w:val="004C3D4C"/>
    <w:rsid w:val="004C5C26"/>
    <w:rsid w:val="004C78C3"/>
    <w:rsid w:val="004D13CB"/>
    <w:rsid w:val="004D3225"/>
    <w:rsid w:val="004E487B"/>
    <w:rsid w:val="004E7BD4"/>
    <w:rsid w:val="004F493B"/>
    <w:rsid w:val="004F718B"/>
    <w:rsid w:val="004F7E99"/>
    <w:rsid w:val="005003F9"/>
    <w:rsid w:val="00501C3E"/>
    <w:rsid w:val="0050417B"/>
    <w:rsid w:val="0050508C"/>
    <w:rsid w:val="005133CE"/>
    <w:rsid w:val="00521BA3"/>
    <w:rsid w:val="00523E0D"/>
    <w:rsid w:val="00525588"/>
    <w:rsid w:val="00525D76"/>
    <w:rsid w:val="0052710E"/>
    <w:rsid w:val="00531124"/>
    <w:rsid w:val="00536FF2"/>
    <w:rsid w:val="005442FC"/>
    <w:rsid w:val="00544E18"/>
    <w:rsid w:val="00545090"/>
    <w:rsid w:val="005470CA"/>
    <w:rsid w:val="00554E09"/>
    <w:rsid w:val="0055631D"/>
    <w:rsid w:val="00557A71"/>
    <w:rsid w:val="00560C87"/>
    <w:rsid w:val="00563889"/>
    <w:rsid w:val="005645CE"/>
    <w:rsid w:val="00566025"/>
    <w:rsid w:val="0057149B"/>
    <w:rsid w:val="00574A89"/>
    <w:rsid w:val="00577945"/>
    <w:rsid w:val="00590B79"/>
    <w:rsid w:val="00593935"/>
    <w:rsid w:val="005973FD"/>
    <w:rsid w:val="00597C68"/>
    <w:rsid w:val="005A382B"/>
    <w:rsid w:val="005A4047"/>
    <w:rsid w:val="005A5BE1"/>
    <w:rsid w:val="005A7271"/>
    <w:rsid w:val="005B0B48"/>
    <w:rsid w:val="005B5904"/>
    <w:rsid w:val="005C0D39"/>
    <w:rsid w:val="005C4C4B"/>
    <w:rsid w:val="005C6232"/>
    <w:rsid w:val="005C71E2"/>
    <w:rsid w:val="005D0C49"/>
    <w:rsid w:val="005D6F7A"/>
    <w:rsid w:val="005E1A4C"/>
    <w:rsid w:val="005E1A84"/>
    <w:rsid w:val="005E2CFB"/>
    <w:rsid w:val="005E5B88"/>
    <w:rsid w:val="005E78EE"/>
    <w:rsid w:val="005E7F1C"/>
    <w:rsid w:val="005F139F"/>
    <w:rsid w:val="005F1EBD"/>
    <w:rsid w:val="006063D0"/>
    <w:rsid w:val="00613C45"/>
    <w:rsid w:val="00620B3B"/>
    <w:rsid w:val="00631BC2"/>
    <w:rsid w:val="00633D4E"/>
    <w:rsid w:val="0063526F"/>
    <w:rsid w:val="00637E86"/>
    <w:rsid w:val="00642285"/>
    <w:rsid w:val="006422DE"/>
    <w:rsid w:val="006439FA"/>
    <w:rsid w:val="00661E74"/>
    <w:rsid w:val="00662FB3"/>
    <w:rsid w:val="00663D87"/>
    <w:rsid w:val="0066568F"/>
    <w:rsid w:val="00671E55"/>
    <w:rsid w:val="006724E9"/>
    <w:rsid w:val="006727B0"/>
    <w:rsid w:val="0067485D"/>
    <w:rsid w:val="00680CC9"/>
    <w:rsid w:val="00685AA6"/>
    <w:rsid w:val="00686544"/>
    <w:rsid w:val="006936CF"/>
    <w:rsid w:val="006A2065"/>
    <w:rsid w:val="006A3D88"/>
    <w:rsid w:val="006A4A7A"/>
    <w:rsid w:val="006B0848"/>
    <w:rsid w:val="006B733D"/>
    <w:rsid w:val="006C34AE"/>
    <w:rsid w:val="006C67AF"/>
    <w:rsid w:val="006D26BF"/>
    <w:rsid w:val="006D2B71"/>
    <w:rsid w:val="006D3DC5"/>
    <w:rsid w:val="006E125B"/>
    <w:rsid w:val="006E16D6"/>
    <w:rsid w:val="006E2366"/>
    <w:rsid w:val="006E43E1"/>
    <w:rsid w:val="006F143B"/>
    <w:rsid w:val="006F418B"/>
    <w:rsid w:val="006F4633"/>
    <w:rsid w:val="007039EC"/>
    <w:rsid w:val="007074AA"/>
    <w:rsid w:val="007100C3"/>
    <w:rsid w:val="00710D6B"/>
    <w:rsid w:val="00714664"/>
    <w:rsid w:val="0071572D"/>
    <w:rsid w:val="007157BA"/>
    <w:rsid w:val="007169F9"/>
    <w:rsid w:val="007174A6"/>
    <w:rsid w:val="007214F1"/>
    <w:rsid w:val="007224B3"/>
    <w:rsid w:val="00731303"/>
    <w:rsid w:val="0073172C"/>
    <w:rsid w:val="00733E27"/>
    <w:rsid w:val="00735C20"/>
    <w:rsid w:val="007402E0"/>
    <w:rsid w:val="0074489D"/>
    <w:rsid w:val="00745FF8"/>
    <w:rsid w:val="00746549"/>
    <w:rsid w:val="007514AD"/>
    <w:rsid w:val="0075283E"/>
    <w:rsid w:val="00754634"/>
    <w:rsid w:val="0075524D"/>
    <w:rsid w:val="007560B0"/>
    <w:rsid w:val="00756DC4"/>
    <w:rsid w:val="00760FF5"/>
    <w:rsid w:val="007627D7"/>
    <w:rsid w:val="007651AC"/>
    <w:rsid w:val="00766B30"/>
    <w:rsid w:val="00772A89"/>
    <w:rsid w:val="007731C8"/>
    <w:rsid w:val="00773403"/>
    <w:rsid w:val="00776313"/>
    <w:rsid w:val="00776C4F"/>
    <w:rsid w:val="00780CB7"/>
    <w:rsid w:val="00781261"/>
    <w:rsid w:val="007838E4"/>
    <w:rsid w:val="00783F6A"/>
    <w:rsid w:val="007846DC"/>
    <w:rsid w:val="00785AF4"/>
    <w:rsid w:val="0079088B"/>
    <w:rsid w:val="007A19D8"/>
    <w:rsid w:val="007A4D3C"/>
    <w:rsid w:val="007B18A0"/>
    <w:rsid w:val="007C1E49"/>
    <w:rsid w:val="007C2DBF"/>
    <w:rsid w:val="007C4556"/>
    <w:rsid w:val="007C5F76"/>
    <w:rsid w:val="007E36E4"/>
    <w:rsid w:val="007F0ACE"/>
    <w:rsid w:val="007F0EE6"/>
    <w:rsid w:val="007F4C3E"/>
    <w:rsid w:val="007F68F7"/>
    <w:rsid w:val="00800F0E"/>
    <w:rsid w:val="00802BA2"/>
    <w:rsid w:val="00804024"/>
    <w:rsid w:val="0081283E"/>
    <w:rsid w:val="0081753E"/>
    <w:rsid w:val="00821BBF"/>
    <w:rsid w:val="00824E82"/>
    <w:rsid w:val="008274C2"/>
    <w:rsid w:val="00830825"/>
    <w:rsid w:val="008358D5"/>
    <w:rsid w:val="00837D33"/>
    <w:rsid w:val="008403FF"/>
    <w:rsid w:val="0084547E"/>
    <w:rsid w:val="00847949"/>
    <w:rsid w:val="0085010E"/>
    <w:rsid w:val="00852E46"/>
    <w:rsid w:val="0085454F"/>
    <w:rsid w:val="00855620"/>
    <w:rsid w:val="00862D6A"/>
    <w:rsid w:val="00865EA3"/>
    <w:rsid w:val="00867545"/>
    <w:rsid w:val="008705DA"/>
    <w:rsid w:val="00871BC6"/>
    <w:rsid w:val="00872666"/>
    <w:rsid w:val="0087354F"/>
    <w:rsid w:val="0087522A"/>
    <w:rsid w:val="0089109C"/>
    <w:rsid w:val="00891DC9"/>
    <w:rsid w:val="00896985"/>
    <w:rsid w:val="00897B71"/>
    <w:rsid w:val="008A409C"/>
    <w:rsid w:val="008C03E4"/>
    <w:rsid w:val="008C274D"/>
    <w:rsid w:val="008C28C5"/>
    <w:rsid w:val="008C5215"/>
    <w:rsid w:val="008C53D0"/>
    <w:rsid w:val="008D0D98"/>
    <w:rsid w:val="008D43CA"/>
    <w:rsid w:val="008D527A"/>
    <w:rsid w:val="008D56DA"/>
    <w:rsid w:val="008D5771"/>
    <w:rsid w:val="008D6FD0"/>
    <w:rsid w:val="008E534F"/>
    <w:rsid w:val="008E5991"/>
    <w:rsid w:val="008F472E"/>
    <w:rsid w:val="008F69B5"/>
    <w:rsid w:val="008F6F5A"/>
    <w:rsid w:val="00902556"/>
    <w:rsid w:val="0090338C"/>
    <w:rsid w:val="00906B19"/>
    <w:rsid w:val="0091048E"/>
    <w:rsid w:val="009159B8"/>
    <w:rsid w:val="009217EC"/>
    <w:rsid w:val="00924ABC"/>
    <w:rsid w:val="0092669B"/>
    <w:rsid w:val="00940E8F"/>
    <w:rsid w:val="009417C4"/>
    <w:rsid w:val="00942392"/>
    <w:rsid w:val="0095309C"/>
    <w:rsid w:val="00961886"/>
    <w:rsid w:val="009652F2"/>
    <w:rsid w:val="009719ED"/>
    <w:rsid w:val="0097741F"/>
    <w:rsid w:val="00986C37"/>
    <w:rsid w:val="00994EAE"/>
    <w:rsid w:val="00995BD5"/>
    <w:rsid w:val="00997528"/>
    <w:rsid w:val="0099796A"/>
    <w:rsid w:val="009A5F9B"/>
    <w:rsid w:val="009A7C52"/>
    <w:rsid w:val="009B3709"/>
    <w:rsid w:val="009B6CAA"/>
    <w:rsid w:val="009C1346"/>
    <w:rsid w:val="009D036E"/>
    <w:rsid w:val="009D05C8"/>
    <w:rsid w:val="009D49D9"/>
    <w:rsid w:val="009E3C0B"/>
    <w:rsid w:val="009E558C"/>
    <w:rsid w:val="009F1469"/>
    <w:rsid w:val="009F5610"/>
    <w:rsid w:val="00A13244"/>
    <w:rsid w:val="00A17783"/>
    <w:rsid w:val="00A231E6"/>
    <w:rsid w:val="00A239AA"/>
    <w:rsid w:val="00A23C7D"/>
    <w:rsid w:val="00A333A5"/>
    <w:rsid w:val="00A37314"/>
    <w:rsid w:val="00A439E8"/>
    <w:rsid w:val="00A450C8"/>
    <w:rsid w:val="00A45753"/>
    <w:rsid w:val="00A51CE5"/>
    <w:rsid w:val="00A52541"/>
    <w:rsid w:val="00A53423"/>
    <w:rsid w:val="00A57037"/>
    <w:rsid w:val="00A62659"/>
    <w:rsid w:val="00A6477B"/>
    <w:rsid w:val="00A6511C"/>
    <w:rsid w:val="00A65F20"/>
    <w:rsid w:val="00A72122"/>
    <w:rsid w:val="00A76293"/>
    <w:rsid w:val="00A77DA2"/>
    <w:rsid w:val="00A85D9D"/>
    <w:rsid w:val="00A92C4C"/>
    <w:rsid w:val="00A92F82"/>
    <w:rsid w:val="00A97E0C"/>
    <w:rsid w:val="00AA358C"/>
    <w:rsid w:val="00AA3D14"/>
    <w:rsid w:val="00AA4F61"/>
    <w:rsid w:val="00AA602D"/>
    <w:rsid w:val="00AA64FE"/>
    <w:rsid w:val="00AA66D2"/>
    <w:rsid w:val="00AB2B13"/>
    <w:rsid w:val="00AB572D"/>
    <w:rsid w:val="00AC1FCF"/>
    <w:rsid w:val="00AD616E"/>
    <w:rsid w:val="00AE17B1"/>
    <w:rsid w:val="00AE1E6A"/>
    <w:rsid w:val="00AE1F5C"/>
    <w:rsid w:val="00AE2923"/>
    <w:rsid w:val="00AE4C0D"/>
    <w:rsid w:val="00AE7F9D"/>
    <w:rsid w:val="00AF1794"/>
    <w:rsid w:val="00AF6D90"/>
    <w:rsid w:val="00B028F7"/>
    <w:rsid w:val="00B048CD"/>
    <w:rsid w:val="00B075C5"/>
    <w:rsid w:val="00B11431"/>
    <w:rsid w:val="00B14C74"/>
    <w:rsid w:val="00B15964"/>
    <w:rsid w:val="00B20BAA"/>
    <w:rsid w:val="00B20C12"/>
    <w:rsid w:val="00B22863"/>
    <w:rsid w:val="00B316A3"/>
    <w:rsid w:val="00B41502"/>
    <w:rsid w:val="00B42CA0"/>
    <w:rsid w:val="00B51024"/>
    <w:rsid w:val="00B512B5"/>
    <w:rsid w:val="00B53613"/>
    <w:rsid w:val="00B55068"/>
    <w:rsid w:val="00B57C53"/>
    <w:rsid w:val="00B60CD8"/>
    <w:rsid w:val="00B60F9C"/>
    <w:rsid w:val="00B63D9D"/>
    <w:rsid w:val="00B6769E"/>
    <w:rsid w:val="00B7221E"/>
    <w:rsid w:val="00B73F22"/>
    <w:rsid w:val="00B76E1F"/>
    <w:rsid w:val="00B76F9A"/>
    <w:rsid w:val="00B774D3"/>
    <w:rsid w:val="00B810B2"/>
    <w:rsid w:val="00B831BC"/>
    <w:rsid w:val="00B8658F"/>
    <w:rsid w:val="00B9278C"/>
    <w:rsid w:val="00B9755F"/>
    <w:rsid w:val="00BA26F7"/>
    <w:rsid w:val="00BA325B"/>
    <w:rsid w:val="00BA79F0"/>
    <w:rsid w:val="00BB5068"/>
    <w:rsid w:val="00BB7AE8"/>
    <w:rsid w:val="00BC19EB"/>
    <w:rsid w:val="00BC1BE3"/>
    <w:rsid w:val="00BC23AE"/>
    <w:rsid w:val="00BC373E"/>
    <w:rsid w:val="00BC3E31"/>
    <w:rsid w:val="00BC6897"/>
    <w:rsid w:val="00BC7A2B"/>
    <w:rsid w:val="00BD0481"/>
    <w:rsid w:val="00BD3155"/>
    <w:rsid w:val="00BD3AC8"/>
    <w:rsid w:val="00BD4447"/>
    <w:rsid w:val="00BD4539"/>
    <w:rsid w:val="00BD62FB"/>
    <w:rsid w:val="00BD6A56"/>
    <w:rsid w:val="00BE2623"/>
    <w:rsid w:val="00BE3923"/>
    <w:rsid w:val="00BE4BF0"/>
    <w:rsid w:val="00BE5EE5"/>
    <w:rsid w:val="00BE68EE"/>
    <w:rsid w:val="00BE7F63"/>
    <w:rsid w:val="00BF45FB"/>
    <w:rsid w:val="00BF762D"/>
    <w:rsid w:val="00C10607"/>
    <w:rsid w:val="00C123B1"/>
    <w:rsid w:val="00C1756C"/>
    <w:rsid w:val="00C20E8A"/>
    <w:rsid w:val="00C21071"/>
    <w:rsid w:val="00C2398C"/>
    <w:rsid w:val="00C2549C"/>
    <w:rsid w:val="00C25569"/>
    <w:rsid w:val="00C27366"/>
    <w:rsid w:val="00C35CDE"/>
    <w:rsid w:val="00C63AA8"/>
    <w:rsid w:val="00C701B4"/>
    <w:rsid w:val="00C703E3"/>
    <w:rsid w:val="00C74A5D"/>
    <w:rsid w:val="00C7783C"/>
    <w:rsid w:val="00C80EE3"/>
    <w:rsid w:val="00C81210"/>
    <w:rsid w:val="00C81333"/>
    <w:rsid w:val="00C82968"/>
    <w:rsid w:val="00C84994"/>
    <w:rsid w:val="00C853EE"/>
    <w:rsid w:val="00C930F4"/>
    <w:rsid w:val="00C967B5"/>
    <w:rsid w:val="00CA1CA7"/>
    <w:rsid w:val="00CA2D9E"/>
    <w:rsid w:val="00CA3F6E"/>
    <w:rsid w:val="00CA6B58"/>
    <w:rsid w:val="00CA796C"/>
    <w:rsid w:val="00CB1298"/>
    <w:rsid w:val="00CB1AE6"/>
    <w:rsid w:val="00CB3ED4"/>
    <w:rsid w:val="00CB3F86"/>
    <w:rsid w:val="00CB4EC8"/>
    <w:rsid w:val="00CD2794"/>
    <w:rsid w:val="00CD34F0"/>
    <w:rsid w:val="00CD3EB9"/>
    <w:rsid w:val="00CD7371"/>
    <w:rsid w:val="00CE0954"/>
    <w:rsid w:val="00CE2563"/>
    <w:rsid w:val="00CE6D90"/>
    <w:rsid w:val="00CF08B6"/>
    <w:rsid w:val="00CF11F7"/>
    <w:rsid w:val="00CF2175"/>
    <w:rsid w:val="00CF23AE"/>
    <w:rsid w:val="00D02D54"/>
    <w:rsid w:val="00D05E94"/>
    <w:rsid w:val="00D12C8E"/>
    <w:rsid w:val="00D1323F"/>
    <w:rsid w:val="00D15AE4"/>
    <w:rsid w:val="00D202BA"/>
    <w:rsid w:val="00D2367E"/>
    <w:rsid w:val="00D244E3"/>
    <w:rsid w:val="00D251AC"/>
    <w:rsid w:val="00D32050"/>
    <w:rsid w:val="00D37896"/>
    <w:rsid w:val="00D42591"/>
    <w:rsid w:val="00D43766"/>
    <w:rsid w:val="00D47CCF"/>
    <w:rsid w:val="00D5112F"/>
    <w:rsid w:val="00D53314"/>
    <w:rsid w:val="00D572FE"/>
    <w:rsid w:val="00D6457B"/>
    <w:rsid w:val="00D66DEC"/>
    <w:rsid w:val="00D71A41"/>
    <w:rsid w:val="00D733A2"/>
    <w:rsid w:val="00D74FB6"/>
    <w:rsid w:val="00D75401"/>
    <w:rsid w:val="00D7606C"/>
    <w:rsid w:val="00D768A4"/>
    <w:rsid w:val="00D92F52"/>
    <w:rsid w:val="00D94637"/>
    <w:rsid w:val="00D946AE"/>
    <w:rsid w:val="00DA753F"/>
    <w:rsid w:val="00DB3985"/>
    <w:rsid w:val="00DB3AC1"/>
    <w:rsid w:val="00DC182C"/>
    <w:rsid w:val="00DC5754"/>
    <w:rsid w:val="00DD34A3"/>
    <w:rsid w:val="00DD42B9"/>
    <w:rsid w:val="00DD552F"/>
    <w:rsid w:val="00DD6056"/>
    <w:rsid w:val="00DE05E7"/>
    <w:rsid w:val="00DE0F4E"/>
    <w:rsid w:val="00DE7C6A"/>
    <w:rsid w:val="00DF2857"/>
    <w:rsid w:val="00DF782B"/>
    <w:rsid w:val="00E02B7B"/>
    <w:rsid w:val="00E03AEF"/>
    <w:rsid w:val="00E06504"/>
    <w:rsid w:val="00E102DE"/>
    <w:rsid w:val="00E15551"/>
    <w:rsid w:val="00E167E8"/>
    <w:rsid w:val="00E24825"/>
    <w:rsid w:val="00E304D6"/>
    <w:rsid w:val="00E4105C"/>
    <w:rsid w:val="00E42093"/>
    <w:rsid w:val="00E522AD"/>
    <w:rsid w:val="00E57B45"/>
    <w:rsid w:val="00E6225A"/>
    <w:rsid w:val="00E64103"/>
    <w:rsid w:val="00E67F95"/>
    <w:rsid w:val="00E72945"/>
    <w:rsid w:val="00E72A46"/>
    <w:rsid w:val="00E7448B"/>
    <w:rsid w:val="00E76CD1"/>
    <w:rsid w:val="00E82864"/>
    <w:rsid w:val="00EA7F69"/>
    <w:rsid w:val="00EB0E5B"/>
    <w:rsid w:val="00EC13D8"/>
    <w:rsid w:val="00EC43EA"/>
    <w:rsid w:val="00EC5484"/>
    <w:rsid w:val="00ED134F"/>
    <w:rsid w:val="00ED1EEB"/>
    <w:rsid w:val="00EE40A1"/>
    <w:rsid w:val="00EE4AD8"/>
    <w:rsid w:val="00EF3CCE"/>
    <w:rsid w:val="00F0088A"/>
    <w:rsid w:val="00F01D85"/>
    <w:rsid w:val="00F02FF6"/>
    <w:rsid w:val="00F05422"/>
    <w:rsid w:val="00F054A3"/>
    <w:rsid w:val="00F139AC"/>
    <w:rsid w:val="00F14C8A"/>
    <w:rsid w:val="00F14F2B"/>
    <w:rsid w:val="00F21EAC"/>
    <w:rsid w:val="00F27A05"/>
    <w:rsid w:val="00F31292"/>
    <w:rsid w:val="00F3243D"/>
    <w:rsid w:val="00F40C3E"/>
    <w:rsid w:val="00F46D0D"/>
    <w:rsid w:val="00F5525B"/>
    <w:rsid w:val="00F616B5"/>
    <w:rsid w:val="00F7276A"/>
    <w:rsid w:val="00F772EC"/>
    <w:rsid w:val="00F92B59"/>
    <w:rsid w:val="00F948BC"/>
    <w:rsid w:val="00F94E17"/>
    <w:rsid w:val="00F95D51"/>
    <w:rsid w:val="00F960CF"/>
    <w:rsid w:val="00FA10A3"/>
    <w:rsid w:val="00FA1226"/>
    <w:rsid w:val="00FA254E"/>
    <w:rsid w:val="00FA4A76"/>
    <w:rsid w:val="00FA4DF8"/>
    <w:rsid w:val="00FA63E9"/>
    <w:rsid w:val="00FB2924"/>
    <w:rsid w:val="00FB4237"/>
    <w:rsid w:val="00FB71E9"/>
    <w:rsid w:val="00FB728B"/>
    <w:rsid w:val="00FD09D8"/>
    <w:rsid w:val="00FD1F80"/>
    <w:rsid w:val="00FD6A25"/>
    <w:rsid w:val="00FF0232"/>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uiPriority w:val="9"/>
    <w:qFormat/>
    <w:rsid w:val="00EB0E5B"/>
    <w:pPr>
      <w:keepNext/>
      <w:keepLines/>
      <w:numPr>
        <w:numId w:val="19"/>
      </w:numPr>
      <w:spacing w:before="240" w:after="600" w:line="256" w:lineRule="auto"/>
      <w:ind w:left="431" w:hanging="431"/>
      <w:outlineLvl w:val="0"/>
    </w:pPr>
    <w:rPr>
      <w:rFonts w:asciiTheme="majorHAnsi" w:eastAsiaTheme="majorEastAsia" w:hAnsiTheme="majorHAnsi" w:cstheme="majorBidi"/>
      <w:sz w:val="36"/>
      <w:szCs w:val="32"/>
    </w:rPr>
  </w:style>
  <w:style w:type="paragraph" w:styleId="Nagwek2">
    <w:name w:val="heading 2"/>
    <w:basedOn w:val="Normalny"/>
    <w:next w:val="Normalny"/>
    <w:link w:val="Nagwek2Znak"/>
    <w:uiPriority w:val="9"/>
    <w:semiHidden/>
    <w:unhideWhenUsed/>
    <w:qFormat/>
    <w:rsid w:val="00EB0E5B"/>
    <w:pPr>
      <w:keepNext/>
      <w:keepLines/>
      <w:numPr>
        <w:ilvl w:val="1"/>
        <w:numId w:val="19"/>
      </w:numPr>
      <w:spacing w:before="240" w:after="240" w:line="256" w:lineRule="auto"/>
      <w:jc w:val="both"/>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uiPriority w:val="9"/>
    <w:semiHidden/>
    <w:unhideWhenUsed/>
    <w:qFormat/>
    <w:rsid w:val="00EB0E5B"/>
    <w:pPr>
      <w:keepNext/>
      <w:keepLines/>
      <w:numPr>
        <w:ilvl w:val="2"/>
        <w:numId w:val="19"/>
      </w:numPr>
      <w:spacing w:before="40" w:line="256" w:lineRule="auto"/>
      <w:jc w:val="both"/>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EB0E5B"/>
    <w:pPr>
      <w:keepNext/>
      <w:keepLines/>
      <w:numPr>
        <w:ilvl w:val="3"/>
        <w:numId w:val="19"/>
      </w:numPr>
      <w:spacing w:before="40" w:line="256" w:lineRule="auto"/>
      <w:jc w:val="both"/>
      <w:outlineLvl w:val="3"/>
    </w:pPr>
    <w:rPr>
      <w:rFonts w:asciiTheme="majorHAnsi" w:eastAsiaTheme="majorEastAsia" w:hAnsiTheme="majorHAnsi" w:cstheme="majorBidi"/>
      <w:i/>
      <w:iCs/>
      <w:color w:val="2E74B5" w:themeColor="accent1" w:themeShade="BF"/>
      <w:sz w:val="22"/>
    </w:rPr>
  </w:style>
  <w:style w:type="paragraph" w:styleId="Nagwek5">
    <w:name w:val="heading 5"/>
    <w:basedOn w:val="Normalny"/>
    <w:next w:val="Normalny"/>
    <w:link w:val="Nagwek5Znak"/>
    <w:uiPriority w:val="9"/>
    <w:semiHidden/>
    <w:unhideWhenUsed/>
    <w:qFormat/>
    <w:rsid w:val="00EB0E5B"/>
    <w:pPr>
      <w:keepNext/>
      <w:keepLines/>
      <w:numPr>
        <w:ilvl w:val="4"/>
        <w:numId w:val="19"/>
      </w:numPr>
      <w:spacing w:before="40" w:line="256" w:lineRule="auto"/>
      <w:jc w:val="both"/>
      <w:outlineLvl w:val="4"/>
    </w:pPr>
    <w:rPr>
      <w:rFonts w:asciiTheme="majorHAnsi" w:eastAsiaTheme="majorEastAsia" w:hAnsiTheme="majorHAnsi" w:cstheme="majorBidi"/>
      <w:color w:val="2E74B5" w:themeColor="accent1" w:themeShade="BF"/>
      <w:sz w:val="22"/>
    </w:rPr>
  </w:style>
  <w:style w:type="paragraph" w:styleId="Nagwek6">
    <w:name w:val="heading 6"/>
    <w:basedOn w:val="Normalny"/>
    <w:next w:val="Normalny"/>
    <w:link w:val="Nagwek6Znak"/>
    <w:uiPriority w:val="9"/>
    <w:semiHidden/>
    <w:unhideWhenUsed/>
    <w:qFormat/>
    <w:rsid w:val="00EB0E5B"/>
    <w:pPr>
      <w:keepNext/>
      <w:keepLines/>
      <w:numPr>
        <w:ilvl w:val="5"/>
        <w:numId w:val="19"/>
      </w:numPr>
      <w:spacing w:before="40" w:line="256" w:lineRule="auto"/>
      <w:jc w:val="both"/>
      <w:outlineLvl w:val="5"/>
    </w:pPr>
    <w:rPr>
      <w:rFonts w:asciiTheme="majorHAnsi" w:eastAsiaTheme="majorEastAsia" w:hAnsiTheme="majorHAnsi" w:cstheme="majorBidi"/>
      <w:color w:val="1F4D78" w:themeColor="accent1" w:themeShade="7F"/>
      <w:sz w:val="22"/>
    </w:rPr>
  </w:style>
  <w:style w:type="paragraph" w:styleId="Nagwek7">
    <w:name w:val="heading 7"/>
    <w:basedOn w:val="Normalny"/>
    <w:next w:val="Normalny"/>
    <w:link w:val="Nagwek7Znak"/>
    <w:uiPriority w:val="9"/>
    <w:semiHidden/>
    <w:unhideWhenUsed/>
    <w:qFormat/>
    <w:rsid w:val="00EB0E5B"/>
    <w:pPr>
      <w:keepNext/>
      <w:keepLines/>
      <w:numPr>
        <w:ilvl w:val="6"/>
        <w:numId w:val="19"/>
      </w:numPr>
      <w:spacing w:before="40" w:line="256" w:lineRule="auto"/>
      <w:jc w:val="both"/>
      <w:outlineLvl w:val="6"/>
    </w:pPr>
    <w:rPr>
      <w:rFonts w:asciiTheme="majorHAnsi" w:eastAsiaTheme="majorEastAsia" w:hAnsiTheme="majorHAnsi" w:cstheme="majorBidi"/>
      <w:i/>
      <w:iCs/>
      <w:color w:val="1F4D78" w:themeColor="accent1" w:themeShade="7F"/>
      <w:sz w:val="22"/>
    </w:rPr>
  </w:style>
  <w:style w:type="paragraph" w:styleId="Nagwek8">
    <w:name w:val="heading 8"/>
    <w:basedOn w:val="Normalny"/>
    <w:next w:val="Normalny"/>
    <w:link w:val="Nagwek8Znak"/>
    <w:uiPriority w:val="9"/>
    <w:semiHidden/>
    <w:unhideWhenUsed/>
    <w:qFormat/>
    <w:rsid w:val="00EB0E5B"/>
    <w:pPr>
      <w:keepNext/>
      <w:keepLines/>
      <w:numPr>
        <w:ilvl w:val="7"/>
        <w:numId w:val="19"/>
      </w:numPr>
      <w:spacing w:before="40" w:line="256" w:lineRule="auto"/>
      <w:jc w:val="both"/>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B0E5B"/>
    <w:pPr>
      <w:keepNext/>
      <w:keepLines/>
      <w:numPr>
        <w:ilvl w:val="8"/>
        <w:numId w:val="19"/>
      </w:numPr>
      <w:spacing w:before="40" w:line="256"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character" w:customStyle="1" w:styleId="TekstprzypisudolnegoZnak">
    <w:name w:val="Tekst przypisu dolnego Znak"/>
    <w:aliases w:val="Znak Znak,Tekst przypisu Znak,Tekst przypisu dolnego Znak Znak Znak,Podrozdział Znak,Podrozdzia3 Znak,Tekst przypisu Znak Znak Znak Znak Znak1,Tekst przypisu Znak Znak Znak Znak Znak Znak,fn Znak,Char Char Znak"/>
    <w:basedOn w:val="Domylnaczcionkaakapitu"/>
    <w:link w:val="Tekstprzypisudolnego"/>
    <w:uiPriority w:val="99"/>
    <w:semiHidden/>
    <w:locked/>
    <w:rsid w:val="008E534F"/>
    <w:rPr>
      <w:sz w:val="18"/>
    </w:rPr>
  </w:style>
  <w:style w:type="paragraph" w:styleId="Tekstprzypisudolnego">
    <w:name w:val="footnote text"/>
    <w:aliases w:val="Znak,Tekst przypisu,Tekst przypisu dolnego Znak Znak,Podrozdział,Podrozdzia3,Tekst przypisu Znak Znak Znak Znak,Tekst przypisu Znak Znak Znak Znak Znak,Tekst przypisu Znak Znak Znak Znak Znak Znak Znak,fn,Char Char"/>
    <w:basedOn w:val="Normalny"/>
    <w:link w:val="TekstprzypisudolnegoZnak"/>
    <w:uiPriority w:val="99"/>
    <w:semiHidden/>
    <w:unhideWhenUsed/>
    <w:qFormat/>
    <w:rsid w:val="008E534F"/>
    <w:pPr>
      <w:jc w:val="both"/>
    </w:pPr>
    <w:rPr>
      <w:rFonts w:asciiTheme="minorHAnsi" w:eastAsiaTheme="minorHAnsi" w:hAnsiTheme="minorHAnsi" w:cstheme="minorBidi"/>
    </w:rPr>
  </w:style>
  <w:style w:type="character" w:customStyle="1" w:styleId="TekstprzypisudolnegoZnak1">
    <w:name w:val="Tekst przypisu dolnego Znak1"/>
    <w:basedOn w:val="Domylnaczcionkaakapitu"/>
    <w:uiPriority w:val="99"/>
    <w:semiHidden/>
    <w:rsid w:val="008E534F"/>
    <w:rPr>
      <w:rFonts w:ascii="Trebuchet MS" w:eastAsia="Times New Roman" w:hAnsi="Trebuchet MS" w:cs="Times New Roman"/>
      <w:sz w:val="20"/>
      <w:szCs w:val="20"/>
    </w:rPr>
  </w:style>
  <w:style w:type="paragraph" w:customStyle="1" w:styleId="TekstNB2">
    <w:name w:val="Tekst_NB_2"/>
    <w:basedOn w:val="Akapitzlist"/>
    <w:autoRedefine/>
    <w:uiPriority w:val="99"/>
    <w:qFormat/>
    <w:rsid w:val="008E534F"/>
    <w:pPr>
      <w:numPr>
        <w:numId w:val="13"/>
      </w:numPr>
      <w:tabs>
        <w:tab w:val="num" w:pos="360"/>
      </w:tabs>
      <w:spacing w:before="120" w:after="120" w:line="360" w:lineRule="auto"/>
      <w:ind w:left="720" w:firstLine="0"/>
      <w:contextualSpacing w:val="0"/>
      <w:jc w:val="both"/>
    </w:pPr>
    <w:rPr>
      <w:rFonts w:ascii="Times New Roman" w:hAnsi="Times New Roman"/>
      <w:sz w:val="22"/>
      <w:lang w:eastAsia="pl-PL"/>
    </w:rPr>
  </w:style>
  <w:style w:type="character" w:customStyle="1" w:styleId="TekstwtabeliZnak">
    <w:name w:val="Tekst w tabeli Znak"/>
    <w:basedOn w:val="Domylnaczcionkaakapitu"/>
    <w:link w:val="Tekstwtabeli"/>
    <w:locked/>
    <w:rsid w:val="008E534F"/>
    <w:rPr>
      <w:sz w:val="18"/>
    </w:rPr>
  </w:style>
  <w:style w:type="paragraph" w:customStyle="1" w:styleId="Tekstwtabeli">
    <w:name w:val="Tekst w tabeli"/>
    <w:basedOn w:val="Normalny"/>
    <w:link w:val="TekstwtabeliZnak"/>
    <w:qFormat/>
    <w:rsid w:val="008E534F"/>
    <w:pPr>
      <w:spacing w:before="60" w:after="60" w:line="276" w:lineRule="auto"/>
    </w:pPr>
    <w:rPr>
      <w:rFonts w:asciiTheme="minorHAnsi" w:eastAsiaTheme="minorHAnsi" w:hAnsiTheme="minorHAnsi" w:cstheme="minorBidi"/>
    </w:rPr>
  </w:style>
  <w:style w:type="character" w:styleId="Odwoanieprzypisudolnego">
    <w:name w:val="footnote reference"/>
    <w:aliases w:val="note TESI,Ref,de nota al pie,Odwołanie przypisu,Footnote number,SUPERS,Footnote symbol,fr,o,Nota,(NECG) Footnote Reference,Footnote,PRZYPIS DOLNY,FZ,-E Fußnotenzeichen,FC,OdwoŁanie przypisu,Footnote reference number,BVI fnr"/>
    <w:basedOn w:val="Domylnaczcionkaakapitu"/>
    <w:uiPriority w:val="99"/>
    <w:semiHidden/>
    <w:unhideWhenUsed/>
    <w:rsid w:val="008E534F"/>
    <w:rPr>
      <w:rFonts w:ascii="Times New Roman" w:hAnsi="Times New Roman" w:cs="Times New Roman" w:hint="default"/>
      <w:vertAlign w:val="superscript"/>
    </w:rPr>
  </w:style>
  <w:style w:type="paragraph" w:customStyle="1" w:styleId="PKTROM">
    <w:name w:val="PKT_ROM"/>
    <w:basedOn w:val="TekstNB"/>
    <w:link w:val="PKTROMZnak"/>
    <w:qFormat/>
    <w:rsid w:val="00251D9A"/>
    <w:pPr>
      <w:numPr>
        <w:numId w:val="0"/>
      </w:numPr>
      <w:overflowPunct/>
      <w:autoSpaceDE/>
      <w:autoSpaceDN/>
      <w:adjustRightInd/>
      <w:ind w:left="851" w:firstLine="565"/>
      <w:textAlignment w:val="auto"/>
    </w:pPr>
    <w:rPr>
      <w:lang w:eastAsia="pl-PL"/>
    </w:rPr>
  </w:style>
  <w:style w:type="character" w:customStyle="1" w:styleId="PKTROMZnak">
    <w:name w:val="PKT_ROM Znak"/>
    <w:basedOn w:val="TekstNBZnak"/>
    <w:link w:val="PKTROM"/>
    <w:locked/>
    <w:rsid w:val="00251D9A"/>
    <w:rPr>
      <w:rFonts w:ascii="Times New Roman" w:eastAsia="Times New Roman" w:hAnsi="Times New Roman" w:cs="Times New Roman"/>
      <w:szCs w:val="24"/>
      <w:lang w:eastAsia="pl-PL"/>
    </w:rPr>
  </w:style>
  <w:style w:type="paragraph" w:customStyle="1" w:styleId="Sentencja">
    <w:name w:val="Sentencja"/>
    <w:basedOn w:val="Normalny"/>
    <w:link w:val="SentencjaZnak"/>
    <w:qFormat/>
    <w:rsid w:val="00E57B45"/>
    <w:pPr>
      <w:numPr>
        <w:numId w:val="15"/>
      </w:numPr>
      <w:tabs>
        <w:tab w:val="left" w:pos="567"/>
      </w:tabs>
      <w:autoSpaceDE w:val="0"/>
      <w:autoSpaceDN w:val="0"/>
      <w:adjustRightInd w:val="0"/>
      <w:spacing w:before="120" w:after="120" w:line="360" w:lineRule="auto"/>
      <w:jc w:val="both"/>
    </w:pPr>
    <w:rPr>
      <w:rFonts w:ascii="Times New Roman" w:hAnsi="Times New Roman"/>
      <w:sz w:val="22"/>
      <w:szCs w:val="24"/>
      <w:lang w:eastAsia="pl-PL"/>
    </w:rPr>
  </w:style>
  <w:style w:type="character" w:customStyle="1" w:styleId="SentencjaZnak">
    <w:name w:val="Sentencja Znak"/>
    <w:link w:val="Sentencja"/>
    <w:locked/>
    <w:rsid w:val="00E57B45"/>
    <w:rPr>
      <w:rFonts w:ascii="Times New Roman" w:eastAsia="Times New Roman" w:hAnsi="Times New Roman" w:cs="Times New Roman"/>
      <w:szCs w:val="24"/>
      <w:lang w:eastAsia="pl-PL"/>
    </w:rPr>
  </w:style>
  <w:style w:type="numbering" w:customStyle="1" w:styleId="WasnyStyl1">
    <w:name w:val="Własny Styl1"/>
    <w:rsid w:val="00E57B45"/>
    <w:pPr>
      <w:numPr>
        <w:numId w:val="15"/>
      </w:numPr>
    </w:pPr>
  </w:style>
  <w:style w:type="paragraph" w:styleId="NormalnyWeb">
    <w:name w:val="Normal (Web)"/>
    <w:basedOn w:val="Normalny"/>
    <w:uiPriority w:val="99"/>
    <w:semiHidden/>
    <w:unhideWhenUsed/>
    <w:rsid w:val="00D5112F"/>
    <w:pPr>
      <w:spacing w:before="100" w:beforeAutospacing="1" w:after="100" w:afterAutospacing="1"/>
    </w:pPr>
    <w:rPr>
      <w:rFonts w:ascii="Times New Roman" w:hAnsi="Times New Roman"/>
      <w:sz w:val="24"/>
      <w:szCs w:val="24"/>
      <w:lang w:eastAsia="pl-PL"/>
    </w:rPr>
  </w:style>
  <w:style w:type="character" w:customStyle="1" w:styleId="Nagwek1Znak">
    <w:name w:val="Nagłówek 1 Znak"/>
    <w:basedOn w:val="Domylnaczcionkaakapitu"/>
    <w:link w:val="Nagwek1"/>
    <w:uiPriority w:val="9"/>
    <w:rsid w:val="00EB0E5B"/>
    <w:rPr>
      <w:rFonts w:asciiTheme="majorHAnsi" w:eastAsiaTheme="majorEastAsia" w:hAnsiTheme="majorHAnsi" w:cstheme="majorBidi"/>
      <w:sz w:val="36"/>
      <w:szCs w:val="32"/>
    </w:rPr>
  </w:style>
  <w:style w:type="character" w:customStyle="1" w:styleId="Nagwek2Znak">
    <w:name w:val="Nagłówek 2 Znak"/>
    <w:basedOn w:val="Domylnaczcionkaakapitu"/>
    <w:link w:val="Nagwek2"/>
    <w:uiPriority w:val="9"/>
    <w:semiHidden/>
    <w:rsid w:val="00EB0E5B"/>
    <w:rPr>
      <w:rFonts w:eastAsiaTheme="majorEastAsia" w:cstheme="majorBidi"/>
      <w:b/>
      <w:szCs w:val="26"/>
    </w:rPr>
  </w:style>
  <w:style w:type="character" w:customStyle="1" w:styleId="Nagwek3Znak">
    <w:name w:val="Nagłówek 3 Znak"/>
    <w:basedOn w:val="Domylnaczcionkaakapitu"/>
    <w:link w:val="Nagwek3"/>
    <w:uiPriority w:val="9"/>
    <w:semiHidden/>
    <w:rsid w:val="00EB0E5B"/>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EB0E5B"/>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EB0E5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EB0E5B"/>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EB0E5B"/>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EB0E5B"/>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EB0E5B"/>
    <w:rPr>
      <w:rFonts w:asciiTheme="majorHAnsi" w:eastAsiaTheme="majorEastAsia" w:hAnsiTheme="majorHAnsi" w:cstheme="majorBidi"/>
      <w:i/>
      <w:iCs/>
      <w:color w:val="272727" w:themeColor="text1" w:themeTint="D8"/>
      <w:sz w:val="21"/>
      <w:szCs w:val="21"/>
    </w:rPr>
  </w:style>
  <w:style w:type="paragraph" w:styleId="Tytu">
    <w:name w:val="Title"/>
    <w:basedOn w:val="Normalny"/>
    <w:next w:val="Normalny"/>
    <w:link w:val="TytuZnak"/>
    <w:uiPriority w:val="10"/>
    <w:qFormat/>
    <w:rsid w:val="00AA64FE"/>
    <w:pPr>
      <w:spacing w:before="2400"/>
      <w:contextualSpacing/>
      <w:jc w:val="center"/>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A64F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A64FE"/>
    <w:pPr>
      <w:numPr>
        <w:ilvl w:val="1"/>
      </w:numPr>
      <w:spacing w:before="240" w:after="240" w:line="259" w:lineRule="auto"/>
      <w:jc w:val="center"/>
    </w:pPr>
    <w:rPr>
      <w:rFonts w:asciiTheme="majorHAnsi" w:eastAsiaTheme="minorEastAsia" w:hAnsiTheme="majorHAnsi" w:cstheme="minorBidi"/>
      <w:i/>
      <w:spacing w:val="15"/>
      <w:sz w:val="32"/>
    </w:rPr>
  </w:style>
  <w:style w:type="character" w:customStyle="1" w:styleId="PodtytuZnak">
    <w:name w:val="Podtytuł Znak"/>
    <w:basedOn w:val="Domylnaczcionkaakapitu"/>
    <w:link w:val="Podtytu"/>
    <w:uiPriority w:val="11"/>
    <w:rsid w:val="00AA64FE"/>
    <w:rPr>
      <w:rFonts w:asciiTheme="majorHAnsi" w:eastAsiaTheme="minorEastAsia" w:hAnsiTheme="majorHAnsi"/>
      <w:i/>
      <w:spacing w:val="15"/>
      <w:sz w:val="32"/>
    </w:rPr>
  </w:style>
  <w:style w:type="character" w:styleId="Nierozpoznanawzmianka">
    <w:name w:val="Unresolved Mention"/>
    <w:basedOn w:val="Domylnaczcionkaakapitu"/>
    <w:uiPriority w:val="99"/>
    <w:semiHidden/>
    <w:unhideWhenUsed/>
    <w:rsid w:val="00186D0E"/>
    <w:rPr>
      <w:color w:val="605E5C"/>
      <w:shd w:val="clear" w:color="auto" w:fill="E1DFDD"/>
    </w:rPr>
  </w:style>
  <w:style w:type="character" w:styleId="UyteHipercze">
    <w:name w:val="FollowedHyperlink"/>
    <w:basedOn w:val="Domylnaczcionkaakapitu"/>
    <w:uiPriority w:val="99"/>
    <w:semiHidden/>
    <w:unhideWhenUsed/>
    <w:rsid w:val="00B536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6713">
      <w:bodyDiv w:val="1"/>
      <w:marLeft w:val="0"/>
      <w:marRight w:val="0"/>
      <w:marTop w:val="0"/>
      <w:marBottom w:val="0"/>
      <w:divBdr>
        <w:top w:val="none" w:sz="0" w:space="0" w:color="auto"/>
        <w:left w:val="none" w:sz="0" w:space="0" w:color="auto"/>
        <w:bottom w:val="none" w:sz="0" w:space="0" w:color="auto"/>
        <w:right w:val="none" w:sz="0" w:space="0" w:color="auto"/>
      </w:divBdr>
    </w:div>
    <w:div w:id="68578790">
      <w:bodyDiv w:val="1"/>
      <w:marLeft w:val="0"/>
      <w:marRight w:val="0"/>
      <w:marTop w:val="0"/>
      <w:marBottom w:val="0"/>
      <w:divBdr>
        <w:top w:val="none" w:sz="0" w:space="0" w:color="auto"/>
        <w:left w:val="none" w:sz="0" w:space="0" w:color="auto"/>
        <w:bottom w:val="none" w:sz="0" w:space="0" w:color="auto"/>
        <w:right w:val="none" w:sz="0" w:space="0" w:color="auto"/>
      </w:divBdr>
    </w:div>
    <w:div w:id="168759897">
      <w:bodyDiv w:val="1"/>
      <w:marLeft w:val="0"/>
      <w:marRight w:val="0"/>
      <w:marTop w:val="0"/>
      <w:marBottom w:val="0"/>
      <w:divBdr>
        <w:top w:val="none" w:sz="0" w:space="0" w:color="auto"/>
        <w:left w:val="none" w:sz="0" w:space="0" w:color="auto"/>
        <w:bottom w:val="none" w:sz="0" w:space="0" w:color="auto"/>
        <w:right w:val="none" w:sz="0" w:space="0" w:color="auto"/>
      </w:divBdr>
    </w:div>
    <w:div w:id="259874608">
      <w:bodyDiv w:val="1"/>
      <w:marLeft w:val="0"/>
      <w:marRight w:val="0"/>
      <w:marTop w:val="0"/>
      <w:marBottom w:val="0"/>
      <w:divBdr>
        <w:top w:val="none" w:sz="0" w:space="0" w:color="auto"/>
        <w:left w:val="none" w:sz="0" w:space="0" w:color="auto"/>
        <w:bottom w:val="none" w:sz="0" w:space="0" w:color="auto"/>
        <w:right w:val="none" w:sz="0" w:space="0" w:color="auto"/>
      </w:divBdr>
    </w:div>
    <w:div w:id="280041484">
      <w:bodyDiv w:val="1"/>
      <w:marLeft w:val="0"/>
      <w:marRight w:val="0"/>
      <w:marTop w:val="0"/>
      <w:marBottom w:val="0"/>
      <w:divBdr>
        <w:top w:val="none" w:sz="0" w:space="0" w:color="auto"/>
        <w:left w:val="none" w:sz="0" w:space="0" w:color="auto"/>
        <w:bottom w:val="none" w:sz="0" w:space="0" w:color="auto"/>
        <w:right w:val="none" w:sz="0" w:space="0" w:color="auto"/>
      </w:divBdr>
    </w:div>
    <w:div w:id="306862827">
      <w:bodyDiv w:val="1"/>
      <w:marLeft w:val="0"/>
      <w:marRight w:val="0"/>
      <w:marTop w:val="0"/>
      <w:marBottom w:val="0"/>
      <w:divBdr>
        <w:top w:val="none" w:sz="0" w:space="0" w:color="auto"/>
        <w:left w:val="none" w:sz="0" w:space="0" w:color="auto"/>
        <w:bottom w:val="none" w:sz="0" w:space="0" w:color="auto"/>
        <w:right w:val="none" w:sz="0" w:space="0" w:color="auto"/>
      </w:divBdr>
    </w:div>
    <w:div w:id="308900248">
      <w:bodyDiv w:val="1"/>
      <w:marLeft w:val="0"/>
      <w:marRight w:val="0"/>
      <w:marTop w:val="0"/>
      <w:marBottom w:val="0"/>
      <w:divBdr>
        <w:top w:val="none" w:sz="0" w:space="0" w:color="auto"/>
        <w:left w:val="none" w:sz="0" w:space="0" w:color="auto"/>
        <w:bottom w:val="none" w:sz="0" w:space="0" w:color="auto"/>
        <w:right w:val="none" w:sz="0" w:space="0" w:color="auto"/>
      </w:divBdr>
    </w:div>
    <w:div w:id="416486383">
      <w:bodyDiv w:val="1"/>
      <w:marLeft w:val="0"/>
      <w:marRight w:val="0"/>
      <w:marTop w:val="0"/>
      <w:marBottom w:val="0"/>
      <w:divBdr>
        <w:top w:val="none" w:sz="0" w:space="0" w:color="auto"/>
        <w:left w:val="none" w:sz="0" w:space="0" w:color="auto"/>
        <w:bottom w:val="none" w:sz="0" w:space="0" w:color="auto"/>
        <w:right w:val="none" w:sz="0" w:space="0" w:color="auto"/>
      </w:divBdr>
    </w:div>
    <w:div w:id="452409572">
      <w:bodyDiv w:val="1"/>
      <w:marLeft w:val="0"/>
      <w:marRight w:val="0"/>
      <w:marTop w:val="0"/>
      <w:marBottom w:val="0"/>
      <w:divBdr>
        <w:top w:val="none" w:sz="0" w:space="0" w:color="auto"/>
        <w:left w:val="none" w:sz="0" w:space="0" w:color="auto"/>
        <w:bottom w:val="none" w:sz="0" w:space="0" w:color="auto"/>
        <w:right w:val="none" w:sz="0" w:space="0" w:color="auto"/>
      </w:divBdr>
    </w:div>
    <w:div w:id="500513615">
      <w:bodyDiv w:val="1"/>
      <w:marLeft w:val="0"/>
      <w:marRight w:val="0"/>
      <w:marTop w:val="0"/>
      <w:marBottom w:val="0"/>
      <w:divBdr>
        <w:top w:val="none" w:sz="0" w:space="0" w:color="auto"/>
        <w:left w:val="none" w:sz="0" w:space="0" w:color="auto"/>
        <w:bottom w:val="none" w:sz="0" w:space="0" w:color="auto"/>
        <w:right w:val="none" w:sz="0" w:space="0" w:color="auto"/>
      </w:divBdr>
    </w:div>
    <w:div w:id="603809431">
      <w:bodyDiv w:val="1"/>
      <w:marLeft w:val="0"/>
      <w:marRight w:val="0"/>
      <w:marTop w:val="0"/>
      <w:marBottom w:val="0"/>
      <w:divBdr>
        <w:top w:val="none" w:sz="0" w:space="0" w:color="auto"/>
        <w:left w:val="none" w:sz="0" w:space="0" w:color="auto"/>
        <w:bottom w:val="none" w:sz="0" w:space="0" w:color="auto"/>
        <w:right w:val="none" w:sz="0" w:space="0" w:color="auto"/>
      </w:divBdr>
    </w:div>
    <w:div w:id="655496168">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026099479">
      <w:bodyDiv w:val="1"/>
      <w:marLeft w:val="0"/>
      <w:marRight w:val="0"/>
      <w:marTop w:val="0"/>
      <w:marBottom w:val="0"/>
      <w:divBdr>
        <w:top w:val="none" w:sz="0" w:space="0" w:color="auto"/>
        <w:left w:val="none" w:sz="0" w:space="0" w:color="auto"/>
        <w:bottom w:val="none" w:sz="0" w:space="0" w:color="auto"/>
        <w:right w:val="none" w:sz="0" w:space="0" w:color="auto"/>
      </w:divBdr>
    </w:div>
    <w:div w:id="1060404016">
      <w:bodyDiv w:val="1"/>
      <w:marLeft w:val="0"/>
      <w:marRight w:val="0"/>
      <w:marTop w:val="0"/>
      <w:marBottom w:val="0"/>
      <w:divBdr>
        <w:top w:val="none" w:sz="0" w:space="0" w:color="auto"/>
        <w:left w:val="none" w:sz="0" w:space="0" w:color="auto"/>
        <w:bottom w:val="none" w:sz="0" w:space="0" w:color="auto"/>
        <w:right w:val="none" w:sz="0" w:space="0" w:color="auto"/>
      </w:divBdr>
    </w:div>
    <w:div w:id="1090009027">
      <w:bodyDiv w:val="1"/>
      <w:marLeft w:val="0"/>
      <w:marRight w:val="0"/>
      <w:marTop w:val="0"/>
      <w:marBottom w:val="0"/>
      <w:divBdr>
        <w:top w:val="none" w:sz="0" w:space="0" w:color="auto"/>
        <w:left w:val="none" w:sz="0" w:space="0" w:color="auto"/>
        <w:bottom w:val="none" w:sz="0" w:space="0" w:color="auto"/>
        <w:right w:val="none" w:sz="0" w:space="0" w:color="auto"/>
      </w:divBdr>
    </w:div>
    <w:div w:id="110973872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081242">
      <w:bodyDiv w:val="1"/>
      <w:marLeft w:val="0"/>
      <w:marRight w:val="0"/>
      <w:marTop w:val="0"/>
      <w:marBottom w:val="0"/>
      <w:divBdr>
        <w:top w:val="none" w:sz="0" w:space="0" w:color="auto"/>
        <w:left w:val="none" w:sz="0" w:space="0" w:color="auto"/>
        <w:bottom w:val="none" w:sz="0" w:space="0" w:color="auto"/>
        <w:right w:val="none" w:sz="0" w:space="0" w:color="auto"/>
      </w:divBdr>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578323309">
      <w:bodyDiv w:val="1"/>
      <w:marLeft w:val="0"/>
      <w:marRight w:val="0"/>
      <w:marTop w:val="0"/>
      <w:marBottom w:val="0"/>
      <w:divBdr>
        <w:top w:val="none" w:sz="0" w:space="0" w:color="auto"/>
        <w:left w:val="none" w:sz="0" w:space="0" w:color="auto"/>
        <w:bottom w:val="none" w:sz="0" w:space="0" w:color="auto"/>
        <w:right w:val="none" w:sz="0" w:space="0" w:color="auto"/>
      </w:divBdr>
    </w:div>
    <w:div w:id="1588924233">
      <w:bodyDiv w:val="1"/>
      <w:marLeft w:val="0"/>
      <w:marRight w:val="0"/>
      <w:marTop w:val="0"/>
      <w:marBottom w:val="0"/>
      <w:divBdr>
        <w:top w:val="none" w:sz="0" w:space="0" w:color="auto"/>
        <w:left w:val="none" w:sz="0" w:space="0" w:color="auto"/>
        <w:bottom w:val="none" w:sz="0" w:space="0" w:color="auto"/>
        <w:right w:val="none" w:sz="0" w:space="0" w:color="auto"/>
      </w:divBdr>
    </w:div>
    <w:div w:id="1603417298">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37637420">
      <w:bodyDiv w:val="1"/>
      <w:marLeft w:val="0"/>
      <w:marRight w:val="0"/>
      <w:marTop w:val="0"/>
      <w:marBottom w:val="0"/>
      <w:divBdr>
        <w:top w:val="none" w:sz="0" w:space="0" w:color="auto"/>
        <w:left w:val="none" w:sz="0" w:space="0" w:color="auto"/>
        <w:bottom w:val="none" w:sz="0" w:space="0" w:color="auto"/>
        <w:right w:val="none" w:sz="0" w:space="0" w:color="auto"/>
      </w:divBdr>
    </w:div>
    <w:div w:id="1841656185">
      <w:bodyDiv w:val="1"/>
      <w:marLeft w:val="0"/>
      <w:marRight w:val="0"/>
      <w:marTop w:val="0"/>
      <w:marBottom w:val="0"/>
      <w:divBdr>
        <w:top w:val="none" w:sz="0" w:space="0" w:color="auto"/>
        <w:left w:val="none" w:sz="0" w:space="0" w:color="auto"/>
        <w:bottom w:val="none" w:sz="0" w:space="0" w:color="auto"/>
        <w:right w:val="none" w:sz="0" w:space="0" w:color="auto"/>
      </w:divBdr>
    </w:div>
    <w:div w:id="190509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onkurencja.uokik.gov.pl/program-lagodzenia-ka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whiblo.pl/" TargetMode="External"/><Relationship Id="rId5" Type="http://schemas.openxmlformats.org/officeDocument/2006/relationships/settings" Target="settings.xml"/><Relationship Id="rId15" Type="http://schemas.openxmlformats.org/officeDocument/2006/relationships/hyperlink" Target="https://www.pip.gov.pl/kontakt/uzyskaj-porade." TargetMode="External"/><Relationship Id="rId10" Type="http://schemas.openxmlformats.org/officeDocument/2006/relationships/hyperlink" Target="https://archiwum.uokik.gov.pl/news.php?news_id=1964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archiwum.uokik.gov.pl/news.php?news_id=19005" TargetMode="External"/><Relationship Id="rId14" Type="http://schemas.openxmlformats.org/officeDocument/2006/relationships/hyperlink" Target="https://www.pip.gov.p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6C175-9582-4753-9427-3A7D31BAA00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85A9FE1-B9C1-4ECD-A6A8-64371B1F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1186</Words>
  <Characters>7119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5</cp:revision>
  <cp:lastPrinted>2024-07-01T11:13:00Z</cp:lastPrinted>
  <dcterms:created xsi:type="dcterms:W3CDTF">2024-07-05T12:02:00Z</dcterms:created>
  <dcterms:modified xsi:type="dcterms:W3CDTF">2024-07-08T12:16:00Z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9709a4b3-3ed7-4825-8845-6ba9c0e38870</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