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CF" w:rsidRPr="00135455" w:rsidRDefault="006D3DC5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FAZA POSTĘPOWANIA</w:t>
      </w:r>
      <w:r>
        <w:rPr>
          <w:sz w:val="32"/>
          <w:szCs w:val="32"/>
        </w:rPr>
        <w:t>: BP – ARGE</w:t>
      </w:r>
    </w:p>
    <w:p w:rsidR="00C2398C" w:rsidRPr="00F139AC" w:rsidRDefault="0010559C" w:rsidP="00F139A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BB5068" w:rsidRPr="0038677D">
        <w:rPr>
          <w:rFonts w:cs="Tahoma"/>
          <w:b/>
          <w:bCs/>
          <w:color w:val="000000" w:themeColor="text1"/>
          <w:sz w:val="22"/>
          <w:lang w:eastAsia="en-GB"/>
        </w:rPr>
        <w:t>postępowanie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w sprawie </w:t>
      </w:r>
      <w:r w:rsidR="00135455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przejęcia </w:t>
      </w:r>
      <w:r w:rsidR="00042F96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przez </w:t>
      </w:r>
      <w:r w:rsidR="00804024">
        <w:rPr>
          <w:rFonts w:cs="Tahoma"/>
          <w:b/>
          <w:bCs/>
          <w:color w:val="000000" w:themeColor="text1"/>
          <w:sz w:val="22"/>
          <w:lang w:eastAsia="en-GB"/>
        </w:rPr>
        <w:t>BP</w:t>
      </w:r>
      <w:r w:rsidR="00135455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F139AC">
        <w:rPr>
          <w:rFonts w:cs="Tahoma"/>
          <w:b/>
          <w:bCs/>
          <w:color w:val="000000" w:themeColor="text1"/>
          <w:sz w:val="22"/>
          <w:lang w:eastAsia="en-GB"/>
        </w:rPr>
        <w:t xml:space="preserve">Europe </w:t>
      </w:r>
      <w:r w:rsidR="001A6E5B">
        <w:rPr>
          <w:rFonts w:cs="Tahoma"/>
          <w:b/>
          <w:bCs/>
          <w:color w:val="000000" w:themeColor="text1"/>
          <w:sz w:val="22"/>
          <w:lang w:eastAsia="en-GB"/>
        </w:rPr>
        <w:t>części mienia spółek</w:t>
      </w:r>
      <w:r w:rsidR="00804024" w:rsidRPr="00F139A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="00804024" w:rsidRPr="00F139AC">
        <w:rPr>
          <w:rFonts w:cs="Tahoma"/>
          <w:b/>
          <w:bCs/>
          <w:color w:val="000000" w:themeColor="text1"/>
          <w:sz w:val="22"/>
          <w:lang w:eastAsia="en-GB"/>
        </w:rPr>
        <w:t>Arge</w:t>
      </w:r>
      <w:proofErr w:type="spellEnd"/>
      <w:r w:rsidR="001A6E5B">
        <w:rPr>
          <w:rFonts w:cs="Tahoma"/>
          <w:b/>
          <w:bCs/>
          <w:color w:val="000000" w:themeColor="text1"/>
          <w:sz w:val="22"/>
          <w:lang w:eastAsia="en-GB"/>
        </w:rPr>
        <w:t xml:space="preserve"> Paliwa i </w:t>
      </w:r>
      <w:proofErr w:type="spellStart"/>
      <w:r w:rsidR="001A6E5B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="00DD6056">
        <w:rPr>
          <w:rFonts w:cs="Tahoma"/>
          <w:b/>
          <w:bCs/>
          <w:color w:val="000000" w:themeColor="text1"/>
          <w:sz w:val="22"/>
          <w:lang w:eastAsia="en-GB"/>
        </w:rPr>
        <w:t>rge</w:t>
      </w:r>
      <w:proofErr w:type="spellEnd"/>
      <w:r w:rsidR="00DD6056">
        <w:rPr>
          <w:rFonts w:cs="Tahoma"/>
          <w:b/>
          <w:bCs/>
          <w:color w:val="000000" w:themeColor="text1"/>
          <w:sz w:val="22"/>
          <w:lang w:eastAsia="en-GB"/>
        </w:rPr>
        <w:t xml:space="preserve"> N</w:t>
      </w:r>
      <w:r w:rsidR="001A6E5B">
        <w:rPr>
          <w:rFonts w:cs="Tahoma"/>
          <w:b/>
          <w:bCs/>
          <w:color w:val="000000" w:themeColor="text1"/>
          <w:sz w:val="22"/>
          <w:lang w:eastAsia="en-GB"/>
        </w:rPr>
        <w:t>ieruchomości</w:t>
      </w:r>
      <w:r w:rsidR="00804024" w:rsidRPr="00F139A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F3243D" w:rsidRPr="0038677D" w:rsidRDefault="003867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W tej sprawie 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>koni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eczne jest przeprowadzenie badania 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rynku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38677D" w:rsidRDefault="0010559C" w:rsidP="00C2398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91048E">
        <w:rPr>
          <w:b/>
          <w:sz w:val="22"/>
        </w:rPr>
        <w:t xml:space="preserve">27 </w:t>
      </w:r>
      <w:r w:rsidR="00DD6056">
        <w:rPr>
          <w:b/>
          <w:sz w:val="22"/>
        </w:rPr>
        <w:t>września</w:t>
      </w:r>
      <w:r w:rsidR="007224B3">
        <w:rPr>
          <w:b/>
          <w:sz w:val="22"/>
        </w:rPr>
        <w:t xml:space="preserve"> </w:t>
      </w:r>
      <w:r>
        <w:rPr>
          <w:b/>
          <w:sz w:val="22"/>
        </w:rPr>
        <w:t>2018 r.]</w:t>
      </w:r>
      <w:r w:rsidR="001A6E5B">
        <w:rPr>
          <w:sz w:val="22"/>
        </w:rPr>
        <w:t xml:space="preserve"> </w:t>
      </w:r>
      <w:r w:rsidR="00DD6056">
        <w:rPr>
          <w:sz w:val="22"/>
        </w:rPr>
        <w:t>BP Europe</w:t>
      </w:r>
      <w:r w:rsidR="001A6E5B">
        <w:rPr>
          <w:sz w:val="22"/>
        </w:rPr>
        <w:t xml:space="preserve"> na terenie Pols</w:t>
      </w:r>
      <w:bookmarkStart w:id="0" w:name="_GoBack"/>
      <w:bookmarkEnd w:id="0"/>
      <w:r w:rsidR="001A6E5B">
        <w:rPr>
          <w:sz w:val="22"/>
        </w:rPr>
        <w:t>ki zajmuje się m.in. hurtową i detaliczną sprzedażą</w:t>
      </w:r>
      <w:r w:rsidR="00BE5EE5">
        <w:rPr>
          <w:sz w:val="22"/>
        </w:rPr>
        <w:t xml:space="preserve"> paliw. Taką  działalność prowadzi też </w:t>
      </w:r>
      <w:proofErr w:type="spellStart"/>
      <w:r w:rsidR="00BE5EE5">
        <w:rPr>
          <w:sz w:val="22"/>
        </w:rPr>
        <w:t>Arge</w:t>
      </w:r>
      <w:proofErr w:type="spellEnd"/>
      <w:r w:rsidR="00BE5EE5">
        <w:rPr>
          <w:sz w:val="22"/>
        </w:rPr>
        <w:t xml:space="preserve"> Paliwa. </w:t>
      </w:r>
      <w:r w:rsidR="00D202BA">
        <w:rPr>
          <w:sz w:val="22"/>
        </w:rPr>
        <w:t xml:space="preserve">Działalność obu przedsiębiorców pokrywa się na wielu lokalnych rynkach sprzedaży paliw na stacjach. </w:t>
      </w:r>
      <w:proofErr w:type="spellStart"/>
      <w:r w:rsidR="00BE5EE5">
        <w:rPr>
          <w:sz w:val="22"/>
        </w:rPr>
        <w:t>Arge</w:t>
      </w:r>
      <w:proofErr w:type="spellEnd"/>
      <w:r w:rsidR="00BE5EE5">
        <w:rPr>
          <w:sz w:val="22"/>
        </w:rPr>
        <w:t xml:space="preserve"> Nieruchomości zajmuje się przede wszystkim zarządzaniem, wynajmem lub sprzedażą własnych nieruchomości.</w:t>
      </w:r>
    </w:p>
    <w:p w:rsidR="00BF45FB" w:rsidRDefault="00BF45FB" w:rsidP="00C2398C">
      <w:pPr>
        <w:spacing w:after="240" w:line="360" w:lineRule="auto"/>
        <w:jc w:val="both"/>
        <w:rPr>
          <w:sz w:val="22"/>
        </w:rPr>
      </w:pPr>
      <w:r>
        <w:rPr>
          <w:sz w:val="22"/>
        </w:rPr>
        <w:t>W tej sprawie konieczne jes</w:t>
      </w:r>
      <w:r w:rsidR="003303F0">
        <w:rPr>
          <w:sz w:val="22"/>
        </w:rPr>
        <w:t xml:space="preserve">t przeprowadzenie badania rynku </w:t>
      </w:r>
      <w:r w:rsidR="008F472E">
        <w:rPr>
          <w:sz w:val="22"/>
        </w:rPr>
        <w:t xml:space="preserve">i weryfikacja </w:t>
      </w:r>
      <w:r w:rsidR="003303F0">
        <w:rPr>
          <w:sz w:val="22"/>
        </w:rPr>
        <w:t>dan</w:t>
      </w:r>
      <w:r w:rsidR="008F472E">
        <w:rPr>
          <w:sz w:val="22"/>
        </w:rPr>
        <w:t>ych</w:t>
      </w:r>
      <w:r w:rsidR="003303F0">
        <w:rPr>
          <w:sz w:val="22"/>
        </w:rPr>
        <w:t xml:space="preserve"> przedstawion</w:t>
      </w:r>
      <w:r w:rsidR="008F472E">
        <w:rPr>
          <w:sz w:val="22"/>
        </w:rPr>
        <w:t>ych</w:t>
      </w:r>
      <w:r w:rsidR="003303F0">
        <w:rPr>
          <w:sz w:val="22"/>
        </w:rPr>
        <w:t xml:space="preserve"> przez BP we wniosku o zgodę na </w:t>
      </w:r>
      <w:r w:rsidR="00D202BA">
        <w:rPr>
          <w:sz w:val="22"/>
        </w:rPr>
        <w:t>transakcje</w:t>
      </w:r>
      <w:r w:rsidR="003303F0">
        <w:rPr>
          <w:sz w:val="22"/>
        </w:rPr>
        <w:t xml:space="preserve">. Oprócz udziałów przedsiębiorców </w:t>
      </w:r>
      <w:r w:rsidR="00D202BA">
        <w:rPr>
          <w:sz w:val="22"/>
        </w:rPr>
        <w:t>niezbędne jest również</w:t>
      </w:r>
      <w:r w:rsidR="003303F0">
        <w:rPr>
          <w:sz w:val="22"/>
        </w:rPr>
        <w:t xml:space="preserve"> określenie, na jakim </w:t>
      </w:r>
      <w:r w:rsidR="00D202BA">
        <w:rPr>
          <w:sz w:val="22"/>
        </w:rPr>
        <w:t>obszarze</w:t>
      </w:r>
      <w:r w:rsidR="003303F0">
        <w:rPr>
          <w:sz w:val="22"/>
        </w:rPr>
        <w:t xml:space="preserve"> poszczególne stacje rywalizują ze sobą. </w:t>
      </w:r>
    </w:p>
    <w:p w:rsidR="00B41502" w:rsidRPr="0010559C" w:rsidRDefault="002C6ABE" w:rsidP="002C692D">
      <w:pPr>
        <w:spacing w:after="240" w:line="360" w:lineRule="auto"/>
        <w:jc w:val="both"/>
        <w:rPr>
          <w:sz w:val="22"/>
        </w:rPr>
      </w:pPr>
      <w:r w:rsidRPr="0010559C">
        <w:rPr>
          <w:sz w:val="22"/>
        </w:rPr>
        <w:t>R</w:t>
      </w:r>
      <w:r w:rsidR="00A13244" w:rsidRPr="0010559C">
        <w:rPr>
          <w:sz w:val="22"/>
        </w:rPr>
        <w:t>ozpoczę</w:t>
      </w:r>
      <w:r w:rsidRPr="0010559C">
        <w:rPr>
          <w:sz w:val="22"/>
        </w:rPr>
        <w:t>cie drugiego etapu postępowania</w:t>
      </w:r>
      <w:r w:rsidR="00A13244" w:rsidRPr="0010559C">
        <w:rPr>
          <w:sz w:val="22"/>
        </w:rPr>
        <w:t xml:space="preserve"> </w:t>
      </w:r>
      <w:r w:rsidRPr="0010559C">
        <w:rPr>
          <w:sz w:val="22"/>
        </w:rPr>
        <w:t>nie przesądza 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166B5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lastRenderedPageBreak/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166B5D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5D" w:rsidRDefault="00166B5D">
      <w:r>
        <w:separator/>
      </w:r>
    </w:p>
  </w:endnote>
  <w:endnote w:type="continuationSeparator" w:id="0">
    <w:p w:rsidR="00166B5D" w:rsidRDefault="0016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A7DF4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166B5D" w:rsidP="004470CD">
    <w:pPr>
      <w:pStyle w:val="Stopka"/>
    </w:pPr>
  </w:p>
  <w:p w:rsidR="0059016B" w:rsidRDefault="00166B5D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5D" w:rsidRDefault="00166B5D">
      <w:r>
        <w:separator/>
      </w:r>
    </w:p>
  </w:footnote>
  <w:footnote w:type="continuationSeparator" w:id="0">
    <w:p w:rsidR="00166B5D" w:rsidRDefault="0016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166B5D" w:rsidP="0041396E">
    <w:pPr>
      <w:pStyle w:val="Nagwek"/>
      <w:tabs>
        <w:tab w:val="clear" w:pos="9072"/>
      </w:tabs>
    </w:pPr>
  </w:p>
  <w:p w:rsidR="0059016B" w:rsidRDefault="00166B5D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262B5"/>
    <w:rsid w:val="0023138D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F1BF3"/>
    <w:rsid w:val="002F4D43"/>
    <w:rsid w:val="003056C6"/>
    <w:rsid w:val="00324306"/>
    <w:rsid w:val="003278D6"/>
    <w:rsid w:val="003303F0"/>
    <w:rsid w:val="0034059B"/>
    <w:rsid w:val="00360248"/>
    <w:rsid w:val="00366A46"/>
    <w:rsid w:val="0038677D"/>
    <w:rsid w:val="003D3FF4"/>
    <w:rsid w:val="003D7161"/>
    <w:rsid w:val="003E3F9D"/>
    <w:rsid w:val="0040748E"/>
    <w:rsid w:val="00412206"/>
    <w:rsid w:val="00427E08"/>
    <w:rsid w:val="004349BA"/>
    <w:rsid w:val="004365C7"/>
    <w:rsid w:val="004425B7"/>
    <w:rsid w:val="00444A85"/>
    <w:rsid w:val="00462CFA"/>
    <w:rsid w:val="00486DB1"/>
    <w:rsid w:val="00493E10"/>
    <w:rsid w:val="004972E8"/>
    <w:rsid w:val="004C0F9E"/>
    <w:rsid w:val="004C5C26"/>
    <w:rsid w:val="004F7E99"/>
    <w:rsid w:val="005003F9"/>
    <w:rsid w:val="005133CE"/>
    <w:rsid w:val="00521BA3"/>
    <w:rsid w:val="00523E0D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3D88"/>
    <w:rsid w:val="006A4A7A"/>
    <w:rsid w:val="006B0848"/>
    <w:rsid w:val="006C34AE"/>
    <w:rsid w:val="006C67AF"/>
    <w:rsid w:val="006D3DC5"/>
    <w:rsid w:val="006F143B"/>
    <w:rsid w:val="007039EC"/>
    <w:rsid w:val="007157BA"/>
    <w:rsid w:val="007169F9"/>
    <w:rsid w:val="007224B3"/>
    <w:rsid w:val="00731303"/>
    <w:rsid w:val="0074489D"/>
    <w:rsid w:val="007514AD"/>
    <w:rsid w:val="0075524D"/>
    <w:rsid w:val="00776C4F"/>
    <w:rsid w:val="007838E4"/>
    <w:rsid w:val="007E36E4"/>
    <w:rsid w:val="007F0ACE"/>
    <w:rsid w:val="00804024"/>
    <w:rsid w:val="0081753E"/>
    <w:rsid w:val="0085010E"/>
    <w:rsid w:val="00896985"/>
    <w:rsid w:val="008D56DA"/>
    <w:rsid w:val="008D5771"/>
    <w:rsid w:val="008F472E"/>
    <w:rsid w:val="00902556"/>
    <w:rsid w:val="0090338C"/>
    <w:rsid w:val="0091048E"/>
    <w:rsid w:val="00940E8F"/>
    <w:rsid w:val="0095309C"/>
    <w:rsid w:val="009652F2"/>
    <w:rsid w:val="009719ED"/>
    <w:rsid w:val="00997528"/>
    <w:rsid w:val="0099796A"/>
    <w:rsid w:val="009C1346"/>
    <w:rsid w:val="009D05C8"/>
    <w:rsid w:val="009E3C0B"/>
    <w:rsid w:val="00A13244"/>
    <w:rsid w:val="00A239AA"/>
    <w:rsid w:val="00A439E8"/>
    <w:rsid w:val="00A65F20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2398C"/>
    <w:rsid w:val="00C25569"/>
    <w:rsid w:val="00C27366"/>
    <w:rsid w:val="00C63AA8"/>
    <w:rsid w:val="00C7783C"/>
    <w:rsid w:val="00CA6B58"/>
    <w:rsid w:val="00CB1AE6"/>
    <w:rsid w:val="00CB3ED4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71A41"/>
    <w:rsid w:val="00D768A4"/>
    <w:rsid w:val="00D92F52"/>
    <w:rsid w:val="00DA753F"/>
    <w:rsid w:val="00DC5754"/>
    <w:rsid w:val="00DD34A3"/>
    <w:rsid w:val="00DD6056"/>
    <w:rsid w:val="00DE7C6A"/>
    <w:rsid w:val="00DF782B"/>
    <w:rsid w:val="00E03AEF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2018-09-20T12:42:00Z</cp:lastPrinted>
  <dcterms:created xsi:type="dcterms:W3CDTF">2018-09-27T06:38:00Z</dcterms:created>
  <dcterms:modified xsi:type="dcterms:W3CDTF">2018-09-27T07:57:00Z</dcterms:modified>
</cp:coreProperties>
</file>